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Visualization &amp; BI: </w:t>
      </w:r>
      <w:r w:rsidDel="00000000" w:rsidR="00000000" w:rsidRPr="00000000">
        <w:rPr>
          <w:sz w:val="20"/>
          <w:szCs w:val="20"/>
          <w:rtl w:val="0"/>
        </w:rPr>
        <w:t xml:space="preserve">Technical (Seaborn, Matplotlib), Business Intelligence (Tableau)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Platforms:</w:t>
      </w:r>
      <w:r w:rsidDel="00000000" w:rsidR="00000000" w:rsidRPr="00000000">
        <w:rPr>
          <w:sz w:val="20"/>
          <w:szCs w:val="20"/>
          <w:rtl w:val="0"/>
        </w:rPr>
        <w:t xml:space="preserve"> Amazon Web Services (SageMaker, S3, EC2)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Discovered a new peptide-like molecule that could be used to treat Wilson’s Disease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Discovered new ferroxidase activity in the blood of apoceruloplasmic patients</w:t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B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