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$13M+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partnering with VP-level stakeholders across Engineering, Marketing, and Business Development,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 valued at over $13 million across 20+ strategic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seven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Partnered with VP-level stakeholders (Engineering, Business Development, and Marketing) to translate business requirements into scalable AI solutions.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Strengthen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foundations and strategic vision for the entire organization, including developing AI and automation initiatives and a program that up-skills non-technical workers for data analyst positions, increasing data literacy by 10%.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