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jc w:val="center"/>
      </w:pPr>
      <w:r>
        <w:rPr>
          <w:b/>
          <w:bCs/>
          <w:sz w:val="24"/>
          <w:szCs w:val="24"/>
        </w:rPr>
        <w:t xml:space="preserve">STATE OF NEVADA</w:t>
      </w:r>
    </w:p>
    <w:p>
      <w:pPr>
        <w:spacing w:before="0" w:after="0" w:line="240" w:lineRule="auto"/>
        <w:jc w:val="center"/>
      </w:pPr>
      <w:r>
        <w:rPr>
          <w:b/>
          <w:bCs/>
          <w:sz w:val="24"/>
          <w:szCs w:val="24"/>
        </w:rPr>
        <w:t xml:space="preserve">DEPARTMENT OF ADMINISTRATION</w:t>
      </w:r>
    </w:p>
    <w:p>
      <w:pPr>
        <w:spacing w:before="0" w:after="0" w:line="240" w:lineRule="auto"/>
        <w:jc w:val="center"/>
      </w:pPr>
      <w:r>
        <w:rPr>
          <w:b/>
          <w:bCs/>
          <w:sz w:val="24"/>
          <w:szCs w:val="24"/>
        </w:rPr>
        <w:t xml:space="preserve">BEFORE THE HEARING OFFICER</w:t>
      </w:r>
    </w:p>
    <w:tbl>
      <w:tblPr>
        <w:tblW w:type="pct" w:w="92%"/>
        <w:tblInd w:type="dxa" w:w="2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68%"/>
            <w:tcBorders>
              <w:top w:val="none" w:color="FFFFFF" w:sz="0"/>
              <w:left w:val="none" w:color="FFFFFF" w:sz="0"/>
              <w:bottom w:val="single" w:color="000000" w:sz="4"/>
              <w:right w:val="single" w:color="000000" w:sz="4"/>
            </w:tcBorders>
          </w:tcPr>
          <w:p>
            <w:pPr>
              <w:spacing w:before="0" w:after="0" w:line="240" w:lineRule="auto"/>
              <w:ind w:left="160" w:firstLine="0"/>
            </w:pPr>
            <w:r>
              <w:rPr>
                <w:sz w:val="24"/>
                <w:szCs w:val="24"/>
              </w:rPr>
              <w:t xml:space="preserve">In the Matter of the Contested</w:t>
            </w:r>
          </w:p>
          <w:p>
            <w:pPr>
              <w:spacing w:before="0" w:after="0" w:line="240" w:lineRule="auto"/>
              <w:ind w:left="160" w:firstLine="0"/>
            </w:pPr>
            <w:r>
              <w:rPr>
                <w:sz w:val="24"/>
                <w:szCs w:val="24"/>
              </w:rPr>
              <w:t xml:space="preserve">Industrial Insurance Claim of</w:t>
            </w:r>
          </w:p>
          <w:p>
            <w:pPr>
              <w:spacing w:before="0" w:after="0" w:line="240" w:lineRule="auto"/>
              <w:ind w:left="160" w:firstLine="0"/>
            </w:pPr>
            <w:r>
              <w:rPr>
                <w:sz w:val="24"/>
                <w:szCs w:val="24"/>
              </w:rPr>
              <w:t xml:space="preserve"/>
            </w:r>
          </w:p>
          <w:p>
            <w:pPr>
              <w:spacing w:before="0" w:after="0" w:line="240" w:lineRule="auto"/>
              <w:ind w:left="160" w:firstLine="0"/>
            </w:pPr>
            <w:r>
              <w:rPr>
                <w:b/>
                <w:bCs/>
                <w:sz w:val="24"/>
                <w:szCs w:val="24"/>
              </w:rPr>
              <w:t xml:space="preserve">PEYTON HUNTON,</w:t>
            </w:r>
          </w:p>
          <w:p>
            <w:pPr>
              <w:spacing w:before="0" w:after="0" w:line="240" w:lineRule="auto"/>
              <w:ind w:left="160" w:firstLine="0"/>
            </w:pPr>
            <w:r>
              <w:rPr>
                <w:i/>
                <w:iCs/>
                <w:sz w:val="24"/>
                <w:szCs w:val="24"/>
              </w:rPr>
              <w:t xml:space="preserve">Claimant,</w:t>
            </w:r>
          </w:p>
          <w:p>
            <w:pPr>
              <w:spacing w:before="0" w:after="0" w:line="240" w:lineRule="auto"/>
              <w:ind w:left="160" w:firstLine="0"/>
            </w:pPr>
            <w:r>
              <w:rPr>
                <w:sz w:val="24"/>
                <w:szCs w:val="24"/>
              </w:rPr>
              <w:t xml:space="preserve">v.</w:t>
            </w:r>
          </w:p>
          <w:p>
            <w:pPr>
              <w:spacing w:before="0" w:after="0" w:line="240" w:lineRule="auto"/>
              <w:ind w:left="160" w:firstLine="0"/>
            </w:pPr>
            <w:r>
              <w:rPr>
                <w:b/>
                <w:bCs/>
                <w:sz w:val="24"/>
                <w:szCs w:val="24"/>
              </w:rPr>
              <w:t xml:space="preserve">PAPI STEAK LAS VEGAS LLC,</w:t>
            </w:r>
          </w:p>
          <w:p>
            <w:pPr>
              <w:spacing w:before="0" w:after="0" w:line="240" w:lineRule="auto"/>
              <w:ind w:left="160" w:firstLine="0"/>
            </w:pPr>
            <w:r>
              <w:rPr>
                <w:i/>
                <w:iCs/>
                <w:sz w:val="24"/>
                <w:szCs w:val="24"/>
              </w:rPr>
              <w:t xml:space="preserve">Employer,</w:t>
            </w:r>
          </w:p>
          <w:p>
            <w:pPr>
              <w:spacing w:before="0" w:after="0" w:line="240" w:lineRule="auto"/>
              <w:ind w:left="160" w:firstLine="0"/>
            </w:pPr>
            <w:r>
              <w:rPr>
                <w:sz w:val="24"/>
                <w:szCs w:val="24"/>
              </w:rPr>
              <w:t xml:space="preserve">and</w:t>
            </w:r>
          </w:p>
          <w:p>
            <w:pPr>
              <w:spacing w:before="0" w:after="0" w:line="240" w:lineRule="auto"/>
              <w:ind w:left="160" w:firstLine="0"/>
            </w:pPr>
            <w:r>
              <w:rPr>
                <w:b/>
                <w:bCs/>
                <w:sz w:val="24"/>
                <w:szCs w:val="24"/>
              </w:rPr>
              <w:t xml:space="preserve">ZENITH INSURANCE COMPANY,</w:t>
            </w:r>
          </w:p>
          <w:p>
            <w:pPr>
              <w:spacing w:before="0" w:after="0" w:line="240" w:lineRule="auto"/>
              <w:ind w:left="160" w:firstLine="0"/>
            </w:pPr>
            <w:r>
              <w:rPr>
                <w:i/>
                <w:iCs/>
                <w:sz w:val="24"/>
                <w:szCs w:val="24"/>
              </w:rPr>
              <w:t xml:space="preserve">Insurer.</w:t>
            </w:r>
          </w:p>
        </w:tc>
        <w:tc>
          <w:tcPr>
            <w:tcW w:type="pct" w:w="32%"/>
            <w:tcBorders>
              <w:top w:val="none" w:color="FFFFFF" w:sz="0"/>
              <w:left w:val="none" w:color="FFFFFF" w:sz="0"/>
              <w:bottom w:val="none" w:color="FFFFFF" w:sz="0"/>
              <w:right w:val="none" w:color="FFFFFF" w:sz="0"/>
            </w:tcBorders>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44%"/>
                  <w:tcBorders>
                    <w:top w:val="none" w:color="FFFFFF" w:sz="0"/>
                    <w:left w:val="none" w:color="FFFFFF" w:sz="0"/>
                    <w:bottom w:val="none" w:color="FFFFFF" w:sz="0"/>
                    <w:right w:val="none" w:color="FFFFFF" w:sz="0"/>
                  </w:tcBorders>
                </w:tcPr>
                <w:p>
                  <w:pPr>
                    <w:spacing w:before="220" w:after="220" w:line="480" w:lineRule="auto"/>
                  </w:pPr>
                  <w:r>
                    <w:rPr>
                      <w:b/>
                      <w:bCs/>
                      <w:sz w:val="24"/>
                      <w:szCs w:val="24"/>
                    </w:rPr>
                    <w:t xml:space="preserve">Claim No.:</w:t>
                  </w:r>
                </w:p>
              </w:tc>
              <w:tc>
                <w:tcPr>
                  <w:tcW w:type="pct" w:w="56%"/>
                  <w:tcBorders>
                    <w:top w:val="none" w:color="FFFFFF" w:sz="0"/>
                    <w:left w:val="none" w:color="FFFFFF" w:sz="0"/>
                    <w:bottom w:val="none" w:color="FFFFFF" w:sz="0"/>
                    <w:right w:val="none" w:color="FFFFFF" w:sz="0"/>
                  </w:tcBorders>
                </w:tcPr>
                <w:p>
                  <w:pPr>
                    <w:spacing w:before="220" w:after="220" w:line="480" w:lineRule="auto"/>
                  </w:pPr>
                  <w:r>
                    <w:rPr>
                      <w:sz w:val="24"/>
                      <w:szCs w:val="24"/>
                    </w:rPr>
                    <w:t xml:space="preserve">190668037-001</w:t>
                  </w:r>
                </w:p>
              </w:tc>
            </w:tr>
            <w:tr>
              <w:tc>
                <w:tcPr>
                  <w:tcW w:type="pct" w:w="44%"/>
                  <w:tcBorders>
                    <w:top w:val="none" w:color="FFFFFF" w:sz="0"/>
                    <w:left w:val="none" w:color="FFFFFF" w:sz="0"/>
                    <w:bottom w:val="none" w:color="FFFFFF" w:sz="0"/>
                    <w:right w:val="none" w:color="FFFFFF" w:sz="0"/>
                  </w:tcBorders>
                </w:tcPr>
                <w:p>
                  <w:pPr>
                    <w:spacing w:before="0" w:after="220" w:line="480" w:lineRule="auto"/>
                  </w:pPr>
                  <w:r>
                    <w:rPr>
                      <w:b/>
                      <w:bCs/>
                      <w:sz w:val="24"/>
                      <w:szCs w:val="24"/>
                    </w:rPr>
                    <w:t xml:space="preserve">Hearing No.:</w:t>
                  </w:r>
                </w:p>
              </w:tc>
              <w:tc>
                <w:tcPr>
                  <w:tcW w:type="pct" w:w="56%"/>
                  <w:tcBorders>
                    <w:top w:val="none" w:color="FFFFFF" w:sz="0"/>
                    <w:left w:val="none" w:color="FFFFFF" w:sz="0"/>
                    <w:bottom w:val="none" w:color="FFFFFF" w:sz="0"/>
                    <w:right w:val="none" w:color="FFFFFF" w:sz="0"/>
                  </w:tcBorders>
                </w:tcPr>
                <w:p>
                  <w:pPr>
                    <w:spacing w:before="0" w:after="220" w:line="480" w:lineRule="auto"/>
                  </w:pPr>
                  <w:r>
                    <w:rPr>
                      <w:sz w:val="24"/>
                      <w:szCs w:val="24"/>
                    </w:rPr>
                    <w:t xml:space="preserve">HO-2680493-RA</w:t>
                  </w:r>
                </w:p>
              </w:tc>
            </w:tr>
            <w:tr>
              <w:tc>
                <w:tcPr>
                  <w:tcW w:type="pct" w:w="44%"/>
                  <w:tcBorders>
                    <w:top w:val="none" w:color="FFFFFF" w:sz="0"/>
                    <w:left w:val="none" w:color="FFFFFF" w:sz="0"/>
                    <w:bottom w:val="none" w:color="FFFFFF" w:sz="0"/>
                    <w:right w:val="none" w:color="FFFFFF" w:sz="0"/>
                  </w:tcBorders>
                </w:tcPr>
                <w:p>
                  <w:pPr>
                    <w:spacing w:before="0" w:after="220" w:line="480" w:lineRule="auto"/>
                  </w:pPr>
                  <w:r>
                    <w:rPr>
                      <w:b/>
                      <w:bCs/>
                      <w:sz w:val="24"/>
                      <w:szCs w:val="24"/>
                    </w:rPr>
                    <w:t xml:space="preserve">Date of Injury:</w:t>
                  </w:r>
                </w:p>
              </w:tc>
              <w:tc>
                <w:tcPr>
                  <w:tcW w:type="pct" w:w="56%"/>
                  <w:tcBorders>
                    <w:top w:val="none" w:color="FFFFFF" w:sz="0"/>
                    <w:left w:val="none" w:color="FFFFFF" w:sz="0"/>
                    <w:bottom w:val="none" w:color="FFFFFF" w:sz="0"/>
                    <w:right w:val="none" w:color="FFFFFF" w:sz="0"/>
                  </w:tcBorders>
                </w:tcPr>
                <w:p>
                  <w:pPr>
                    <w:spacing w:before="0" w:after="220" w:line="480" w:lineRule="auto"/>
                  </w:pPr>
                  <w:r>
                    <w:rPr>
                      <w:sz w:val="24"/>
                      <w:szCs w:val="24"/>
                    </w:rPr>
                    <w:t xml:space="preserve">August 1, 2025</w:t>
                  </w:r>
                </w:p>
              </w:tc>
            </w:tr>
          </w:tbl>
          <w:p/>
        </w:tc>
      </w:tr>
    </w:tbl>
    <w:p>
      <w:pPr>
        <w:spacing w:before="0" w:after="240" w:line="240" w:lineRule="auto"/>
      </w:pPr>
    </w:p>
    <w:p>
      <w:pPr>
        <w:spacing w:before="0" w:after="0" w:line="240" w:lineRule="auto"/>
        <w:jc w:val="center"/>
      </w:pPr>
      <w:r>
        <w:rPr>
          <w:b/>
          <w:bCs/>
          <w:sz w:val="24"/>
          <w:szCs w:val="24"/>
        </w:rPr>
        <w:t xml:space="preserve">HEARING OFFICER DECISION AND ORDER</w:t>
      </w:r>
    </w:p>
    <w:p>
      <w:pPr>
        <w:spacing w:before="0" w:after="0" w:line="480" w:lineRule="auto"/>
        <w:ind w:left="270" w:right="90" w:firstLine="0"/>
      </w:pPr>
      <w:r>
        <w:rPr>
          <w:b/>
          <w:bCs/>
          <w:sz w:val="24"/>
          <w:szCs w:val="24"/>
        </w:rPr>
        <w:t xml:space="preserve">I. PROCEDURAL HISTORY</w:t>
      </w:r>
    </w:p>
    <w:p>
      <w:pPr>
        <w:spacing w:before="0" w:after="0" w:line="480" w:lineRule="auto"/>
        <w:ind w:left="270" w:right="90" w:firstLine="450"/>
        <w:jc w:val="both"/>
      </w:pPr>
      <w:r>
        <w:rPr>
          <w:sz w:val="24"/>
          <w:szCs w:val="24"/>
        </w:rPr>
        <w:t xml:space="preserve">This matter came before the undersigned Hearing Officer on October 29, 2025, pursuant to NRS 616C.305 et seq., on Claimant Peyton Hunton's appeal of the Insurer's denial of Temporary Total Disability (TTD) benefits.</w:t>
      </w:r>
    </w:p>
    <w:p>
      <w:pPr>
        <w:spacing w:before="0" w:after="0" w:line="480" w:lineRule="auto"/>
        <w:ind w:left="270" w:right="90" w:firstLine="450"/>
        <w:jc w:val="both"/>
      </w:pPr>
      <w:r>
        <w:rPr>
          <w:sz w:val="24"/>
          <w:szCs w:val="24"/>
        </w:rPr>
        <w:t xml:space="preserve">Claimant Peyton Hunton appeared through her authorized representative, Omar Munguia, Licensed Hearing Representative for Muslusky Law.</w:t>
      </w:r>
    </w:p>
    <w:p>
      <w:pPr>
        <w:spacing w:before="0" w:after="0" w:line="480" w:lineRule="auto"/>
        <w:ind w:left="270" w:right="90" w:firstLine="450"/>
        <w:jc w:val="both"/>
      </w:pPr>
      <w:r>
        <w:rPr>
          <w:sz w:val="24"/>
          <w:szCs w:val="24"/>
        </w:rPr>
        <w:t xml:space="preserve">Employer Papi Steak Las Vegas LLC and Insurer Zenith Insurance Company (claims administered by Broadspire Services, Inc.) appeared through Juan Sclafani, Esq., of Hooks, Meng &amp; Clement, PLLC.</w:t>
      </w:r>
    </w:p>
    <w:p>
      <w:pPr>
        <w:spacing w:before="0" w:after="0" w:line="480" w:lineRule="auto"/>
        <w:ind w:left="270" w:right="90" w:firstLine="450"/>
        <w:jc w:val="both"/>
      </w:pPr>
      <w:r>
        <w:rPr>
          <w:sz w:val="24"/>
          <w:szCs w:val="24"/>
        </w:rPr>
        <w:t xml:space="preserve">The hearing was conducted in accordance with Nevada Administrative Code Chapter 616C and the applicable provisions of the Nevada Revised Statutes.</w:t>
      </w:r>
    </w:p>
    <w:p>
      <w:pPr>
        <w:spacing w:before="0" w:after="0" w:line="480" w:lineRule="auto"/>
        <w:ind w:left="270" w:right="90" w:firstLine="0"/>
      </w:pPr>
      <w:r>
        <w:rPr>
          <w:b/>
          <w:bCs/>
          <w:sz w:val="24"/>
          <w:szCs w:val="24"/>
        </w:rPr>
        <w:t xml:space="preserve">II. ISSUE PRESENTED</w:t>
      </w:r>
    </w:p>
    <w:p>
      <w:pPr>
        <w:spacing w:before="0" w:after="0" w:line="480" w:lineRule="auto"/>
        <w:ind w:left="270" w:right="90" w:firstLine="450"/>
        <w:jc w:val="both"/>
      </w:pPr>
      <w:r>
        <w:rPr>
          <w:sz w:val="24"/>
          <w:szCs w:val="24"/>
        </w:rPr>
        <w:t xml:space="preserve">The sole issue before the Hearing Officer is whether the Insurer's denial of Temporary Total Disability (TTD) benefits to Claimant Peyton Hunton for the periods following her August 1, 2025 industrial injury was proper under NRS 616C.475.</w:t>
      </w:r>
    </w:p>
    <w:p>
      <w:pPr>
        <w:spacing w:before="0" w:after="0" w:line="480" w:lineRule="auto"/>
        <w:ind w:left="270" w:right="90" w:firstLine="0"/>
      </w:pPr>
      <w:r>
        <w:rPr>
          <w:b/>
          <w:bCs/>
          <w:sz w:val="24"/>
          <w:szCs w:val="24"/>
        </w:rPr>
        <w:t xml:space="preserve">III. EXHIBITS ADMITTED</w:t>
      </w:r>
    </w:p>
    <w:p>
      <w:pPr>
        <w:spacing w:before="0" w:after="0" w:line="480" w:lineRule="auto"/>
        <w:ind w:left="270" w:right="90" w:firstLine="450"/>
        <w:jc w:val="both"/>
      </w:pPr>
      <w:r>
        <w:rPr>
          <w:sz w:val="24"/>
          <w:szCs w:val="24"/>
        </w:rPr>
        <w:t xml:space="preserve">The following exhibits were admitted into evidence without objection:</w:t>
      </w:r>
    </w:p>
    <w:p>
      <w:pPr>
        <w:spacing w:before="0" w:after="0" w:line="480" w:lineRule="auto"/>
        <w:ind w:left="270" w:right="90" w:firstLine="450"/>
        <w:jc w:val="both"/>
      </w:pPr>
      <w:r>
        <w:rPr>
          <w:sz w:val="24"/>
          <w:szCs w:val="24"/>
        </w:rPr>
        <w:t xml:space="preserve">Claimant's Exhibits:</w:t>
      </w:r>
    </w:p>
    <w:p>
      <w:pPr>
        <w:spacing w:before="0" w:after="0" w:line="480" w:lineRule="auto"/>
        <w:ind w:left="630" w:right="90" w:hanging="320"/>
        <w:jc w:val="both"/>
      </w:pPr>
      <w:r>
        <w:rPr>
          <w:b/>
          <w:bCs/>
          <w:sz w:val="24"/>
          <w:szCs w:val="24"/>
        </w:rPr>
        <w:t xml:space="preserve">• </w:t>
      </w:r>
      <w:r>
        <w:rPr>
          <w:sz w:val="24"/>
          <w:szCs w:val="24"/>
        </w:rPr>
        <w:t xml:space="preserve">Exhibit A: Form C-4, Employee's Claim for Compensation</w:t>
      </w:r>
    </w:p>
    <w:p>
      <w:pPr>
        <w:spacing w:before="0" w:after="0" w:line="480" w:lineRule="auto"/>
        <w:ind w:left="630" w:right="90" w:hanging="320"/>
        <w:jc w:val="both"/>
      </w:pPr>
      <w:r>
        <w:rPr>
          <w:b/>
          <w:bCs/>
          <w:sz w:val="24"/>
          <w:szCs w:val="24"/>
        </w:rPr>
        <w:t xml:space="preserve">• </w:t>
      </w:r>
      <w:r>
        <w:rPr>
          <w:sz w:val="24"/>
          <w:szCs w:val="24"/>
        </w:rPr>
        <w:t xml:space="preserve">Exhibit B: Concentra Medical Records, including Work Activity Status Reports dated August 2, 2025, August 8, 2025, and August 12, 2025</w:t>
      </w:r>
    </w:p>
    <w:p>
      <w:pPr>
        <w:spacing w:before="0" w:after="0" w:line="480" w:lineRule="auto"/>
        <w:ind w:left="630" w:right="90" w:hanging="320"/>
        <w:jc w:val="both"/>
      </w:pPr>
      <w:r>
        <w:rPr>
          <w:b/>
          <w:bCs/>
          <w:sz w:val="24"/>
          <w:szCs w:val="24"/>
        </w:rPr>
        <w:t xml:space="preserve">• </w:t>
      </w:r>
      <w:r>
        <w:rPr>
          <w:sz w:val="24"/>
          <w:szCs w:val="24"/>
        </w:rPr>
        <w:t xml:space="preserve">Exhibit C: Occupational Therapy Treatment Records dated August 19, 2025 through September 26, 2025</w:t>
      </w:r>
    </w:p>
    <w:p>
      <w:pPr>
        <w:spacing w:before="0" w:after="0" w:line="480" w:lineRule="auto"/>
        <w:ind w:left="630" w:right="90" w:hanging="320"/>
        <w:jc w:val="both"/>
      </w:pPr>
      <w:r>
        <w:rPr>
          <w:b/>
          <w:bCs/>
          <w:sz w:val="24"/>
          <w:szCs w:val="24"/>
        </w:rPr>
        <w:t xml:space="preserve">• </w:t>
      </w:r>
      <w:r>
        <w:rPr>
          <w:sz w:val="24"/>
          <w:szCs w:val="24"/>
        </w:rPr>
        <w:t xml:space="preserve">Exhibit D: Average Monthly Wage Calculation (D-5 Form)</w:t>
      </w:r>
    </w:p>
    <w:p>
      <w:pPr>
        <w:spacing w:before="0" w:after="0" w:line="480" w:lineRule="auto"/>
        <w:ind w:left="630" w:right="90" w:hanging="320"/>
        <w:jc w:val="both"/>
      </w:pPr>
      <w:r>
        <w:rPr>
          <w:b/>
          <w:bCs/>
          <w:sz w:val="24"/>
          <w:szCs w:val="24"/>
        </w:rPr>
        <w:t xml:space="preserve">• </w:t>
      </w:r>
      <w:r>
        <w:rPr>
          <w:sz w:val="24"/>
          <w:szCs w:val="24"/>
        </w:rPr>
        <w:t xml:space="preserve">Exhibit E: Insurer's TTD Benefit Denial Letters</w:t>
      </w:r>
    </w:p>
    <w:p>
      <w:pPr>
        <w:spacing w:before="0" w:after="0" w:line="480" w:lineRule="auto"/>
        <w:ind w:left="630" w:right="90" w:hanging="320"/>
        <w:jc w:val="both"/>
      </w:pPr>
      <w:r>
        <w:rPr>
          <w:b/>
          <w:bCs/>
          <w:sz w:val="24"/>
          <w:szCs w:val="24"/>
        </w:rPr>
        <w:t xml:space="preserve">• </w:t>
      </w:r>
      <w:r>
        <w:rPr>
          <w:sz w:val="24"/>
          <w:szCs w:val="24"/>
        </w:rPr>
        <w:t xml:space="preserve">Exhibit F: Job Description for Bartender position at Papi Steak</w:t>
      </w:r>
    </w:p>
    <w:p>
      <w:pPr>
        <w:spacing w:before="0" w:after="0" w:line="480" w:lineRule="auto"/>
        <w:ind w:left="270" w:right="90" w:firstLine="450"/>
        <w:jc w:val="both"/>
      </w:pPr>
      <w:r>
        <w:rPr>
          <w:sz w:val="24"/>
          <w:szCs w:val="24"/>
        </w:rPr>
        <w:t xml:space="preserve">Insurer/Employer's Exhibits:</w:t>
      </w:r>
    </w:p>
    <w:p>
      <w:pPr>
        <w:spacing w:before="0" w:after="0" w:line="480" w:lineRule="auto"/>
        <w:ind w:left="630" w:right="90" w:hanging="320"/>
        <w:jc w:val="both"/>
      </w:pPr>
      <w:r>
        <w:rPr>
          <w:b/>
          <w:bCs/>
          <w:sz w:val="24"/>
          <w:szCs w:val="24"/>
        </w:rPr>
        <w:t xml:space="preserve">• </w:t>
      </w:r>
      <w:r>
        <w:rPr>
          <w:sz w:val="24"/>
          <w:szCs w:val="24"/>
        </w:rPr>
        <w:t xml:space="preserve">Exhibit 1: Form C-3, Employer's Report of Industrial Injury</w:t>
      </w:r>
    </w:p>
    <w:p>
      <w:pPr>
        <w:spacing w:before="0" w:after="0" w:line="480" w:lineRule="auto"/>
        <w:ind w:left="630" w:right="90" w:hanging="320"/>
        <w:jc w:val="both"/>
      </w:pPr>
      <w:r>
        <w:rPr>
          <w:b/>
          <w:bCs/>
          <w:sz w:val="24"/>
          <w:szCs w:val="24"/>
        </w:rPr>
        <w:t xml:space="preserve">• </w:t>
      </w:r>
      <w:r>
        <w:rPr>
          <w:sz w:val="24"/>
          <w:szCs w:val="24"/>
        </w:rPr>
        <w:t xml:space="preserve">Exhibit 2: Claim Investigation File</w:t>
      </w:r>
    </w:p>
    <w:p>
      <w:pPr>
        <w:spacing w:before="0" w:after="0" w:line="480" w:lineRule="auto"/>
        <w:ind w:left="630" w:right="90" w:hanging="320"/>
        <w:jc w:val="both"/>
      </w:pPr>
      <w:r>
        <w:rPr>
          <w:b/>
          <w:bCs/>
          <w:sz w:val="24"/>
          <w:szCs w:val="24"/>
        </w:rPr>
        <w:t xml:space="preserve">• </w:t>
      </w:r>
      <w:r>
        <w:rPr>
          <w:sz w:val="24"/>
          <w:szCs w:val="24"/>
        </w:rPr>
        <w:t xml:space="preserve">Exhibit 3: Medical Records from Concentra Medical Center</w:t>
      </w:r>
    </w:p>
    <w:p>
      <w:pPr>
        <w:spacing w:before="0" w:after="0" w:line="480" w:lineRule="auto"/>
        <w:ind w:left="270" w:right="90" w:firstLine="0"/>
      </w:pPr>
      <w:r>
        <w:rPr>
          <w:b/>
          <w:bCs/>
          <w:sz w:val="24"/>
          <w:szCs w:val="24"/>
        </w:rPr>
        <w:t xml:space="preserve">IV. FINDINGS OF FACT</w:t>
      </w:r>
    </w:p>
    <w:p>
      <w:pPr>
        <w:spacing w:before="0" w:after="0" w:line="480" w:lineRule="auto"/>
        <w:ind w:left="270" w:right="90" w:firstLine="450"/>
        <w:jc w:val="both"/>
      </w:pPr>
      <w:r>
        <w:rPr>
          <w:sz w:val="24"/>
          <w:szCs w:val="24"/>
        </w:rPr>
        <w:t xml:space="preserve">Based upon the evidence presented, the testimony of the parties, and the applicable law, the Hearing Officer makes the following findings of fact:</w:t>
      </w:r>
    </w:p>
    <w:p>
      <w:pPr>
        <w:spacing w:before="0" w:after="0" w:line="480" w:lineRule="auto"/>
        <w:ind w:left="270" w:right="90" w:firstLine="0"/>
      </w:pPr>
      <w:r>
        <w:rPr>
          <w:b/>
          <w:bCs/>
          <w:sz w:val="24"/>
          <w:szCs w:val="24"/>
        </w:rPr>
        <w:t xml:space="preserve">A. BACKGROUND AND EMPLOYMENT</w:t>
      </w:r>
    </w:p>
    <w:p>
      <w:pPr>
        <w:spacing w:before="0" w:after="0" w:line="480" w:lineRule="auto"/>
        <w:ind w:left="630" w:right="90" w:hanging="320"/>
        <w:jc w:val="both"/>
      </w:pPr>
      <w:r>
        <w:rPr>
          <w:b/>
          <w:bCs/>
          <w:sz w:val="24"/>
          <w:szCs w:val="24"/>
        </w:rPr>
        <w:t xml:space="preserve">1. </w:t>
      </w:r>
      <w:r>
        <w:rPr>
          <w:sz w:val="24"/>
          <w:szCs w:val="24"/>
        </w:rPr>
        <w:t xml:space="preserve">At all times relevant to this claim, Claimant Peyton Hunton was employed by Papi Steak Las Vegas LLC as a bartender at 2777 Las Vegas Blvd S, Las Vegas, Nevada 89109.</w:t>
      </w:r>
    </w:p>
    <w:p>
      <w:pPr>
        <w:spacing w:before="0" w:after="0" w:line="480" w:lineRule="auto"/>
        <w:ind w:left="630" w:right="90" w:hanging="320"/>
        <w:jc w:val="both"/>
      </w:pPr>
      <w:r>
        <w:rPr>
          <w:b/>
          <w:bCs/>
          <w:sz w:val="24"/>
          <w:szCs w:val="24"/>
        </w:rPr>
        <w:t xml:space="preserve">2. </w:t>
      </w:r>
      <w:r>
        <w:rPr>
          <w:sz w:val="24"/>
          <w:szCs w:val="24"/>
        </w:rPr>
        <w:t xml:space="preserve">Claimant was hired on November 13, 2024, and her employment duties included preparing cocktails, serving beverages, handling glassware, carrying trays, mixing drinks, and performing all duties customary to bartending in a high-volume restaurant environment.</w:t>
      </w:r>
    </w:p>
    <w:p>
      <w:pPr>
        <w:spacing w:before="0" w:after="0" w:line="480" w:lineRule="auto"/>
        <w:ind w:left="630" w:right="90" w:hanging="320"/>
        <w:jc w:val="both"/>
      </w:pPr>
      <w:r>
        <w:rPr>
          <w:b/>
          <w:bCs/>
          <w:sz w:val="24"/>
          <w:szCs w:val="24"/>
        </w:rPr>
        <w:t xml:space="preserve">3. </w:t>
      </w:r>
      <w:r>
        <w:rPr>
          <w:sz w:val="24"/>
          <w:szCs w:val="24"/>
        </w:rPr>
        <w:t xml:space="preserve">The bartender position requires significant manual dexterity, frequent gripping and handling of glassware, ability to lift objects up to 20 pounds repeatedly, and the performance of tasks requiring full use of both hands.</w:t>
      </w:r>
    </w:p>
    <w:p>
      <w:pPr>
        <w:spacing w:before="0" w:after="0" w:line="480" w:lineRule="auto"/>
        <w:ind w:left="630" w:right="90" w:hanging="320"/>
        <w:jc w:val="both"/>
      </w:pPr>
      <w:r>
        <w:rPr>
          <w:b/>
          <w:bCs/>
          <w:sz w:val="24"/>
          <w:szCs w:val="24"/>
        </w:rPr>
        <w:t xml:space="preserve">4. </w:t>
      </w:r>
      <w:r>
        <w:rPr>
          <w:sz w:val="24"/>
          <w:szCs w:val="24"/>
        </w:rPr>
        <w:t xml:space="preserve">At the time of the industrial injury, Claimant's Average Monthly Wage (AMW) was $4,053.94, as confirmed by the Insurer on August 29, 2025, based on 84 days of wage data.</w:t>
      </w:r>
    </w:p>
    <w:p>
      <w:pPr>
        <w:spacing w:before="0" w:after="0" w:line="480" w:lineRule="auto"/>
        <w:ind w:left="630" w:right="90" w:hanging="320"/>
        <w:jc w:val="both"/>
      </w:pPr>
      <w:r>
        <w:rPr>
          <w:b/>
          <w:bCs/>
          <w:sz w:val="24"/>
          <w:szCs w:val="24"/>
        </w:rPr>
        <w:t xml:space="preserve">5. </w:t>
      </w:r>
      <w:r>
        <w:rPr>
          <w:sz w:val="24"/>
          <w:szCs w:val="24"/>
        </w:rPr>
        <w:t xml:space="preserve">The applicable TTD compensation rate is 66.67% of the AMW, resulting in a daily benefit rate of $88.78.</w:t>
      </w:r>
    </w:p>
    <w:p>
      <w:pPr>
        <w:spacing w:before="0" w:after="0" w:line="480" w:lineRule="auto"/>
        <w:ind w:left="270" w:right="90" w:firstLine="0"/>
      </w:pPr>
      <w:r>
        <w:rPr>
          <w:b/>
          <w:bCs/>
          <w:sz w:val="24"/>
          <w:szCs w:val="24"/>
        </w:rPr>
        <w:t xml:space="preserve">B. THE INDUSTRIAL INJURY</w:t>
      </w:r>
    </w:p>
    <w:p>
      <w:pPr>
        <w:spacing w:before="0" w:after="0" w:line="480" w:lineRule="auto"/>
        <w:ind w:left="630" w:right="90" w:hanging="320"/>
        <w:jc w:val="both"/>
      </w:pPr>
      <w:r>
        <w:rPr>
          <w:b/>
          <w:bCs/>
          <w:sz w:val="24"/>
          <w:szCs w:val="24"/>
        </w:rPr>
        <w:t xml:space="preserve">6. </w:t>
      </w:r>
      <w:r>
        <w:rPr>
          <w:sz w:val="24"/>
          <w:szCs w:val="24"/>
        </w:rPr>
        <w:t xml:space="preserve">On August 1, 2025, while Claimant was performing her regular bartending duties at Papi Steak, a coworker (barback) collided with her while she was handling thick glasses.</w:t>
      </w:r>
    </w:p>
    <w:p>
      <w:pPr>
        <w:spacing w:before="0" w:after="0" w:line="480" w:lineRule="auto"/>
        <w:ind w:left="630" w:right="90" w:hanging="320"/>
        <w:jc w:val="both"/>
      </w:pPr>
      <w:r>
        <w:rPr>
          <w:b/>
          <w:bCs/>
          <w:sz w:val="24"/>
          <w:szCs w:val="24"/>
        </w:rPr>
        <w:t xml:space="preserve">7. </w:t>
      </w:r>
      <w:r>
        <w:rPr>
          <w:sz w:val="24"/>
          <w:szCs w:val="24"/>
        </w:rPr>
        <w:t xml:space="preserve">The collision caused the glasses to break, and a shard of broken glass lacerated Claimant's right middle finger.</w:t>
      </w:r>
    </w:p>
    <w:p>
      <w:pPr>
        <w:spacing w:before="0" w:after="0" w:line="480" w:lineRule="auto"/>
        <w:ind w:left="630" w:right="90" w:hanging="320"/>
        <w:jc w:val="both"/>
      </w:pPr>
      <w:r>
        <w:rPr>
          <w:b/>
          <w:bCs/>
          <w:sz w:val="24"/>
          <w:szCs w:val="24"/>
        </w:rPr>
        <w:t xml:space="preserve">8. </w:t>
      </w:r>
      <w:r>
        <w:rPr>
          <w:sz w:val="24"/>
          <w:szCs w:val="24"/>
        </w:rPr>
        <w:t xml:space="preserve">The injury occurred in the course and scope of Claimant's employment and arose out of her employment duties.</w:t>
      </w:r>
    </w:p>
    <w:p>
      <w:pPr>
        <w:spacing w:before="0" w:after="0" w:line="480" w:lineRule="auto"/>
        <w:ind w:left="630" w:right="90" w:hanging="320"/>
        <w:jc w:val="both"/>
      </w:pPr>
      <w:r>
        <w:rPr>
          <w:b/>
          <w:bCs/>
          <w:sz w:val="24"/>
          <w:szCs w:val="24"/>
        </w:rPr>
        <w:t xml:space="preserve">9. </w:t>
      </w:r>
      <w:r>
        <w:rPr>
          <w:sz w:val="24"/>
          <w:szCs w:val="24"/>
        </w:rPr>
        <w:t xml:space="preserve">Claimant immediately sought medical attention and reported the injury to her employer.</w:t>
      </w:r>
    </w:p>
    <w:p>
      <w:pPr>
        <w:spacing w:before="0" w:after="0" w:line="480" w:lineRule="auto"/>
        <w:ind w:left="270" w:right="90" w:firstLine="0"/>
      </w:pPr>
      <w:r>
        <w:rPr>
          <w:b/>
          <w:bCs/>
          <w:sz w:val="24"/>
          <w:szCs w:val="24"/>
        </w:rPr>
        <w:t xml:space="preserve">C. MEDICAL TREATMENT AND WORK RESTRICTIONS</w:t>
      </w:r>
    </w:p>
    <w:p>
      <w:pPr>
        <w:spacing w:before="0" w:after="0" w:line="480" w:lineRule="auto"/>
        <w:ind w:left="630" w:right="90" w:hanging="320"/>
        <w:jc w:val="both"/>
      </w:pPr>
      <w:r>
        <w:rPr>
          <w:b/>
          <w:bCs/>
          <w:sz w:val="24"/>
          <w:szCs w:val="24"/>
        </w:rPr>
        <w:t xml:space="preserve">10. </w:t>
      </w:r>
      <w:r>
        <w:rPr>
          <w:sz w:val="24"/>
          <w:szCs w:val="24"/>
        </w:rPr>
        <w:t xml:space="preserve">On August 2, 2025, Claimant presented to Concentra Medical Center for initial treatment of her right middle finger laceration.</w:t>
      </w:r>
    </w:p>
    <w:p>
      <w:pPr>
        <w:spacing w:before="0" w:after="0" w:line="480" w:lineRule="auto"/>
        <w:ind w:left="630" w:right="90" w:hanging="320"/>
        <w:jc w:val="both"/>
      </w:pPr>
      <w:r>
        <w:rPr>
          <w:b/>
          <w:bCs/>
          <w:sz w:val="24"/>
          <w:szCs w:val="24"/>
        </w:rPr>
        <w:t xml:space="preserve">11. </w:t>
      </w:r>
      <w:r>
        <w:rPr>
          <w:sz w:val="24"/>
          <w:szCs w:val="24"/>
        </w:rPr>
        <w:t xml:space="preserve">The treating provider diagnosed Claimant with a laceration without foreign body of the right middle finger without damage to the nail, assigned ICD-10 diagnosis code S61.212A.</w:t>
      </w:r>
    </w:p>
    <w:p>
      <w:pPr>
        <w:spacing w:before="0" w:after="0" w:line="480" w:lineRule="auto"/>
        <w:ind w:left="630" w:right="90" w:hanging="320"/>
        <w:jc w:val="both"/>
      </w:pPr>
      <w:r>
        <w:rPr>
          <w:b/>
          <w:bCs/>
          <w:sz w:val="24"/>
          <w:szCs w:val="24"/>
        </w:rPr>
        <w:t xml:space="preserve">12. </w:t>
      </w:r>
      <w:r>
        <w:rPr>
          <w:sz w:val="24"/>
          <w:szCs w:val="24"/>
        </w:rPr>
        <w:t xml:space="preserve">On August 2, 2025, Concentra issued a Work Activity Status Report indicating Claimant could return to modified work with restrictions.</w:t>
      </w:r>
    </w:p>
    <w:p>
      <w:pPr>
        <w:spacing w:before="0" w:after="0" w:line="480" w:lineRule="auto"/>
        <w:ind w:left="630" w:right="90" w:hanging="320"/>
        <w:jc w:val="both"/>
      </w:pPr>
      <w:r>
        <w:rPr>
          <w:b/>
          <w:bCs/>
          <w:sz w:val="24"/>
          <w:szCs w:val="24"/>
        </w:rPr>
        <w:t xml:space="preserve">13. </w:t>
      </w:r>
      <w:r>
        <w:rPr>
          <w:sz w:val="24"/>
          <w:szCs w:val="24"/>
        </w:rPr>
        <w:t xml:space="preserve">On August 8, 2025, Concentra Medical Center issued a Work Activity Status Report placing the following work restrictions on Claimant: - Maximum lift right hand: 2 pounds - Keep wound clean and dry</w:t>
      </w:r>
    </w:p>
    <w:p>
      <w:pPr>
        <w:spacing w:before="0" w:after="0" w:line="480" w:lineRule="auto"/>
        <w:ind w:left="630" w:right="90" w:hanging="320"/>
        <w:jc w:val="both"/>
      </w:pPr>
      <w:r>
        <w:rPr>
          <w:b/>
          <w:bCs/>
          <w:sz w:val="24"/>
          <w:szCs w:val="24"/>
        </w:rPr>
        <w:t xml:space="preserve">14. </w:t>
      </w:r>
      <w:r>
        <w:rPr>
          <w:sz w:val="24"/>
          <w:szCs w:val="24"/>
        </w:rPr>
        <w:t xml:space="preserve">The August 8, 2025 work restrictions remained in effect through at least August 19, 2025.</w:t>
      </w:r>
    </w:p>
    <w:p>
      <w:pPr>
        <w:spacing w:before="0" w:after="0" w:line="480" w:lineRule="auto"/>
        <w:ind w:left="630" w:right="90" w:hanging="320"/>
        <w:jc w:val="both"/>
      </w:pPr>
      <w:r>
        <w:rPr>
          <w:b/>
          <w:bCs/>
          <w:sz w:val="24"/>
          <w:szCs w:val="24"/>
        </w:rPr>
        <w:t xml:space="preserve">15. </w:t>
      </w:r>
      <w:r>
        <w:rPr>
          <w:sz w:val="24"/>
          <w:szCs w:val="24"/>
        </w:rPr>
        <w:t xml:space="preserve">On August 12, 2025, Concentra Medical Center issued an updated Work Activity Status Report continuing the same work restrictions: - Maximum lift right hand: 2 pounds - Keep wound clean and dry</w:t>
      </w:r>
    </w:p>
    <w:p>
      <w:pPr>
        <w:spacing w:before="0" w:after="0" w:line="480" w:lineRule="auto"/>
        <w:ind w:left="630" w:right="90" w:hanging="320"/>
        <w:jc w:val="both"/>
      </w:pPr>
      <w:r>
        <w:rPr>
          <w:b/>
          <w:bCs/>
          <w:sz w:val="24"/>
          <w:szCs w:val="24"/>
        </w:rPr>
        <w:t xml:space="preserve">16. </w:t>
      </w:r>
      <w:r>
        <w:rPr>
          <w:sz w:val="24"/>
          <w:szCs w:val="24"/>
        </w:rPr>
        <w:t xml:space="preserve">These work restrictions continued through the relevant benefit periods at issue.</w:t>
      </w:r>
    </w:p>
    <w:p>
      <w:pPr>
        <w:spacing w:before="0" w:after="0" w:line="480" w:lineRule="auto"/>
        <w:ind w:left="630" w:right="90" w:hanging="320"/>
        <w:jc w:val="both"/>
      </w:pPr>
      <w:r>
        <w:rPr>
          <w:b/>
          <w:bCs/>
          <w:sz w:val="24"/>
          <w:szCs w:val="24"/>
        </w:rPr>
        <w:t xml:space="preserve">17. </w:t>
      </w:r>
      <w:r>
        <w:rPr>
          <w:sz w:val="24"/>
          <w:szCs w:val="24"/>
        </w:rPr>
        <w:t xml:space="preserve">Claimant was referred for and attended occupational therapy sessions at Concentra Medical Center to treat her right middle finger laceration and associated functional limitations.</w:t>
      </w:r>
    </w:p>
    <w:p>
      <w:pPr>
        <w:spacing w:before="0" w:after="0" w:line="480" w:lineRule="auto"/>
        <w:ind w:left="630" w:right="90" w:hanging="320"/>
        <w:jc w:val="both"/>
      </w:pPr>
      <w:r>
        <w:rPr>
          <w:b/>
          <w:bCs/>
          <w:sz w:val="24"/>
          <w:szCs w:val="24"/>
        </w:rPr>
        <w:t xml:space="preserve">18. </w:t>
      </w:r>
      <w:r>
        <w:rPr>
          <w:sz w:val="24"/>
          <w:szCs w:val="24"/>
        </w:rPr>
        <w:t xml:space="preserve">The medical records document objective findings consistent with Claimant's right middle finger laceration, including wound care needs, pain, reduced grip strength, and functional limitations.</w:t>
      </w:r>
    </w:p>
    <w:p>
      <w:pPr>
        <w:spacing w:before="0" w:after="0" w:line="480" w:lineRule="auto"/>
        <w:ind w:left="270" w:right="90" w:firstLine="0"/>
      </w:pPr>
      <w:r>
        <w:rPr>
          <w:b/>
          <w:bCs/>
          <w:sz w:val="24"/>
          <w:szCs w:val="24"/>
        </w:rPr>
        <w:t xml:space="preserve">D. INABILITY TO PERFORM WORK DUTIES</w:t>
      </w:r>
    </w:p>
    <w:p>
      <w:pPr>
        <w:spacing w:before="0" w:after="0" w:line="480" w:lineRule="auto"/>
        <w:ind w:left="630" w:right="90" w:hanging="320"/>
        <w:jc w:val="both"/>
      </w:pPr>
      <w:r>
        <w:rPr>
          <w:b/>
          <w:bCs/>
          <w:sz w:val="24"/>
          <w:szCs w:val="24"/>
        </w:rPr>
        <w:t xml:space="preserve">19. </w:t>
      </w:r>
      <w:r>
        <w:rPr>
          <w:sz w:val="24"/>
          <w:szCs w:val="24"/>
        </w:rPr>
        <w:t xml:space="preserve">The essential functions of Claimant's bartender position require: - Frequent gripping, grasping, and handling of glassware and bottles - Lifting and carrying trays with beverages weighing more than 2 pounds - Repetitive use of both hands for mixing drinks, pouring beverages, and serving customers - Ability to maintain wound hygiene in a fast-paced bar environment with exposure to liquids and potential contamination - Full dexterity and strength in both hands</w:t>
      </w:r>
    </w:p>
    <w:p>
      <w:pPr>
        <w:spacing w:before="0" w:after="0" w:line="480" w:lineRule="auto"/>
        <w:ind w:left="630" w:right="90" w:hanging="320"/>
        <w:jc w:val="both"/>
      </w:pPr>
      <w:r>
        <w:rPr>
          <w:b/>
          <w:bCs/>
          <w:sz w:val="24"/>
          <w:szCs w:val="24"/>
        </w:rPr>
        <w:t xml:space="preserve">20. </w:t>
      </w:r>
      <w:r>
        <w:rPr>
          <w:sz w:val="24"/>
          <w:szCs w:val="24"/>
        </w:rPr>
        <w:t xml:space="preserve">The work restriction limiting Claimant to lifting no more than 2 pounds with her right hand rendered her unable to perform the essential functions of her bartending position.</w:t>
      </w:r>
    </w:p>
    <w:p>
      <w:pPr>
        <w:spacing w:before="0" w:after="0" w:line="480" w:lineRule="auto"/>
        <w:ind w:left="630" w:right="90" w:hanging="320"/>
        <w:jc w:val="both"/>
      </w:pPr>
      <w:r>
        <w:rPr>
          <w:b/>
          <w:bCs/>
          <w:sz w:val="24"/>
          <w:szCs w:val="24"/>
        </w:rPr>
        <w:t xml:space="preserve">21. </w:t>
      </w:r>
      <w:r>
        <w:rPr>
          <w:sz w:val="24"/>
          <w:szCs w:val="24"/>
        </w:rPr>
        <w:t xml:space="preserve">The restriction to keep the wound clean and dry was incompatible with working in a bar environment where Claimant would be constantly exposed to liquids, ice, and other contaminants.</w:t>
      </w:r>
    </w:p>
    <w:p>
      <w:pPr>
        <w:spacing w:before="0" w:after="0" w:line="480" w:lineRule="auto"/>
        <w:ind w:left="630" w:right="90" w:hanging="320"/>
        <w:jc w:val="both"/>
      </w:pPr>
      <w:r>
        <w:rPr>
          <w:b/>
          <w:bCs/>
          <w:sz w:val="24"/>
          <w:szCs w:val="24"/>
        </w:rPr>
        <w:t xml:space="preserve">22. </w:t>
      </w:r>
      <w:r>
        <w:rPr>
          <w:sz w:val="24"/>
          <w:szCs w:val="24"/>
        </w:rPr>
        <w:t xml:space="preserve">Employer Papi Steak Las Vegas LLC did not offer Claimant modified or light duty work consistent with her medical restrictions during the relevant time periods.</w:t>
      </w:r>
    </w:p>
    <w:p>
      <w:pPr>
        <w:spacing w:before="0" w:after="0" w:line="480" w:lineRule="auto"/>
        <w:ind w:left="630" w:right="90" w:hanging="320"/>
        <w:jc w:val="both"/>
      </w:pPr>
      <w:r>
        <w:rPr>
          <w:b/>
          <w:bCs/>
          <w:sz w:val="24"/>
          <w:szCs w:val="24"/>
        </w:rPr>
        <w:t xml:space="preserve">23. </w:t>
      </w:r>
      <w:r>
        <w:rPr>
          <w:sz w:val="24"/>
          <w:szCs w:val="24"/>
        </w:rPr>
        <w:t xml:space="preserve">No modified duty position was available that would accommodate a maximum 2-pound lift restriction with the right hand and the requirement to keep the wound clean and dry.</w:t>
      </w:r>
    </w:p>
    <w:p>
      <w:pPr>
        <w:spacing w:before="0" w:after="0" w:line="480" w:lineRule="auto"/>
        <w:ind w:left="630" w:right="90" w:hanging="320"/>
        <w:jc w:val="both"/>
      </w:pPr>
      <w:r>
        <w:rPr>
          <w:b/>
          <w:bCs/>
          <w:sz w:val="24"/>
          <w:szCs w:val="24"/>
        </w:rPr>
        <w:t xml:space="preserve">24. </w:t>
      </w:r>
      <w:r>
        <w:rPr>
          <w:sz w:val="24"/>
          <w:szCs w:val="24"/>
        </w:rPr>
        <w:t xml:space="preserve">Claimant was unable to return to her regular bartending duties during the periods of August 9-19, 2025 and September 11-18, 2025 due to the medical restrictions imposed by her treating physician.</w:t>
      </w:r>
    </w:p>
    <w:p>
      <w:pPr>
        <w:spacing w:before="0" w:after="0" w:line="480" w:lineRule="auto"/>
        <w:ind w:left="630" w:right="90" w:hanging="320"/>
        <w:jc w:val="both"/>
      </w:pPr>
      <w:r>
        <w:rPr>
          <w:b/>
          <w:bCs/>
          <w:sz w:val="24"/>
          <w:szCs w:val="24"/>
        </w:rPr>
        <w:t xml:space="preserve">25. </w:t>
      </w:r>
      <w:r>
        <w:rPr>
          <w:sz w:val="24"/>
          <w:szCs w:val="24"/>
        </w:rPr>
        <w:t xml:space="preserve">Claimant's inability to work was a direct result of the work restrictions necessitated by her compensable industrial injury of August 1, 2025.</w:t>
      </w:r>
    </w:p>
    <w:p>
      <w:pPr>
        <w:spacing w:before="0" w:after="0" w:line="480" w:lineRule="auto"/>
        <w:ind w:left="270" w:right="90" w:firstLine="0"/>
      </w:pPr>
      <w:r>
        <w:rPr>
          <w:b/>
          <w:bCs/>
          <w:sz w:val="24"/>
          <w:szCs w:val="24"/>
        </w:rPr>
        <w:t xml:space="preserve">E. INSURER'S DETERMINATION AND APPEAL</w:t>
      </w:r>
    </w:p>
    <w:p>
      <w:pPr>
        <w:spacing w:before="0" w:after="0" w:line="480" w:lineRule="auto"/>
        <w:ind w:left="630" w:right="90" w:hanging="320"/>
        <w:jc w:val="both"/>
      </w:pPr>
      <w:r>
        <w:rPr>
          <w:b/>
          <w:bCs/>
          <w:sz w:val="24"/>
          <w:szCs w:val="24"/>
        </w:rPr>
        <w:t xml:space="preserve">26. </w:t>
      </w:r>
      <w:r>
        <w:rPr>
          <w:sz w:val="24"/>
          <w:szCs w:val="24"/>
        </w:rPr>
        <w:t xml:space="preserve">On multiple occasions, Insurer Zenith Insurance Company (through its third-party administrator Broadspire Services, Inc.) denied Claimant's requests for TTD benefits.</w:t>
      </w:r>
    </w:p>
    <w:p>
      <w:pPr>
        <w:spacing w:before="0" w:after="0" w:line="480" w:lineRule="auto"/>
        <w:ind w:left="630" w:right="90" w:hanging="320"/>
        <w:jc w:val="both"/>
      </w:pPr>
      <w:r>
        <w:rPr>
          <w:b/>
          <w:bCs/>
          <w:sz w:val="24"/>
          <w:szCs w:val="24"/>
        </w:rPr>
        <w:t xml:space="preserve">27. </w:t>
      </w:r>
      <w:r>
        <w:rPr>
          <w:sz w:val="24"/>
          <w:szCs w:val="24"/>
        </w:rPr>
        <w:t xml:space="preserve">The Insurer's denials were based on assertions that Claimant could perform modified duty or that she did not meet the criteria for total disability.</w:t>
      </w:r>
    </w:p>
    <w:p>
      <w:pPr>
        <w:spacing w:before="0" w:after="0" w:line="480" w:lineRule="auto"/>
        <w:ind w:left="630" w:right="90" w:hanging="320"/>
        <w:jc w:val="both"/>
      </w:pPr>
      <w:r>
        <w:rPr>
          <w:b/>
          <w:bCs/>
          <w:sz w:val="24"/>
          <w:szCs w:val="24"/>
        </w:rPr>
        <w:t xml:space="preserve">28. </w:t>
      </w:r>
      <w:r>
        <w:rPr>
          <w:sz w:val="24"/>
          <w:szCs w:val="24"/>
        </w:rPr>
        <w:t xml:space="preserve">Claimant timely appealed the Insurer's denials and requested a hearing before a Hearing Officer.</w:t>
      </w:r>
    </w:p>
    <w:p>
      <w:pPr>
        <w:spacing w:before="0" w:after="0" w:line="480" w:lineRule="auto"/>
        <w:ind w:left="630" w:right="90" w:hanging="320"/>
        <w:jc w:val="both"/>
      </w:pPr>
      <w:r>
        <w:rPr>
          <w:b/>
          <w:bCs/>
          <w:sz w:val="24"/>
          <w:szCs w:val="24"/>
        </w:rPr>
        <w:t xml:space="preserve">29. </w:t>
      </w:r>
      <w:r>
        <w:rPr>
          <w:sz w:val="24"/>
          <w:szCs w:val="24"/>
        </w:rPr>
        <w:t xml:space="preserve">The Form C-4, Employee's Claim for Compensation, was filed within 90 days of the date of injury.</w:t>
      </w:r>
    </w:p>
    <w:p>
      <w:pPr>
        <w:spacing w:before="0" w:after="0" w:line="480" w:lineRule="auto"/>
        <w:ind w:left="630" w:right="90" w:hanging="320"/>
        <w:jc w:val="both"/>
      </w:pPr>
      <w:r>
        <w:rPr>
          <w:b/>
          <w:bCs/>
          <w:sz w:val="24"/>
          <w:szCs w:val="24"/>
        </w:rPr>
        <w:t xml:space="preserve">30. </w:t>
      </w:r>
      <w:r>
        <w:rPr>
          <w:sz w:val="24"/>
          <w:szCs w:val="24"/>
        </w:rPr>
        <w:t xml:space="preserve">The claim for the right middle finger laceration has been accepted by the Insurer as compensable.</w:t>
      </w:r>
    </w:p>
    <w:p>
      <w:pPr>
        <w:spacing w:before="0" w:after="0" w:line="480" w:lineRule="auto"/>
        <w:ind w:left="270" w:right="90" w:firstLine="0"/>
      </w:pPr>
      <w:r>
        <w:rPr>
          <w:b/>
          <w:bCs/>
          <w:sz w:val="24"/>
          <w:szCs w:val="24"/>
        </w:rPr>
        <w:t xml:space="preserve">F. CREDIBILITY AND WEIGHT OF EVIDENCE</w:t>
      </w:r>
    </w:p>
    <w:p>
      <w:pPr>
        <w:spacing w:before="0" w:after="0" w:line="480" w:lineRule="auto"/>
        <w:ind w:left="630" w:right="90" w:hanging="320"/>
        <w:jc w:val="both"/>
      </w:pPr>
      <w:r>
        <w:rPr>
          <w:b/>
          <w:bCs/>
          <w:sz w:val="24"/>
          <w:szCs w:val="24"/>
        </w:rPr>
        <w:t xml:space="preserve">31. </w:t>
      </w:r>
      <w:r>
        <w:rPr>
          <w:sz w:val="24"/>
          <w:szCs w:val="24"/>
        </w:rPr>
        <w:t xml:space="preserve">The medical records from Concentra Medical Center, including the Work Activity Status Reports dated August 8, 2025 and August 12, 2025, are credible, reliable, and constitute substantial competent evidence of Claimant's work restrictions.</w:t>
      </w:r>
    </w:p>
    <w:p>
      <w:pPr>
        <w:spacing w:before="0" w:after="0" w:line="480" w:lineRule="auto"/>
        <w:ind w:left="630" w:right="90" w:hanging="320"/>
        <w:jc w:val="both"/>
      </w:pPr>
      <w:r>
        <w:rPr>
          <w:b/>
          <w:bCs/>
          <w:sz w:val="24"/>
          <w:szCs w:val="24"/>
        </w:rPr>
        <w:t xml:space="preserve">32. </w:t>
      </w:r>
      <w:r>
        <w:rPr>
          <w:sz w:val="24"/>
          <w:szCs w:val="24"/>
        </w:rPr>
        <w:t xml:space="preserve">The job description for the bartender position establishes that Claimant's position required physical capabilities beyond the 2-pound lifting restriction imposed by her treating physician.</w:t>
      </w:r>
    </w:p>
    <w:p>
      <w:pPr>
        <w:spacing w:before="0" w:after="0" w:line="480" w:lineRule="auto"/>
        <w:ind w:left="630" w:right="90" w:hanging="320"/>
        <w:jc w:val="both"/>
      </w:pPr>
      <w:r>
        <w:rPr>
          <w:b/>
          <w:bCs/>
          <w:sz w:val="24"/>
          <w:szCs w:val="24"/>
        </w:rPr>
        <w:t xml:space="preserve">33. </w:t>
      </w:r>
      <w:r>
        <w:rPr>
          <w:sz w:val="24"/>
          <w:szCs w:val="24"/>
        </w:rPr>
        <w:t xml:space="preserve">No evidence was presented by the Insurer to contradict the work restrictions imposed by Claimant's authorized treating physician.</w:t>
      </w:r>
    </w:p>
    <w:p>
      <w:pPr>
        <w:spacing w:before="0" w:after="0" w:line="480" w:lineRule="auto"/>
        <w:ind w:left="630" w:right="90" w:hanging="320"/>
        <w:jc w:val="both"/>
      </w:pPr>
      <w:r>
        <w:rPr>
          <w:b/>
          <w:bCs/>
          <w:sz w:val="24"/>
          <w:szCs w:val="24"/>
        </w:rPr>
        <w:t xml:space="preserve">34. </w:t>
      </w:r>
      <w:r>
        <w:rPr>
          <w:sz w:val="24"/>
          <w:szCs w:val="24"/>
        </w:rPr>
        <w:t xml:space="preserve">The testimony and evidence presented by Claimant regarding her inability to perform her bartending duties with a 2-pound lift restriction is credible and supported by the documentary evidence.</w:t>
      </w:r>
    </w:p>
    <w:p>
      <w:pPr>
        <w:spacing w:before="0" w:after="0" w:line="480" w:lineRule="auto"/>
        <w:ind w:left="630" w:right="90" w:hanging="320"/>
        <w:jc w:val="both"/>
      </w:pPr>
      <w:r>
        <w:rPr>
          <w:b/>
          <w:bCs/>
          <w:sz w:val="24"/>
          <w:szCs w:val="24"/>
        </w:rPr>
        <w:t xml:space="preserve">35. </w:t>
      </w:r>
      <w:r>
        <w:rPr>
          <w:sz w:val="24"/>
          <w:szCs w:val="24"/>
        </w:rPr>
        <w:t xml:space="preserve">Based upon a review of Claimant's work restrictions, job duties, and the lack of available modified duty, the Hearing Officer finds that Claimant was temporarily and totally disabled from performing her regular employment duties during the following periods: - August 9, 2025 through August 19, 2025 - September 11, 2025 through September 18, 2025</w:t>
      </w:r>
    </w:p>
    <w:p>
      <w:pPr>
        <w:spacing w:before="0" w:after="0" w:line="480" w:lineRule="auto"/>
        <w:ind w:left="270" w:right="90" w:firstLine="0"/>
      </w:pPr>
      <w:r>
        <w:rPr>
          <w:b/>
          <w:bCs/>
          <w:sz w:val="24"/>
          <w:szCs w:val="24"/>
        </w:rPr>
        <w:t xml:space="preserve">V. CONCLUSIONS OF LAW</w:t>
      </w:r>
    </w:p>
    <w:p>
      <w:pPr>
        <w:spacing w:before="0" w:after="0" w:line="480" w:lineRule="auto"/>
        <w:ind w:left="630" w:right="90" w:hanging="320"/>
        <w:jc w:val="both"/>
      </w:pPr>
      <w:r>
        <w:rPr>
          <w:b/>
          <w:bCs/>
          <w:sz w:val="24"/>
          <w:szCs w:val="24"/>
        </w:rPr>
        <w:t xml:space="preserve">1. </w:t>
      </w:r>
      <w:r>
        <w:rPr>
          <w:sz w:val="24"/>
          <w:szCs w:val="24"/>
        </w:rPr>
        <w:t xml:space="preserve">This Hearing Officer has jurisdiction over the parties and subject matter of this claim pursuant to NRS 616C.305, NRS 616C.315, and NRS 616C.360.</w:t>
      </w:r>
    </w:p>
    <w:p>
      <w:pPr>
        <w:spacing w:before="0" w:after="0" w:line="480" w:lineRule="auto"/>
        <w:ind w:left="630" w:right="90" w:hanging="320"/>
        <w:jc w:val="both"/>
      </w:pPr>
      <w:r>
        <w:rPr>
          <w:b/>
          <w:bCs/>
          <w:sz w:val="24"/>
          <w:szCs w:val="24"/>
        </w:rPr>
        <w:t xml:space="preserve">2. </w:t>
      </w:r>
      <w:r>
        <w:rPr>
          <w:sz w:val="24"/>
          <w:szCs w:val="24"/>
        </w:rPr>
        <w:t xml:space="preserve">Claimant Peyton Hunton sustained a compensable industrial injury on August 1, 2025, arising out of and in the course of her employment with Papi Steak Las Vegas LLC. The right middle finger laceration has been accepted as compensable by the Insurer.</w:t>
      </w:r>
    </w:p>
    <w:p>
      <w:pPr>
        <w:spacing w:before="0" w:after="0" w:line="480" w:lineRule="auto"/>
        <w:ind w:left="630" w:right="90" w:hanging="320"/>
        <w:jc w:val="both"/>
      </w:pPr>
      <w:r>
        <w:rPr>
          <w:b/>
          <w:bCs/>
          <w:sz w:val="24"/>
          <w:szCs w:val="24"/>
        </w:rPr>
        <w:t xml:space="preserve">3. </w:t>
      </w:r>
      <w:r>
        <w:rPr>
          <w:sz w:val="24"/>
          <w:szCs w:val="24"/>
        </w:rPr>
        <w:t xml:space="preserve">Pursuant to NRS 616C.475(1), an injured employee is entitled to receive compensation for temporary total disability if the employee is unable to work as a result of the industrial injury.</w:t>
      </w:r>
    </w:p>
    <w:p>
      <w:pPr>
        <w:spacing w:before="0" w:after="0" w:line="480" w:lineRule="auto"/>
        <w:ind w:left="630" w:right="90" w:hanging="320"/>
        <w:jc w:val="both"/>
      </w:pPr>
      <w:r>
        <w:rPr>
          <w:b/>
          <w:bCs/>
          <w:sz w:val="24"/>
          <w:szCs w:val="24"/>
        </w:rPr>
        <w:t xml:space="preserve">4. </w:t>
      </w:r>
      <w:r>
        <w:rPr>
          <w:sz w:val="24"/>
          <w:szCs w:val="24"/>
        </w:rPr>
        <w:t xml:space="preserve">NRS 616C.475(1) provides in relevant part: &gt; "Except as otherwise provided in this section, an injured employee is entitled to receive compensation for temporary total disability if, as a result of an injury arising out of and in the course of employment, the employee: &gt; (a) Is unable to return to work; or &gt; (b) After release by a physician for return to work, either: &gt; (1) Continues to be temporarily partially disabled; or &gt; (2) Returns to work at a wage that is less than the wage the employee was earning at the time of the injury."</w:t>
      </w:r>
    </w:p>
    <w:p>
      <w:pPr>
        <w:spacing w:before="0" w:after="0" w:line="480" w:lineRule="auto"/>
        <w:ind w:left="630" w:right="90" w:hanging="320"/>
        <w:jc w:val="both"/>
      </w:pPr>
      <w:r>
        <w:rPr>
          <w:b/>
          <w:bCs/>
          <w:sz w:val="24"/>
          <w:szCs w:val="24"/>
        </w:rPr>
        <w:t xml:space="preserve">5. </w:t>
      </w:r>
      <w:r>
        <w:rPr>
          <w:sz w:val="24"/>
          <w:szCs w:val="24"/>
        </w:rPr>
        <w:t xml:space="preserve">The Nevada Supreme Court has held that an employee is temporarily totally disabled when, due to an industrial injury, the employee cannot perform the essential functions of their regular employment. See Employers Ins. Co. of Nevada v. Daniels, 99 Nev. 789, 672 P.2d 254 (1983).</w:t>
      </w:r>
    </w:p>
    <w:p>
      <w:pPr>
        <w:spacing w:before="0" w:after="0" w:line="480" w:lineRule="auto"/>
        <w:ind w:left="630" w:right="90" w:hanging="320"/>
        <w:jc w:val="both"/>
      </w:pPr>
      <w:r>
        <w:rPr>
          <w:b/>
          <w:bCs/>
          <w:sz w:val="24"/>
          <w:szCs w:val="24"/>
        </w:rPr>
        <w:t xml:space="preserve">6. </w:t>
      </w:r>
      <w:r>
        <w:rPr>
          <w:sz w:val="24"/>
          <w:szCs w:val="24"/>
        </w:rPr>
        <w:t xml:space="preserve">An employee's entitlement to TTD benefits is determined by the work restrictions imposed by the authorized treating physician and the employee's ability to perform their regular job duties within those restrictions. See Continental Cas. Co. v. Kinnie, 114 Nev. 399, 957 P.2d 1168 (1998).</w:t>
      </w:r>
    </w:p>
    <w:p>
      <w:pPr>
        <w:spacing w:before="0" w:after="0" w:line="480" w:lineRule="auto"/>
        <w:ind w:left="630" w:right="90" w:hanging="320"/>
        <w:jc w:val="both"/>
      </w:pPr>
      <w:r>
        <w:rPr>
          <w:b/>
          <w:bCs/>
          <w:sz w:val="24"/>
          <w:szCs w:val="24"/>
        </w:rPr>
        <w:t xml:space="preserve">7. </w:t>
      </w:r>
      <w:r>
        <w:rPr>
          <w:sz w:val="24"/>
          <w:szCs w:val="24"/>
        </w:rPr>
        <w:t xml:space="preserve">The authorized treating physician's work restrictions are entitled to substantial weight in determining whether an employee is temporarily totally disabled. NAC 616C.090.</w:t>
      </w:r>
    </w:p>
    <w:p>
      <w:pPr>
        <w:spacing w:before="0" w:after="0" w:line="480" w:lineRule="auto"/>
        <w:ind w:left="630" w:right="90" w:hanging="320"/>
        <w:jc w:val="both"/>
      </w:pPr>
      <w:r>
        <w:rPr>
          <w:b/>
          <w:bCs/>
          <w:sz w:val="24"/>
          <w:szCs w:val="24"/>
        </w:rPr>
        <w:t xml:space="preserve">8. </w:t>
      </w:r>
      <w:r>
        <w:rPr>
          <w:sz w:val="24"/>
          <w:szCs w:val="24"/>
        </w:rPr>
        <w:t xml:space="preserve">Here, Concentra Medical Center, Claimant's authorized treating physician, imposed clear and unequivocal work restrictions on August 8, 2025 and August 12, 2025, limiting Claimant to a maximum lift of 2 pounds with her right hand and requiring her to keep the wound clean and dry.</w:t>
      </w:r>
    </w:p>
    <w:p>
      <w:pPr>
        <w:spacing w:before="0" w:after="0" w:line="480" w:lineRule="auto"/>
        <w:ind w:left="630" w:right="90" w:hanging="320"/>
        <w:jc w:val="both"/>
      </w:pPr>
      <w:r>
        <w:rPr>
          <w:b/>
          <w:bCs/>
          <w:sz w:val="24"/>
          <w:szCs w:val="24"/>
        </w:rPr>
        <w:t xml:space="preserve">9. </w:t>
      </w:r>
      <w:r>
        <w:rPr>
          <w:sz w:val="24"/>
          <w:szCs w:val="24"/>
        </w:rPr>
        <w:t xml:space="preserve">The evidence establishes that Claimant's bartending position required frequent lifting of more than 2 pounds, constant use of both hands with full grip strength, and work in an environment incompatible with keeping a wound clean and dry.</w:t>
      </w:r>
    </w:p>
    <w:p>
      <w:pPr>
        <w:spacing w:before="0" w:after="0" w:line="480" w:lineRule="auto"/>
        <w:ind w:left="630" w:right="90" w:hanging="320"/>
        <w:jc w:val="both"/>
      </w:pPr>
      <w:r>
        <w:rPr>
          <w:b/>
          <w:bCs/>
          <w:sz w:val="24"/>
          <w:szCs w:val="24"/>
        </w:rPr>
        <w:t xml:space="preserve">10. </w:t>
      </w:r>
      <w:r>
        <w:rPr>
          <w:sz w:val="24"/>
          <w:szCs w:val="24"/>
        </w:rPr>
        <w:t xml:space="preserve">The Employer did not offer modified duty work consistent with Claimant's restrictions, nor did the Employer establish that suitable light duty work was available.</w:t>
      </w:r>
    </w:p>
    <w:p>
      <w:pPr>
        <w:spacing w:before="0" w:after="0" w:line="480" w:lineRule="auto"/>
        <w:ind w:left="630" w:right="90" w:hanging="320"/>
        <w:jc w:val="both"/>
      </w:pPr>
      <w:r>
        <w:rPr>
          <w:b/>
          <w:bCs/>
          <w:sz w:val="24"/>
          <w:szCs w:val="24"/>
        </w:rPr>
        <w:t xml:space="preserve">11. </w:t>
      </w:r>
      <w:r>
        <w:rPr>
          <w:sz w:val="24"/>
          <w:szCs w:val="24"/>
        </w:rPr>
        <w:t xml:space="preserve">Based upon the medical evidence, the job description, and the lack of available modified duty, Claimant has met her burden of proving by a preponderance of the evidence that she was temporarily and totally disabled from performing her regular employment during the periods at issue.</w:t>
      </w:r>
    </w:p>
    <w:p>
      <w:pPr>
        <w:spacing w:before="0" w:after="0" w:line="480" w:lineRule="auto"/>
        <w:ind w:left="630" w:right="90" w:hanging="320"/>
        <w:jc w:val="both"/>
      </w:pPr>
      <w:r>
        <w:rPr>
          <w:b/>
          <w:bCs/>
          <w:sz w:val="24"/>
          <w:szCs w:val="24"/>
        </w:rPr>
        <w:t xml:space="preserve">12. </w:t>
      </w:r>
      <w:r>
        <w:rPr>
          <w:sz w:val="24"/>
          <w:szCs w:val="24"/>
        </w:rPr>
        <w:t xml:space="preserve">The Insurer's denial of TTD benefits for August 9-19, 2025 and September 11-18, 2025 was not supported by substantial evidence and must be reversed.</w:t>
      </w:r>
    </w:p>
    <w:p>
      <w:pPr>
        <w:spacing w:before="0" w:after="0" w:line="480" w:lineRule="auto"/>
        <w:ind w:left="630" w:right="90" w:hanging="320"/>
        <w:jc w:val="both"/>
      </w:pPr>
      <w:r>
        <w:rPr>
          <w:b/>
          <w:bCs/>
          <w:sz w:val="24"/>
          <w:szCs w:val="24"/>
        </w:rPr>
        <w:t xml:space="preserve">13. </w:t>
      </w:r>
      <w:r>
        <w:rPr>
          <w:sz w:val="24"/>
          <w:szCs w:val="24"/>
        </w:rPr>
        <w:t xml:space="preserve">Claimant is entitled to TTD benefits at the rate of $88.78 per day (66.67% of AMW of $4,053.94) for the following periods: - August 9, 2025 through August 19, 2025 (11 days) - September 11, 2025 through September 18, 2025 (8 days)</w:t>
      </w:r>
    </w:p>
    <w:p>
      <w:pPr>
        <w:spacing w:before="0" w:after="0" w:line="480" w:lineRule="auto"/>
        <w:ind w:left="630" w:right="90" w:hanging="320"/>
        <w:jc w:val="both"/>
      </w:pPr>
      <w:r>
        <w:rPr>
          <w:b/>
          <w:bCs/>
          <w:sz w:val="24"/>
          <w:szCs w:val="24"/>
        </w:rPr>
        <w:t xml:space="preserve">14. </w:t>
      </w:r>
      <w:r>
        <w:rPr>
          <w:sz w:val="24"/>
          <w:szCs w:val="24"/>
        </w:rPr>
        <w:t xml:space="preserve">The total TTD benefits due to Claimant for the above periods is $1,686.82, calculated as follows: - August 9-19, 2025: 11 days × $88.78 = $976.58 - September 11-18, 2025: 8 days × $88.78 = $710.24 - Total: $1,686.82</w:t>
      </w:r>
    </w:p>
    <w:p>
      <w:pPr>
        <w:spacing w:before="0" w:after="0" w:line="480" w:lineRule="auto"/>
        <w:ind w:left="630" w:right="90" w:hanging="320"/>
        <w:jc w:val="both"/>
      </w:pPr>
      <w:r>
        <w:rPr>
          <w:b/>
          <w:bCs/>
          <w:sz w:val="24"/>
          <w:szCs w:val="24"/>
        </w:rPr>
        <w:t xml:space="preserve">15. </w:t>
      </w:r>
      <w:r>
        <w:rPr>
          <w:sz w:val="24"/>
          <w:szCs w:val="24"/>
        </w:rPr>
        <w:t xml:space="preserve">TTD benefits shall be paid in accordance with NRS 616C.475 and are subject to applicable offsets, deductions, and withholdings required by law.</w:t>
      </w:r>
    </w:p>
    <w:p>
      <w:pPr>
        <w:spacing w:before="0" w:after="0" w:line="480" w:lineRule="auto"/>
        <w:ind w:left="630" w:right="90" w:hanging="320"/>
        <w:jc w:val="both"/>
      </w:pPr>
      <w:r>
        <w:rPr>
          <w:b/>
          <w:bCs/>
          <w:sz w:val="24"/>
          <w:szCs w:val="24"/>
        </w:rPr>
        <w:t xml:space="preserve">16. </w:t>
      </w:r>
      <w:r>
        <w:rPr>
          <w:sz w:val="24"/>
          <w:szCs w:val="24"/>
        </w:rPr>
        <w:t xml:space="preserve">Pursuant to NRS 616C.260, if the Insurer fails to pay compensation within 30 days after receipt of this Decision and Order, the compensation must bear interest at the rate set forth in NRS 99.040 from the date the compensation should have been paid.</w:t>
      </w:r>
    </w:p>
    <w:p>
      <w:pPr>
        <w:spacing w:before="0" w:after="0" w:line="480" w:lineRule="auto"/>
        <w:ind w:left="270" w:right="90" w:firstLine="0"/>
      </w:pPr>
      <w:r>
        <w:rPr>
          <w:b/>
          <w:bCs/>
          <w:sz w:val="24"/>
          <w:szCs w:val="24"/>
        </w:rPr>
        <w:t xml:space="preserve">VI. ORDER</w:t>
      </w:r>
    </w:p>
    <w:p>
      <w:pPr>
        <w:spacing w:before="0" w:after="0" w:line="480" w:lineRule="auto"/>
        <w:ind w:left="270" w:right="90" w:firstLine="450"/>
        <w:jc w:val="both"/>
      </w:pPr>
      <w:r>
        <w:rPr>
          <w:sz w:val="24"/>
          <w:szCs w:val="24"/>
        </w:rPr>
        <w:t xml:space="preserve">Based upon the foregoing Findings of Fact and Conclusions of Law, IT IS HEREBY ORDERED:</w:t>
      </w:r>
    </w:p>
    <w:p>
      <w:pPr>
        <w:spacing w:before="0" w:after="0" w:line="480" w:lineRule="auto"/>
        <w:ind w:left="630" w:right="90" w:hanging="320"/>
        <w:jc w:val="both"/>
      </w:pPr>
      <w:r>
        <w:rPr>
          <w:b/>
          <w:bCs/>
          <w:sz w:val="24"/>
          <w:szCs w:val="24"/>
        </w:rPr>
        <w:t xml:space="preserve">1. </w:t>
      </w:r>
      <w:r>
        <w:rPr>
          <w:sz w:val="24"/>
          <w:szCs w:val="24"/>
        </w:rPr>
        <w:t xml:space="preserve">The Insurer's denial of Temporary Total Disability (TTD) benefits to Claimant Peyton Hunton is REVERSED.</w:t>
      </w:r>
    </w:p>
    <w:p>
      <w:pPr>
        <w:spacing w:before="0" w:after="0" w:line="480" w:lineRule="auto"/>
        <w:ind w:left="630" w:right="90" w:hanging="320"/>
        <w:jc w:val="both"/>
      </w:pPr>
      <w:r>
        <w:rPr>
          <w:b/>
          <w:bCs/>
          <w:sz w:val="24"/>
          <w:szCs w:val="24"/>
        </w:rPr>
        <w:t xml:space="preserve">2. </w:t>
      </w:r>
      <w:r>
        <w:rPr>
          <w:sz w:val="24"/>
          <w:szCs w:val="24"/>
        </w:rPr>
        <w:t xml:space="preserve">Insurer Zenith Insurance Company shall PAY Claimant Temporary Total Disability benefits in the amount of $1,686.82 for the following periods: - August 9, 2025 through August 19, 2025 (11 days at $88.78/day = $976.58) - September 11, 2025 through September 18, 2025 (8 days at $88.78/day = $710.24)</w:t>
      </w:r>
    </w:p>
    <w:p>
      <w:pPr>
        <w:spacing w:before="0" w:after="0" w:line="480" w:lineRule="auto"/>
        <w:ind w:left="630" w:right="90" w:hanging="320"/>
        <w:jc w:val="both"/>
      </w:pPr>
      <w:r>
        <w:rPr>
          <w:b/>
          <w:bCs/>
          <w:sz w:val="24"/>
          <w:szCs w:val="24"/>
        </w:rPr>
        <w:t xml:space="preserve">3. </w:t>
      </w:r>
      <w:r>
        <w:rPr>
          <w:sz w:val="24"/>
          <w:szCs w:val="24"/>
        </w:rPr>
        <w:t xml:space="preserve">Payment shall be made within thirty (30) days of the date of this Decision and Order.</w:t>
      </w:r>
    </w:p>
    <w:p>
      <w:pPr>
        <w:spacing w:before="0" w:after="0" w:line="480" w:lineRule="auto"/>
        <w:ind w:left="630" w:right="90" w:hanging="320"/>
        <w:jc w:val="both"/>
      </w:pPr>
      <w:r>
        <w:rPr>
          <w:b/>
          <w:bCs/>
          <w:sz w:val="24"/>
          <w:szCs w:val="24"/>
        </w:rPr>
        <w:t xml:space="preserve">4. </w:t>
      </w:r>
      <w:r>
        <w:rPr>
          <w:sz w:val="24"/>
          <w:szCs w:val="24"/>
        </w:rPr>
        <w:t xml:space="preserve">If payment is not made within thirty (30) days, interest shall accrue at the rate specified in NRS 99.040 from the date payment should have been made.</w:t>
      </w:r>
    </w:p>
    <w:p>
      <w:pPr>
        <w:spacing w:before="0" w:after="0" w:line="480" w:lineRule="auto"/>
        <w:ind w:left="630" w:right="90" w:hanging="320"/>
        <w:jc w:val="both"/>
      </w:pPr>
      <w:r>
        <w:rPr>
          <w:b/>
          <w:bCs/>
          <w:sz w:val="24"/>
          <w:szCs w:val="24"/>
        </w:rPr>
        <w:t xml:space="preserve">5. </w:t>
      </w:r>
      <w:r>
        <w:rPr>
          <w:sz w:val="24"/>
          <w:szCs w:val="24"/>
        </w:rPr>
        <w:t xml:space="preserve">The Insurer shall file proof of compliance with this Order within forty-five (45) days of the date of this Decision and Order.</w:t>
      </w:r>
    </w:p>
    <w:p>
      <w:pPr>
        <w:spacing w:before="0" w:after="0" w:line="480" w:lineRule="auto"/>
        <w:ind w:left="630" w:right="90" w:hanging="320"/>
        <w:jc w:val="both"/>
      </w:pPr>
      <w:r>
        <w:rPr>
          <w:b/>
          <w:bCs/>
          <w:sz w:val="24"/>
          <w:szCs w:val="24"/>
        </w:rPr>
        <w:t xml:space="preserve">6. </w:t>
      </w:r>
      <w:r>
        <w:rPr>
          <w:sz w:val="24"/>
          <w:szCs w:val="24"/>
        </w:rPr>
        <w:t xml:space="preserve">All other issues not specifically addressed in this Decision and Order are reserved for future determination.</w:t>
      </w:r>
    </w:p>
    <w:p>
      <w:pPr>
        <w:spacing w:before="0" w:after="0" w:line="480" w:lineRule="auto"/>
        <w:ind w:left="630" w:right="90" w:hanging="320"/>
        <w:jc w:val="both"/>
      </w:pPr>
      <w:r>
        <w:rPr>
          <w:b/>
          <w:bCs/>
          <w:sz w:val="24"/>
          <w:szCs w:val="24"/>
        </w:rPr>
        <w:t xml:space="preserve">7. </w:t>
      </w:r>
      <w:r>
        <w:rPr>
          <w:sz w:val="24"/>
          <w:szCs w:val="24"/>
        </w:rPr>
        <w:t xml:space="preserve">Each party shall bear their own costs incurred in connection with this proceeding.</w:t>
      </w:r>
    </w:p>
    <w:p>
      <w:pPr>
        <w:spacing w:before="0" w:after="0" w:line="480" w:lineRule="auto"/>
        <w:ind w:left="270" w:right="90" w:firstLine="0"/>
      </w:pPr>
      <w:r>
        <w:rPr>
          <w:b/>
          <w:bCs/>
          <w:sz w:val="24"/>
          <w:szCs w:val="24"/>
        </w:rPr>
        <w:t xml:space="preserve">VII. NOTICE OF APPEAL RIGHTS</w:t>
      </w:r>
    </w:p>
    <w:p>
      <w:pPr>
        <w:spacing w:before="0" w:after="0" w:line="480" w:lineRule="auto"/>
        <w:ind w:left="270" w:right="90" w:firstLine="450"/>
        <w:jc w:val="both"/>
      </w:pPr>
      <w:r>
        <w:rPr>
          <w:sz w:val="24"/>
          <w:szCs w:val="24"/>
        </w:rPr>
        <w:t xml:space="preserve">Pursuant to NRS 616C.315(3) and NRS 616C.380, any party aggrieved by this Decision and Order may appeal to the Appeals Officer of the Department of Administration by filing a written notice of appeal within thirty (30) days after the date of mailing of this Decision and Order.</w:t>
      </w:r>
    </w:p>
    <w:p>
      <w:pPr>
        <w:spacing w:before="0" w:after="0" w:line="480" w:lineRule="auto"/>
        <w:ind w:left="270" w:right="90" w:firstLine="450"/>
        <w:jc w:val="both"/>
      </w:pPr>
      <w:r>
        <w:rPr>
          <w:sz w:val="24"/>
          <w:szCs w:val="24"/>
        </w:rPr>
        <w:t xml:space="preserve">The notice of appeal must:</w:t>
      </w:r>
    </w:p>
    <w:p>
      <w:pPr>
        <w:spacing w:before="0" w:after="0" w:line="480" w:lineRule="auto"/>
        <w:ind w:left="630" w:right="90" w:hanging="320"/>
        <w:jc w:val="both"/>
      </w:pPr>
      <w:r>
        <w:rPr>
          <w:b/>
          <w:bCs/>
          <w:sz w:val="24"/>
          <w:szCs w:val="24"/>
        </w:rPr>
        <w:t xml:space="preserve">• </w:t>
      </w:r>
      <w:r>
        <w:rPr>
          <w:sz w:val="24"/>
          <w:szCs w:val="24"/>
        </w:rPr>
        <w:t xml:space="preserve">Be in writing</w:t>
      </w:r>
    </w:p>
    <w:p>
      <w:pPr>
        <w:spacing w:before="0" w:after="0" w:line="480" w:lineRule="auto"/>
        <w:ind w:left="630" w:right="90" w:hanging="320"/>
        <w:jc w:val="both"/>
      </w:pPr>
      <w:r>
        <w:rPr>
          <w:b/>
          <w:bCs/>
          <w:sz w:val="24"/>
          <w:szCs w:val="24"/>
        </w:rPr>
        <w:t xml:space="preserve">• </w:t>
      </w:r>
      <w:r>
        <w:rPr>
          <w:sz w:val="24"/>
          <w:szCs w:val="24"/>
        </w:rPr>
        <w:t xml:space="preserve">Identify the Decision and Order being appealed</w:t>
      </w:r>
    </w:p>
    <w:p>
      <w:pPr>
        <w:spacing w:before="0" w:after="0" w:line="480" w:lineRule="auto"/>
        <w:ind w:left="630" w:right="90" w:hanging="320"/>
        <w:jc w:val="both"/>
      </w:pPr>
      <w:r>
        <w:rPr>
          <w:b/>
          <w:bCs/>
          <w:sz w:val="24"/>
          <w:szCs w:val="24"/>
        </w:rPr>
        <w:t xml:space="preserve">• </w:t>
      </w:r>
      <w:r>
        <w:rPr>
          <w:sz w:val="24"/>
          <w:szCs w:val="24"/>
        </w:rPr>
        <w:t xml:space="preserve">State the grounds for the appeal</w:t>
      </w:r>
    </w:p>
    <w:p>
      <w:pPr>
        <w:spacing w:before="0" w:after="0" w:line="480" w:lineRule="auto"/>
        <w:ind w:left="630" w:right="90" w:hanging="320"/>
        <w:jc w:val="both"/>
      </w:pPr>
      <w:r>
        <w:rPr>
          <w:b/>
          <w:bCs/>
          <w:sz w:val="24"/>
          <w:szCs w:val="24"/>
        </w:rPr>
        <w:t xml:space="preserve">• </w:t>
      </w:r>
      <w:r>
        <w:rPr>
          <w:sz w:val="24"/>
          <w:szCs w:val="24"/>
        </w:rPr>
        <w:t xml:space="preserve">Be filed with the Appeals Officer at:</w:t>
      </w:r>
    </w:p>
    <w:p>
      <w:pPr>
        <w:spacing w:before="0" w:after="0" w:line="480" w:lineRule="auto"/>
        <w:ind w:left="270" w:right="90" w:firstLine="450"/>
        <w:jc w:val="both"/>
      </w:pPr>
      <w:r>
        <w:rPr>
          <w:sz w:val="24"/>
          <w:szCs w:val="24"/>
        </w:rPr>
        <w:t xml:space="preserve">Nevada Department of Administration Appeals Office 1050 E. William Street, Suite 450 Carson City, Nevada 89701</w:t>
      </w:r>
    </w:p>
    <w:p>
      <w:pPr>
        <w:spacing w:before="0" w:after="0" w:line="480" w:lineRule="auto"/>
        <w:ind w:left="270" w:right="90" w:firstLine="450"/>
        <w:jc w:val="both"/>
      </w:pPr>
      <w:r>
        <w:rPr>
          <w:sz w:val="24"/>
          <w:szCs w:val="24"/>
        </w:rPr>
        <w:t xml:space="preserve">OR</w:t>
      </w:r>
    </w:p>
    <w:p>
      <w:pPr>
        <w:spacing w:before="0" w:after="0" w:line="480" w:lineRule="auto"/>
        <w:ind w:left="270" w:right="90" w:firstLine="450"/>
        <w:jc w:val="both"/>
      </w:pPr>
      <w:r>
        <w:rPr>
          <w:sz w:val="24"/>
          <w:szCs w:val="24"/>
        </w:rPr>
        <w:t xml:space="preserve">2200 S. Rancho Drive, Suite 210 Las Vegas, Nevada 89102</w:t>
      </w:r>
    </w:p>
    <w:p>
      <w:pPr>
        <w:spacing w:before="0" w:after="0" w:line="480" w:lineRule="auto"/>
        <w:ind w:left="270" w:right="90" w:firstLine="450"/>
        <w:jc w:val="both"/>
      </w:pPr>
      <w:r>
        <w:rPr>
          <w:sz w:val="24"/>
          <w:szCs w:val="24"/>
        </w:rPr>
        <w:t xml:space="preserve">Failure to file a timely notice of appeal will result in this Decision and Order becoming final and no longer subject to review.</w:t>
      </w:r>
    </w:p>
    <w:p>
      <w:pPr>
        <w:spacing w:before="0" w:after="0" w:line="480" w:lineRule="auto"/>
        <w:ind w:left="270" w:right="90" w:firstLine="0"/>
      </w:pPr>
      <w:r>
        <w:rPr>
          <w:b/>
          <w:bCs/>
          <w:sz w:val="24"/>
          <w:szCs w:val="24"/>
        </w:rPr>
        <w:t xml:space="preserve">VIII. CERTIFICATE OF SERVICE</w:t>
      </w:r>
    </w:p>
    <w:p>
      <w:pPr>
        <w:spacing w:before="0" w:after="0" w:line="480" w:lineRule="auto"/>
        <w:ind w:left="270" w:right="90" w:firstLine="450"/>
        <w:jc w:val="both"/>
      </w:pPr>
      <w:r>
        <w:rPr>
          <w:sz w:val="24"/>
          <w:szCs w:val="24"/>
        </w:rPr>
        <w:t xml:space="preserve">This Decision and Order is served upon all parties by electronic filing through the Department of Administration Hearings Division e-filing system and by U.S. Mail, first class, postage prepaid, on this date.</w:t>
      </w:r>
    </w:p>
    <w:p>
      <w:pPr>
        <w:spacing w:before="0" w:after="0" w:line="480" w:lineRule="auto"/>
        <w:ind w:left="270" w:right="90" w:firstLine="450"/>
        <w:jc w:val="both"/>
      </w:pPr>
      <w:r>
        <w:rPr>
          <w:sz w:val="24"/>
          <w:szCs w:val="24"/>
        </w:rPr>
        <w:t xml:space="preserve">DATED this 3rd day of November, 2025.</w:t>
      </w:r>
    </w:p>
    <w:p>
      <w:pPr>
        <w:spacing w:before="0" w:after="0" w:line="480" w:lineRule="auto"/>
        <w:ind w:left="270" w:right="90" w:firstLine="450"/>
        <w:jc w:val="both"/>
      </w:pPr>
      <w:r>
        <w:rPr>
          <w:sz w:val="24"/>
          <w:szCs w:val="24"/>
        </w:rPr>
        <w:t xml:space="preserve">By: Hearing Officer</w:t>
      </w:r>
    </w:p>
    <w:p>
      <w:pPr>
        <w:spacing w:before="0" w:after="0" w:line="480" w:lineRule="auto"/>
        <w:ind w:left="270" w:right="90" w:firstLine="0"/>
      </w:pPr>
      <w:r>
        <w:rPr>
          <w:b/>
          <w:bCs/>
          <w:sz w:val="24"/>
          <w:szCs w:val="24"/>
        </w:rPr>
        <w:t xml:space="preserve">SERVICE LIST</w:t>
      </w:r>
    </w:p>
    <w:p>
      <w:pPr>
        <w:spacing w:before="0" w:after="0" w:line="480" w:lineRule="auto"/>
        <w:ind w:left="270" w:right="90" w:firstLine="450"/>
        <w:jc w:val="both"/>
      </w:pPr>
      <w:r>
        <w:rPr>
          <w:sz w:val="24"/>
          <w:szCs w:val="24"/>
        </w:rPr>
        <w:t xml:space="preserve">CLAIMANT: Peyton Hunton c/o Muslusky Law Adam L. Muslusky, Esq. 3030 S. Jones Blvd., #108 Las Vegas, Nevada 89146</w:t>
      </w:r>
    </w:p>
    <w:p>
      <w:pPr>
        <w:spacing w:before="0" w:after="0" w:line="480" w:lineRule="auto"/>
        <w:ind w:left="270" w:right="90" w:firstLine="450"/>
        <w:jc w:val="both"/>
      </w:pPr>
      <w:r>
        <w:rPr>
          <w:sz w:val="24"/>
          <w:szCs w:val="24"/>
        </w:rPr>
        <w:t xml:space="preserve">CLAIMANT'S REPRESENTATIVE: Omar Munguia Licensed Hearing Representative Muslusky Law 3030 S. Jones Blvd., #108 Las Vegas, Nevada 89146</w:t>
      </w:r>
    </w:p>
    <w:p>
      <w:pPr>
        <w:spacing w:before="0" w:after="0" w:line="480" w:lineRule="auto"/>
        <w:ind w:left="270" w:right="90" w:firstLine="450"/>
        <w:jc w:val="both"/>
      </w:pPr>
      <w:r>
        <w:rPr>
          <w:sz w:val="24"/>
          <w:szCs w:val="24"/>
        </w:rPr>
        <w:t xml:space="preserve">EMPLOYER: Papi Steak Las Vegas LLC 2777 Las Vegas Blvd S Las Vegas, Nevada 89109</w:t>
      </w:r>
    </w:p>
    <w:p>
      <w:pPr>
        <w:spacing w:before="0" w:after="0" w:line="480" w:lineRule="auto"/>
        <w:ind w:left="270" w:right="90" w:firstLine="450"/>
        <w:jc w:val="both"/>
      </w:pPr>
      <w:r>
        <w:rPr>
          <w:sz w:val="24"/>
          <w:szCs w:val="24"/>
        </w:rPr>
        <w:t xml:space="preserve">EMPLOYER/INSURER REPRESENTATIVE: Juan Sclafani, Esq. Hooks, Meng &amp; Clement, PLLC 2300 W. Sahara Ave., Suite 1100 Las Vegas, Nevada 89102</w:t>
      </w:r>
    </w:p>
    <w:p>
      <w:pPr>
        <w:spacing w:before="0" w:after="0" w:line="480" w:lineRule="auto"/>
        <w:ind w:left="270" w:right="90" w:firstLine="450"/>
        <w:jc w:val="both"/>
      </w:pPr>
      <w:r>
        <w:rPr>
          <w:sz w:val="24"/>
          <w:szCs w:val="24"/>
        </w:rPr>
        <w:t xml:space="preserve">INSURER/TPA: Zenith Insurance Company c/o Broadspire Services, Inc. P.O. Box 14348 Lexington, Kentucky 40512-4348 Attn: Denise D. Litzsey, Senior Claim Examiner</w:t>
      </w:r>
    </w:p>
    <w:p>
      <w:pPr>
        <w:spacing w:before="0" w:after="0" w:line="480" w:lineRule="auto"/>
        <w:ind w:left="270" w:right="90" w:firstLine="450"/>
        <w:jc w:val="both"/>
      </w:pPr>
      <w:r>
        <w:rPr>
          <w:sz w:val="24"/>
          <w:szCs w:val="24"/>
        </w:rPr>
        <w:t xml:space="preserve">END OF DECISION AND ORDER</w:t>
      </w:r>
    </w:p>
    <w:sectPr>
      <w:headerReference w:type="default" r:id="rId7"/>
      <w:pgSz w:w="12240" w:h="15840" w:orient="portrait"/>
      <w:pgMar w:top="1440" w:right="270" w:bottom="1440" w:left="1440" w:header="720" w:footer="14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4FAC" w14:textId="77777777" w:rsidR="00C51F08" w:rsidRDefault="00C51F08">
    <w:pPr>
      <w:rPr>
        <w:color w:val="FFFFFF" w:themeColor="background1"/>
      </w:rPr>
    </w:pPr>
    <w:r>
      <w:rPr>
        <w:noProof/>
        <w:color w:val="FFFFFF" w:themeColor="background1"/>
        <w:lang w:eastAsia="en-US"/>
      </w:rPr>
      <mc:AlternateContent>
        <mc:Choice Requires="wpg">
          <w:drawing>
            <wp:anchor distT="0" distB="0" distL="114300" distR="114300" simplePos="0" relativeHeight="251663360" behindDoc="1" locked="0" layoutInCell="1" allowOverlap="1" wp14:anchorId="7BFEFF7E" wp14:editId="009C8F3F">
              <wp:simplePos x="0" y="0"/>
              <wp:positionH relativeFrom="margin">
                <wp:posOffset>66675</wp:posOffset>
              </wp:positionH>
              <wp:positionV relativeFrom="page">
                <wp:posOffset>-47625</wp:posOffset>
              </wp:positionV>
              <wp:extent cx="6631396" cy="10106025"/>
              <wp:effectExtent l="0" t="0" r="17145" b="28575"/>
              <wp:wrapNone/>
              <wp:docPr id="6" name="Group 6" descr="Left and right page borders"/>
              <wp:cNvGraphicFramePr/>
              <a:graphic xmlns:a="http://schemas.openxmlformats.org/drawingml/2006/main">
                <a:graphicData uri="http://schemas.microsoft.com/office/word/2010/wordprocessingGroup">
                  <wpg:wgp>
                    <wpg:cNvGrpSpPr/>
                    <wpg:grpSpPr>
                      <a:xfrm>
                        <a:off x="0" y="0"/>
                        <a:ext cx="6631396" cy="10106025"/>
                        <a:chOff x="51759" y="0"/>
                        <a:chExt cx="6635764" cy="10106025"/>
                      </a:xfrm>
                    </wpg:grpSpPr>
                    <wps:wsp>
                      <wps:cNvPr id="8" name="LeftBorder2"/>
                      <wps:cNvCnPr>
                        <a:cxnSpLocks noChangeShapeType="1"/>
                      </wps:cNvCnPr>
                      <wps:spPr bwMode="auto">
                        <a:xfrm>
                          <a:off x="114375" y="476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RightBorder"/>
                      <wps:cNvCnPr>
                        <a:cxnSpLocks noChangeShapeType="1"/>
                      </wps:cNvCnPr>
                      <wps:spPr bwMode="auto">
                        <a:xfrm>
                          <a:off x="6687523" y="95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AlternateContent>
    </w:r>
    <w:r>
      <w:rPr>
        <w:noProof/>
        <w:color w:val="FFFFFF" w:themeColor="background1"/>
        <w:lang w:eastAsia="en-US"/>
      </w:rPr>
      <mc:AlternateContent>
        <mc:Choice Requires="wps">
          <w:drawing>
            <wp:anchor distT="0" distB="0" distL="114300" distR="114300" simplePos="0" relativeHeight="251664384" behindDoc="1" locked="1" layoutInCell="1" allowOverlap="1" wp14:anchorId="11300AC7" wp14:editId="7B1A322E">
              <wp:simplePos x="0" y="0"/>
              <wp:positionH relativeFrom="leftMargin">
                <wp:align>right</wp:align>
              </wp:positionH>
              <wp:positionV relativeFrom="margin">
                <wp:align>top</wp:align>
              </wp:positionV>
              <wp:extent cx="457200" cy="8138160"/>
              <wp:effectExtent l="0" t="0" r="0" b="0"/>
              <wp:wrapNone/>
              <wp:docPr id="11"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138160"/>
                      </a:xfrm>
                      <a:prstGeom prst="rect">
                        <a:avLst/>
                      </a:prstGeom>
                      <a:solidFill>
                        <a:srgbClr val="FFFFFF"/>
                      </a:solidFill>
                      <a:ln>
                        <a:noFill/>
                      </a:ln>
                      <a:extLst/>
                    </wps:spPr>
                    <wps:txbx>
                      <w:txbxContent>
                        <w:p w14:paraId="6C3A086C" w14:textId="77777777" w:rsidR="00C51F08" w:rsidRDefault="00C51F08">
                          <w:pPr>
                            <w:pStyle w:val="LineNumbers"/>
                            <w:spacing w:before="0" w:after="0" w:line="440" w:lineRule="exact"/>
                            <w:ind w:left="0" w:right="0" w:firstLine="0"/>
                            <w:jc w:val="right"/>
                          </w:pPr>
                          <w:r>
                            <w:t>1</w:t>
                          </w:r>
                        </w:p>
                        <w:p w14:paraId="09620ADA" w14:textId="77777777" w:rsidR="00C51F08" w:rsidRDefault="00C51F08">
                          <w:pPr>
                            <w:pStyle w:val="LineNumbers"/>
                            <w:spacing w:before="0" w:after="0" w:line="440" w:lineRule="exact"/>
                            <w:ind w:left="0" w:right="0" w:firstLine="0"/>
                            <w:jc w:val="right"/>
                          </w:pPr>
                          <w:r>
                            <w:t>2</w:t>
                          </w:r>
                        </w:p>
                        <w:p w14:paraId="11470B2A" w14:textId="77777777" w:rsidR="00C51F08" w:rsidRDefault="00C51F08">
                          <w:pPr>
                            <w:pStyle w:val="LineNumbers"/>
                            <w:spacing w:before="0" w:after="0" w:line="440" w:lineRule="exact"/>
                            <w:ind w:left="0" w:right="0" w:firstLine="0"/>
                            <w:jc w:val="right"/>
                          </w:pPr>
                          <w:r>
                            <w:t>3</w:t>
                          </w:r>
                        </w:p>
                        <w:p w14:paraId="6D84060C" w14:textId="77777777" w:rsidR="00C51F08" w:rsidRDefault="00C51F08">
                          <w:pPr>
                            <w:pStyle w:val="LineNumbers"/>
                            <w:spacing w:before="0" w:after="0" w:line="440" w:lineRule="exact"/>
                            <w:ind w:left="0" w:right="0" w:firstLine="0"/>
                            <w:jc w:val="right"/>
                          </w:pPr>
                          <w:r>
                            <w:t>4</w:t>
                          </w:r>
                        </w:p>
                        <w:p w14:paraId="7CE8F89C" w14:textId="77777777" w:rsidR="00C51F08" w:rsidRDefault="00C51F08">
                          <w:pPr>
                            <w:pStyle w:val="LineNumbers"/>
                            <w:spacing w:before="0" w:after="0" w:line="440" w:lineRule="exact"/>
                            <w:ind w:left="0" w:right="0" w:firstLine="0"/>
                            <w:jc w:val="right"/>
                          </w:pPr>
                          <w:r>
                            <w:t>5</w:t>
                          </w:r>
                        </w:p>
                        <w:p w14:paraId="10967B6D" w14:textId="77777777" w:rsidR="00C51F08" w:rsidRDefault="00C51F08">
                          <w:pPr>
                            <w:pStyle w:val="LineNumbers"/>
                            <w:spacing w:before="0" w:after="0" w:line="440" w:lineRule="exact"/>
                            <w:ind w:left="0" w:right="0" w:firstLine="0"/>
                            <w:jc w:val="right"/>
                          </w:pPr>
                          <w:r>
                            <w:t>6</w:t>
                          </w:r>
                        </w:p>
                        <w:p w14:paraId="7809B6B9" w14:textId="77777777" w:rsidR="00C51F08" w:rsidRDefault="00C51F08">
                          <w:pPr>
                            <w:pStyle w:val="LineNumbers"/>
                            <w:spacing w:before="0" w:after="0" w:line="440" w:lineRule="exact"/>
                            <w:ind w:left="0" w:right="0" w:firstLine="0"/>
                            <w:jc w:val="right"/>
                          </w:pPr>
                          <w:r>
                            <w:t>7</w:t>
                          </w:r>
                        </w:p>
                        <w:p w14:paraId="27B3C4E7" w14:textId="77777777" w:rsidR="00C51F08" w:rsidRDefault="00C51F08">
                          <w:pPr>
                            <w:pStyle w:val="LineNumbers"/>
                            <w:spacing w:before="0" w:after="0" w:line="440" w:lineRule="exact"/>
                            <w:ind w:left="0" w:right="0" w:firstLine="0"/>
                            <w:jc w:val="right"/>
                          </w:pPr>
                          <w:r>
                            <w:t>8</w:t>
                          </w:r>
                        </w:p>
                        <w:p w14:paraId="3695A8C3" w14:textId="77777777" w:rsidR="00C51F08" w:rsidRDefault="00C51F08">
                          <w:pPr>
                            <w:pStyle w:val="LineNumbers"/>
                            <w:spacing w:before="0" w:after="0" w:line="440" w:lineRule="exact"/>
                            <w:ind w:left="0" w:right="0" w:firstLine="0"/>
                            <w:jc w:val="right"/>
                          </w:pPr>
                          <w:r>
                            <w:t>9</w:t>
                          </w:r>
                        </w:p>
                        <w:p w14:paraId="26780853" w14:textId="77777777" w:rsidR="00C51F08" w:rsidRDefault="00C51F08">
                          <w:pPr>
                            <w:pStyle w:val="LineNumbers"/>
                            <w:spacing w:before="0" w:after="0" w:line="440" w:lineRule="exact"/>
                            <w:ind w:left="0" w:right="0" w:firstLine="0"/>
                            <w:jc w:val="right"/>
                          </w:pPr>
                          <w:r>
                            <w:t>10</w:t>
                          </w:r>
                        </w:p>
                        <w:p w14:paraId="65E41691" w14:textId="77777777" w:rsidR="00C51F08" w:rsidRDefault="00C51F08">
                          <w:pPr>
                            <w:pStyle w:val="LineNumbers"/>
                            <w:spacing w:before="0" w:after="0" w:line="440" w:lineRule="exact"/>
                            <w:ind w:left="0" w:right="0" w:firstLine="0"/>
                            <w:jc w:val="right"/>
                          </w:pPr>
                          <w:r>
                            <w:t>11</w:t>
                          </w:r>
                        </w:p>
                        <w:p w14:paraId="7A429E46" w14:textId="77777777" w:rsidR="00C51F08" w:rsidRDefault="00C51F08">
                          <w:pPr>
                            <w:pStyle w:val="LineNumbers"/>
                            <w:spacing w:before="0" w:after="0" w:line="440" w:lineRule="exact"/>
                            <w:ind w:left="0" w:right="0" w:firstLine="0"/>
                            <w:jc w:val="right"/>
                          </w:pPr>
                          <w:r>
                            <w:t>12</w:t>
                          </w:r>
                        </w:p>
                        <w:p w14:paraId="68BEEF52" w14:textId="77777777" w:rsidR="00C51F08" w:rsidRDefault="00C51F08">
                          <w:pPr>
                            <w:pStyle w:val="LineNumbers"/>
                            <w:spacing w:before="0" w:after="0" w:line="440" w:lineRule="exact"/>
                            <w:ind w:left="0" w:right="0" w:firstLine="0"/>
                            <w:jc w:val="right"/>
                          </w:pPr>
                          <w:r>
                            <w:t>13</w:t>
                          </w:r>
                        </w:p>
                        <w:p w14:paraId="7FEFFB6B" w14:textId="77777777" w:rsidR="00C51F08" w:rsidRDefault="00C51F08">
                          <w:pPr>
                            <w:pStyle w:val="LineNumbers"/>
                            <w:spacing w:before="0" w:after="0" w:line="440" w:lineRule="exact"/>
                            <w:ind w:left="0" w:right="0" w:firstLine="0"/>
                            <w:jc w:val="right"/>
                          </w:pPr>
                          <w:r>
                            <w:t>14</w:t>
                          </w:r>
                        </w:p>
                        <w:p w14:paraId="348D47E2" w14:textId="77777777" w:rsidR="00C51F08" w:rsidRDefault="00C51F08">
                          <w:pPr>
                            <w:pStyle w:val="LineNumbers"/>
                            <w:spacing w:before="0" w:after="0" w:line="440" w:lineRule="exact"/>
                            <w:ind w:left="0" w:right="0" w:firstLine="0"/>
                            <w:jc w:val="right"/>
                          </w:pPr>
                          <w:r>
                            <w:t>15</w:t>
                          </w:r>
                        </w:p>
                        <w:p w14:paraId="2B0B8770" w14:textId="77777777" w:rsidR="00C51F08" w:rsidRDefault="00C51F08">
                          <w:pPr>
                            <w:pStyle w:val="LineNumbers"/>
                            <w:spacing w:before="0" w:after="0" w:line="440" w:lineRule="exact"/>
                            <w:ind w:left="0" w:right="0" w:firstLine="0"/>
                            <w:jc w:val="right"/>
                          </w:pPr>
                          <w:r>
                            <w:t>16</w:t>
                          </w:r>
                        </w:p>
                        <w:p w14:paraId="7457A176" w14:textId="77777777" w:rsidR="00C51F08" w:rsidRDefault="00C51F08">
                          <w:pPr>
                            <w:pStyle w:val="LineNumbers"/>
                            <w:spacing w:before="0" w:after="0" w:line="440" w:lineRule="exact"/>
                            <w:ind w:left="0" w:right="0" w:firstLine="0"/>
                            <w:jc w:val="right"/>
                          </w:pPr>
                          <w:r>
                            <w:t>17</w:t>
                          </w:r>
                        </w:p>
                        <w:p w14:paraId="60DA1A89" w14:textId="77777777" w:rsidR="00C51F08" w:rsidRDefault="00C51F08">
                          <w:pPr>
                            <w:pStyle w:val="LineNumbers"/>
                            <w:spacing w:before="0" w:after="0" w:line="440" w:lineRule="exact"/>
                            <w:ind w:left="0" w:right="0" w:firstLine="0"/>
                            <w:jc w:val="right"/>
                          </w:pPr>
                          <w:r>
                            <w:t>18</w:t>
                          </w:r>
                        </w:p>
                        <w:p w14:paraId="2A38DE8D" w14:textId="77777777" w:rsidR="00C51F08" w:rsidRDefault="00C51F08">
                          <w:pPr>
                            <w:pStyle w:val="LineNumbers"/>
                            <w:spacing w:before="0" w:after="0" w:line="440" w:lineRule="exact"/>
                            <w:ind w:left="0" w:right="0" w:firstLine="0"/>
                            <w:jc w:val="right"/>
                          </w:pPr>
                          <w:r>
                            <w:t>19</w:t>
                          </w:r>
                        </w:p>
                        <w:p w14:paraId="62BE8676" w14:textId="77777777" w:rsidR="00C51F08" w:rsidRDefault="00C51F08">
                          <w:pPr>
                            <w:pStyle w:val="LineNumbers"/>
                            <w:spacing w:before="0" w:after="0" w:line="440" w:lineRule="exact"/>
                            <w:ind w:left="0" w:right="0" w:firstLine="0"/>
                            <w:jc w:val="right"/>
                          </w:pPr>
                          <w:r>
                            <w:t>20</w:t>
                          </w:r>
                        </w:p>
                        <w:p w14:paraId="42394265" w14:textId="77777777" w:rsidR="00C51F08" w:rsidRDefault="00C51F08">
                          <w:pPr>
                            <w:pStyle w:val="LineNumbers"/>
                            <w:spacing w:before="0" w:after="0" w:line="440" w:lineRule="exact"/>
                            <w:ind w:left="0" w:right="0" w:firstLine="0"/>
                            <w:jc w:val="right"/>
                          </w:pPr>
                          <w:r>
                            <w:t>21</w:t>
                          </w:r>
                        </w:p>
                        <w:p w14:paraId="29B4FB41" w14:textId="77777777" w:rsidR="00C51F08" w:rsidRDefault="00C51F08">
                          <w:pPr>
                            <w:pStyle w:val="LineNumbers"/>
                            <w:spacing w:before="0" w:after="0" w:line="440" w:lineRule="exact"/>
                            <w:ind w:left="0" w:right="0" w:firstLine="0"/>
                            <w:jc w:val="right"/>
                          </w:pPr>
                          <w:r>
                            <w:t>22</w:t>
                          </w:r>
                        </w:p>
                        <w:p w14:paraId="1F17A8EF" w14:textId="77777777" w:rsidR="00C51F08" w:rsidRDefault="00C51F08">
                          <w:pPr>
                            <w:pStyle w:val="LineNumbers"/>
                            <w:spacing w:before="0" w:after="0" w:line="440" w:lineRule="exact"/>
                            <w:ind w:left="0" w:right="0" w:firstLine="0"/>
                            <w:jc w:val="right"/>
                          </w:pPr>
                          <w:r>
                            <w:t>23</w:t>
                          </w:r>
                        </w:p>
                        <w:p w14:paraId="69B894C4" w14:textId="77777777" w:rsidR="00C51F08" w:rsidRDefault="00C51F08">
                          <w:pPr>
                            <w:pStyle w:val="LineNumbers"/>
                            <w:spacing w:before="0" w:after="0" w:line="440" w:lineRule="exact"/>
                            <w:ind w:left="0" w:right="0" w:firstLine="0"/>
                            <w:jc w:val="right"/>
                          </w:pPr>
                          <w:r>
                            <w:t>24</w:t>
                          </w:r>
                        </w:p>
                        <w:p w14:paraId="69300907" w14:textId="77777777" w:rsidR="00C51F08" w:rsidRDefault="00C51F08">
                          <w:pPr>
                            <w:pStyle w:val="LineNumbers"/>
                            <w:spacing w:before="0" w:after="0" w:line="440" w:lineRule="exact"/>
                            <w:ind w:left="0" w:right="0" w:firstLine="0"/>
                            <w:jc w:val="right"/>
                          </w:pPr>
                          <w:r>
                            <w:t>25</w:t>
                          </w:r>
                        </w:p>
                        <w:p w14:paraId="72D74BF9" w14:textId="77777777" w:rsidR="00C51F08" w:rsidRDefault="00C51F08">
                          <w:pPr>
                            <w:pStyle w:val="LineNumbers"/>
                            <w:spacing w:before="0" w:after="0" w:line="440" w:lineRule="exact"/>
                            <w:ind w:left="0" w:right="0" w:firstLine="0"/>
                            <w:jc w:val="right"/>
                          </w:pPr>
                          <w:r>
                            <w:t>26</w:t>
                          </w:r>
                        </w:p>
                        <w:p w14:paraId="488A8804" w14:textId="77777777" w:rsidR="00C51F08" w:rsidRDefault="00C51F08">
                          <w:pPr>
                            <w:pStyle w:val="LineNumbers"/>
                            <w:spacing w:before="0" w:after="0" w:line="440" w:lineRule="exact"/>
                            <w:ind w:left="0" w:right="0" w:firstLine="0"/>
                            <w:jc w:val="right"/>
                          </w:pPr>
                          <w:r>
                            <w:t>27</w:t>
                          </w:r>
                        </w:p>
                        <w:p w14:paraId="0590E556" w14:textId="77777777" w:rsidR="00C51F08" w:rsidRDefault="00C51F08">
                          <w:pPr>
                            <w:pStyle w:val="LineNumbers"/>
                            <w:spacing w:before="0" w:after="0" w:line="440" w:lineRule="exact"/>
                            <w:ind w:left="0" w:right="0" w:firstLine="0"/>
                            <w:jc w:val="right"/>
                          </w:pPr>
                          <w:r>
                            <w:t>28</w:t>
                          </w:r>
                        </w:p>
                        <w:p w14:paraId="22BACC97" w14:textId="77777777" w:rsidR="00C51F08" w:rsidRDefault="00C51F08">
                          <w:pPr>
                            <w:pStyle w:val="LineNumbers"/>
                            <w:spacing w:before="0" w:after="0" w:line="440" w:lineRule="exact"/>
                            <w:ind w:left="0" w:right="0" w:firstLine="0"/>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customStyle="1" w:styleId="LineNumbers">
    <w:name w:val="Line Numbers"/>
    <w:qFormat/>
    <w:pPr>
      <w:spacing w:before="0" w:after="0" w:line="440" w:lineRule="exact"/>
      <w:ind w:left="0" w:right="0" w:firstLine="0"/>
      <w:jc w:val="right"/>
    </w:pPr>
    <w:rPr>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decision_and_order.docx</dc:title>
  <dc:creator>Un-named</dc:creator>
  <cp:lastModifiedBy>Un-named</cp:lastModifiedBy>
  <cp:revision>1</cp:revision>
  <dcterms:created xsi:type="dcterms:W3CDTF">2026-02-23T18:59:42.380Z</dcterms:created>
  <dcterms:modified xsi:type="dcterms:W3CDTF">2026-02-23T18:59:42.380Z</dcterms:modified>
</cp:coreProperties>
</file>

<file path=docProps/custom.xml><?xml version="1.0" encoding="utf-8"?>
<Properties xmlns="http://schemas.openxmlformats.org/officeDocument/2006/custom-properties" xmlns:vt="http://schemas.openxmlformats.org/officeDocument/2006/docPropsVTypes"/>
</file>