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14 2026  |  Published app version 20</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 JSZip 3.10.1 reads DOCX; PDF.js 5.6.205 extracts PDF text. Reader assets and licenses are served locally.</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builds these guides with python-docx and can run a local static server or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eight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upload-only master,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and roleHeaderFields. Uploaded header order is retained; source headings retain role/company/years.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dist/privacy.js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Web Crypto password-derived encrypted vault, unlock, write queue and lock invalidation.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dist/imports.js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imports.js reads DOCX/PDF/TXT/RTF and validates facts; formatting.js detects bounded typography and section order.</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private session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allow viewport zoom, and load styles.css, accessibility.css and browser.css in that order. They use JavaScript modules. Preserve stylesheet order for layout, focus, contrast, reflow and mobile overrides.</w:t>
      </w:r>
    </w:p>
    <w:p>
      <w:pPr>
        <w:pStyle w:val="Heading1"/>
        <w:pageBreakBefore/>
      </w:pPr>
      <w:r>
        <w:t>3 Data contracts and stored records</w:t>
      </w:r>
    </w:p>
    <w:p>
      <w:r>
        <w:t>Master and resume objects are plain serializable data. The blank factory returns empty strings and arrays. A readable upload saves without required applicant fields or section headings. Imports add source, importedText, importedFileName and formatting metadata. Clear Master Resume writes an explicit blank marker, clears source text and current output, and prevents history recovery from restoring the deleted master. Saved versions retain separate snapshots until cleared.</w:t>
      </w:r>
    </w:p>
    <w:p>
      <w:pPr>
        <w:pStyle w:val="Code"/>
      </w:pPr>
      <w:r>
        <w:t>const master = {</w:t>
        <w:br/>
        <w:t xml:space="preserve">  name: "Avery Taylor", phone: "",</w:t>
        <w:br/>
        <w:t xml:space="preserve">  email: "avery@example.com", linkedin: "",</w:t>
        <w:br/>
        <w:t xml:space="preserve">  source: "Uploaded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All applicant fields are optional for upload. Shape validation permits empty strings and arrays. Unlabeled text is retained as source summary content when no structure is recognized; missing facts are not invented. Imported text makes a saved upload ready even when the name is absent. Export payloads allow a blank name. File-format, size and readable-text protections still apply.</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Master resume import interfaces</w:t>
      </w:r>
    </w:p>
    <w:p>
      <w:pPr>
        <w:pStyle w:val="Code"/>
      </w:pPr>
      <w:r>
        <w:t>validateResumeFile(file) -&gt; extension or throws</w:t>
        <w:br/>
        <w:t>extractResumeText(file, {signal, loadZip, loadPDF, onFormatting} = {})</w:t>
        <w:br/>
        <w:t xml:space="preserve">  -&gt; Promise&lt;string&gt;</w:t>
        <w:br/>
        <w:t>parseResumeText(text) -&gt; parsed source object</w:t>
      </w:r>
    </w:p>
    <w:p>
      <w:r>
        <w:t>File validation accepts PDF, DOCX, TXT and RTF with a 10 MB limit. TXT is strict UTF-8. RTF decodes Windows-1252 and supported Unicode controls, excludes metadata and embedded objects, and never executes content. DOCX uses JSZip with a 30 MB expanded archive limit. PDF.js reads up to 30 pages with evaluation disabled and local assets. No OCR is provided. Text is capped at 200,000 characters.</w:t>
      </w:r>
    </w:p>
    <w:p>
      <w:r>
        <w:t>Parsing recognizes common sections and confirmed three-field employment headings. Word numbering preserves bullet markers; PDF text is ordered by row and horizontal position. Until a complete next heading is confirmed, text remains with the current role, including its final accomplishment. headerOrder preserves role, employer and date order. Readable uploads save automatically even with missing facts or headings. Unreadable or invalid files preserve the prior source. Roles without bullets do not produce accomplishment paragraphs in the cover letter.</w:t>
      </w:r>
    </w:p>
    <w:p>
      <w:r>
        <w:t>app.js guards reads with an epoch and AbortController. Clear, dialog close and workspace reset invalidate pending reads; late completion cannot restore deleted content. Upload disables the picker while reading; Clear can cancel a pending read. The input clears before its chooser opens and after completion, allowing a rejected selection to be retried after renaming. Before extraction, filenames are normalized with NFKC, trimmed and compared without case against the current master filename and its uploadedFileNames array. Only successful imports reserve a name; the array is saved alongside the master through the existing browser storage or encrypted vault. Clear Master Resume discards this history. Names are never checked across users. Applicant names are not duplicate blockers. Progress, associated errors and a read-only text view support keyboard access. Clear resets the file selection, extracted text, master marker and current output; stored versions remain separate. It calls resetWorkspace immediately after blanking the master and before awaiting storeValue, so text boxes clear even while encrypted storage is still writing.</w:t>
      </w:r>
    </w:p>
    <w:p>
      <w:r>
        <w:t>PDF.js and its worker must be served as modules with standard_fonts and licenses. Readers load only when needed. If DOCX or PDF reading fails, revise the file or upload TXT or RTF; manual master entry is unavailable. formatting.js normalizes bounded typography, margins, page size, labels and section order. Word uses detected font settings; PDF infers a compatible serif, sans or mono family. Tables, graphics and arbitrary original positions are not reproduced.</w:t>
      </w:r>
    </w:p>
    <w:p>
      <w:r>
        <w:t>TXT and RTF use a single column, Arial 11 point and 0.75 inch margins, within MIT recommended font and margin ranges. This fallback does not guarantee ATS acceptance.</w:t>
      </w:r>
    </w:p>
    <w:p>
      <w:hyperlink r:id="rId11">
        <w:r>
          <w:rPr>
            <w:color w:val="000000"/>
            <w:u w:val="single"/>
          </w:rPr>
          <w:t>MIT Resume Checklist</w:t>
        </w:r>
      </w:hyperlink>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an entirely empty master.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auditResume(resume, keywords, master) -&gt; Audit</w:t>
        <w:br/>
        <w:t>auditCoverLetter(letter, keywords) -&gt; Audit</w:t>
        <w:br/>
        <w:t>reviewApplication(result, {reextract = false} = {})</w:t>
        <w:br/>
        <w:t xml:space="preserve">  -&gt; result with refreshed audits and writing review</w:t>
      </w:r>
    </w:p>
    <w:p>
      <w:r>
        <w:t>Detection combines a finite catalog with named-tool and stated-skill detection. Additional comma-separated terms help recover missed phrases. Catalog concepts can have multiple employer aliases; every unique normalized job phrase is scored. Additional terms absent from the posting are excluded from the denominator. Resume evidence controls support; typing an unsupported term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detects phrases, checks evidence, focuses the summary, moves relevant competencies first, ranks bullets within each role, rewrites equivalent supported wording, orders skills, inserts missing supported phrases, polishes English, creates the letter, and audits both documents. Original employers, titles, dates, metrics, and qualifications are preserved. Support work must retain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exposes polishResume, polishCoverLetter, cleanEnglish, polishBullet, actionVerb, firstPersonBullet, and writingReview. The HR profile models a hiring reviewer with over twenty years of experience as an editorial lens. It neither adds that tenure to the applicant nor performs human review. Grammar rules are conservative; unrecognized openings and long sentences remain review items.</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host) -&gt; private URL string</w:t>
        <w:br/>
        <w:t>configurePrivateHandoff(link, payload, status, host) -&gt; cleanup</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configurePrivateHandoff opens a same-origin tab on the user’s click. A 600,000-byte maximum snapshot is stored in sessionStorage under a random UUID for five minutes; only #transfer=UUID enters the URL. The opened tab inherits a copy of the source sessionStorage, consumes the transfer, clears its URL and retains the snapshot for refresh. The parent removes its transfer record. A copied URL in another session fails. Blocked popups or sessionStorage must offer direct save. Legacy encode/decode helpers remain internal serialization utilities and are not used in public links.</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the requested local library. TXT uses no export library. Source formatting travels with resume payloads and snapshots; cover letters keep their professional template. PDFs embed matching CFF font programs: Nimbus Sans or PDF.js serif/mono assets. Non-ASCII normalization may alter characters, so the review recommends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Upload and clear controls</w:t>
      </w:r>
    </w:p>
    <w:p>
      <w:r>
        <w:t>The master dialog restores version 1 section grouping with read-only contact, summary, competencies, expandable experience, technical skills and education. showImportedText renders escaped facts and bullets, plus the original-text disclosure. The native picker remains the only source input. There is no master form, manual Save or Add/Remove handler. buildEditor and collectEditor are used only for tailored output. Source corrections happen in the original file and are uploaded again. Clear cancels pending reads and resets all displayed data before awaiting storage. keepMasterOpen leaves the empty dialog visible. A blank marker replaces saved master facts and filename history; encrypted storage writes the blank snapshot. masterDeletionFailed enables retry after a failed write. Storage events invalidate a cleared master in other tabs.</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or an explicit Blank master resume marker. localStorage for this origin and browser profile.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When protection is off, load a valid saved master or recover this browser’s history snapshot. An explicit blank marker prevents recovery after clearing. A protected workspace starts blank until unlocked. Master readiness controls tailoring; new browser profiles receive no applicant data.</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deletes the history key when unprotected, or awaits an encrypted empty-history write when protected. It clears memory, output, editors and prepared links, cancels pending work and reports persistence failures. Clear Master Resume stores a blank source and keeps history. Other-tab storage changes invalidate stale copies.</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stays local. Opt-in password protection encrypts saved records and removes legacy plaintext. Without it, users sharing a browser profile can read saved data. Normal app and download URLs contain no applicant content. Site sharing exposes app code; no applicant database or cloud account exists.</w:t>
      </w:r>
    </w:p>
    <w:p>
      <w:r>
        <w:t>Escape stored text, validate transfers and avoid executable interpolation. Both HTML pages use no-referrer metadata and same-origin script/connection policies, block object embeds and external form submission, and load local vendors. No service worker or native offline package is shipped.</w:t>
      </w:r>
    </w:p>
    <w:p>
      <w:pPr>
        <w:pStyle w:val="Heading1"/>
        <w:pageBreakBefore/>
      </w:pPr>
      <w:r>
        <w:t>Password protected storage API</w:t>
      </w:r>
    </w:p>
    <w:p>
      <w:pPr>
        <w:pStyle w:val="Code"/>
      </w:pPr>
      <w:r>
        <w:t>PrivateVault(storage, crypto)</w:t>
        <w:br/>
        <w:t xml:space="preserve">  exists() -&gt; boolean</w:t>
        <w:br/>
        <w:t xml:space="preserve">  create(passphrase, {master, history}) -&gt; Promise&lt;void&gt;</w:t>
        <w:br/>
        <w:t xml:space="preserve">  unlock(passphrase) -&gt; Promise&lt;{master, history}&gt;</w:t>
        <w:br/>
        <w:t xml:space="preserve">  write({master, history}) -&gt; Promise&lt;void&gt;</w:t>
        <w:br/>
        <w:t xml:space="preserve">  flush() -&gt; Promise&lt;void&gt;</w:t>
        <w:br/>
        <w:t xml:space="preserve">  lock() -&gt; void</w:t>
      </w:r>
    </w:p>
    <w:p>
      <w:r>
        <w:t>privacy.js uses Web Crypto AES-GCM with a 256-bit nonextractable key, a random 16-byte salt and a fresh 12-byte IV for each write. PBKDF2-HMAC-SHA-256 derives the key with 600,000 iterations. The minimum passphrase length is 12 characters. localStorage key le-resume-studio-private-vault-v1 contains schema, salt, IV, work factor and authenticated ciphertext; it contains no plaintext master, history, password or key. Authentication failure rejects wrong passwords and modified ciphertext.</w:t>
      </w:r>
    </w:p>
    <w:p>
      <w:r>
        <w:t>Writes serialize through a promise queue and capture a JSON snapshot. Lock increments an epoch and drops the key; a pending encryption cannot write after locking. Encrypted writes replace the vault atomically only after encryption succeeds. Upload and deletion controls await persistence. Other-tab vault updates invalidate an unlocked copy. Storage failure preserves the current tab and exposes an error rather than claiming durable protection. Protection setup and unlock both retry deletion of legacy plaintext keys.</w:t>
      </w:r>
    </w:p>
    <w:p>
      <w:r>
        <w:t>This is local passphrase protection, not a server login or a password recovery system. It does not hide an unlocked tab, protect downloads on the filesystem, secure a compromised device, or prevent a trusted future app script from reading an unlocked workspace. Browser session restoration and actual popup/iframe behavior require real-device verification. Close download tabs when handing over a shared device. Keep the app origin and vendored assets trusted.</w:t>
      </w:r>
    </w:p>
    <w:p>
      <w:hyperlink r:id="rId12">
        <w:r>
          <w:rPr>
            <w:color w:val="000000"/>
            <w:u w:val="single"/>
          </w:rPr>
          <w:t>OWASP password storage guidance</w:t>
        </w:r>
      </w:hyperlink>
    </w:p>
    <w:p>
      <w:hyperlink r:id="rId13">
        <w:r>
          <w:rPr>
            <w:color w:val="000000"/>
            <w:u w:val="single"/>
          </w:rPr>
          <w:t>MDN sessionStorage and opener inheritance</w:t>
        </w:r>
      </w:hyperlink>
    </w:p>
    <w:p>
      <w:pPr>
        <w:pStyle w:val="Heading1"/>
        <w:pageBreakBefore/>
      </w:pPr>
      <w:r>
        <w:t>8 Verification deployment and maintenance</w:t>
      </w:r>
    </w:p>
    <w:p>
      <w:pPr>
        <w:pStyle w:val="Heading2"/>
      </w:pPr>
      <w:r>
        <w:t>Checks and release procedure</w:t>
      </w:r>
    </w:p>
    <w:p>
      <w:r>
        <w:t>The master review and deletion release passed 132 node:test checks on October 14 2026.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4">
        <w:r>
          <w:rPr>
            <w:color w:val="000000"/>
            <w:u w:val="single"/>
          </w:rPr>
          <w:t>[1] MDN showSaveFilePicker</w:t>
        </w:r>
      </w:hyperlink>
    </w:p>
    <w:p>
      <w:pPr>
        <w:spacing w:after="60"/>
      </w:pPr>
      <w:hyperlink r:id="rId15">
        <w:r>
          <w:rPr>
            <w:color w:val="000000"/>
            <w:u w:val="single"/>
          </w:rPr>
          <w:t>[2] MDN Navigator share</w:t>
        </w:r>
      </w:hyperlink>
    </w:p>
    <w:p>
      <w:pPr>
        <w:spacing w:after="60"/>
      </w:pPr>
      <w:hyperlink r:id="rId16">
        <w:r>
          <w:rPr>
            <w:color w:val="000000"/>
            <w:u w:val="single"/>
          </w:rPr>
          <w:t>[3] MDN Clipboard writeText</w:t>
        </w:r>
      </w:hyperlink>
    </w:p>
    <w:p>
      <w:pPr>
        <w:spacing w:after="60"/>
      </w:pPr>
      <w:hyperlink r:id="rId17">
        <w:r>
          <w:rPr>
            <w:color w:val="000000"/>
            <w:u w:val="single"/>
          </w:rPr>
          <w:t>[4] MDN HTML dialog</w:t>
        </w:r>
      </w:hyperlink>
    </w:p>
    <w:p>
      <w:pPr>
        <w:spacing w:after="60"/>
      </w:pPr>
      <w:hyperlink r:id="rId18">
        <w:r>
          <w:rPr>
            <w:color w:val="000000"/>
            <w:u w:val="single"/>
          </w:rPr>
          <w:t>[5] MDN VisualViewport</w:t>
        </w:r>
      </w:hyperlink>
    </w:p>
    <w:p>
      <w:pPr>
        <w:spacing w:after="60"/>
      </w:pPr>
      <w:hyperlink r:id="rId19">
        <w:r>
          <w:rPr>
            <w:color w:val="000000"/>
            <w:u w:val="single"/>
          </w:rPr>
          <w:t>[6] W3C tabs pattern</w:t>
        </w:r>
      </w:hyperlink>
    </w:p>
    <w:p>
      <w:pPr>
        <w:spacing w:after="60"/>
      </w:pPr>
      <w:hyperlink r:id="rId20">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d.mit.edu/resources/resume-checklist/" TargetMode="External"/><Relationship Id="rId12" Type="http://schemas.openxmlformats.org/officeDocument/2006/relationships/hyperlink" Target="https://cheatsheetseries.owasp.org/cheatsheets/Password_Storage_Cheat_Sheet.html" TargetMode="External"/><Relationship Id="rId13" Type="http://schemas.openxmlformats.org/officeDocument/2006/relationships/hyperlink" Target="https://developer.mozilla.org/en-US/docs/Web/API/Window/sessionStorage" TargetMode="External"/><Relationship Id="rId14" Type="http://schemas.openxmlformats.org/officeDocument/2006/relationships/hyperlink" Target="https://developer.mozilla.org/en-US/docs/Web/API/Window/showSaveFilePicker" TargetMode="External"/><Relationship Id="rId15" Type="http://schemas.openxmlformats.org/officeDocument/2006/relationships/hyperlink" Target="https://developer.mozilla.org/en-US/docs/Web/API/Navigator/share" TargetMode="External"/><Relationship Id="rId16" Type="http://schemas.openxmlformats.org/officeDocument/2006/relationships/hyperlink" Target="https://developer.mozilla.org/en-US/docs/Web/API/Clipboard/writeText" TargetMode="External"/><Relationship Id="rId17" Type="http://schemas.openxmlformats.org/officeDocument/2006/relationships/hyperlink" Target="https://developer.mozilla.org/en-US/docs/Web/HTML/Reference/Elements/dialog" TargetMode="External"/><Relationship Id="rId18" Type="http://schemas.openxmlformats.org/officeDocument/2006/relationships/hyperlink" Target="https://developer.mozilla.org/en-US/docs/Web/API/VisualViewport" TargetMode="External"/><Relationship Id="rId19" Type="http://schemas.openxmlformats.org/officeDocument/2006/relationships/hyperlink" Target="https://www.w3.org/WAI/ARIA/apg/patterns/tabs/" TargetMode="External"/><Relationship Id="rId20"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