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 Resume Studio</w:t>
      </w:r>
    </w:p>
    <w:p>
      <w:pPr>
        <w:pStyle w:val="Subtitle"/>
      </w:pPr>
      <w:r>
        <w:t>Web and Mobile Browser Guide</w:t>
      </w:r>
    </w:p>
    <w:p>
      <w:r>
        <w:t>October 14 2026  |  Published app version 20</w:t>
      </w:r>
    </w:p>
    <w:p>
      <w:r>
        <w:t>Use this guide to investigate browser and device differences, reproduce failures, and verify the app before making compatibility claims. The app includes capability fallbacks and responsive layouts. Real Safari, Chrome, mobile, screen-reader, and live ATS behavior has not been certified by the automated checks.</w:t>
      </w:r>
    </w:p>
    <w:p>
      <w:pPr>
        <w:pStyle w:val="Heading1"/>
      </w:pPr>
      <w:r>
        <w:t>1 Support model and current limits</w:t>
      </w:r>
    </w:p>
    <w:p>
      <w:r>
        <w:t>Intended targets are current Safari on macOS/iPhone/iPad, Chrome on desktop/Android, and desktop Edge and Firefox. The app requires JavaScript modules and native HTML dialogs. It uses capability detection for optional APIs rather than promising identical controls on every browser. It is a website, with no native iOS/Android package or service worker.</w:t>
      </w:r>
    </w:p>
    <w:tbl>
      <w:tblPr>
        <w:tblW w:type="auto" w:w="0"/>
        <w:jc w:val="center"/>
        <w:tblLayout w:type="fixed"/>
        <w:tblLook w:firstColumn="1" w:firstRow="1" w:lastColumn="0" w:lastRow="0" w:noHBand="0" w:noVBand="1" w:val="04A0"/>
      </w:tblPr>
      <w:tblGrid>
        <w:gridCol w:w="2088"/>
        <w:gridCol w:w="6264"/>
        <w:gridCol w:w="1728"/>
      </w:tblGrid>
      <w:tr>
        <w:trPr>
          <w:tblHeader/>
          <w:cantSplit/>
        </w:trPr>
        <w:tc>
          <w:tcPr>
            <w:tcW w:type="dxa" w:w="208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shd w:fill="F2F2F2"/>
          </w:tcPr>
          <w:p>
            <w:pPr>
              <w:spacing w:before="0" w:after="0" w:line="254" w:lineRule="auto"/>
            </w:pPr>
            <w:r>
              <w:rPr>
                <w:rFonts w:ascii="Arial" w:hAnsi="Arial"/>
                <w:b/>
                <w:color w:val="000000"/>
                <w:sz w:val="21"/>
              </w:rPr>
              <w:t>Capability</w:t>
            </w:r>
          </w:p>
        </w:tc>
        <w:tc>
          <w:tcPr>
            <w:tcW w:type="dxa" w:w="626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shd w:fill="F2F2F2"/>
          </w:tcPr>
          <w:p>
            <w:pPr>
              <w:spacing w:before="0" w:after="0" w:line="254" w:lineRule="auto"/>
            </w:pPr>
            <w:r>
              <w:rPr>
                <w:rFonts w:ascii="Arial" w:hAnsi="Arial"/>
                <w:b/>
                <w:color w:val="000000"/>
                <w:sz w:val="21"/>
              </w:rPr>
              <w:t>Implemented behavior</w:t>
            </w:r>
          </w:p>
        </w:tc>
        <w:tc>
          <w:tcPr>
            <w:tcW w:type="dxa" w:w="172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shd w:fill="F2F2F2"/>
          </w:tcPr>
          <w:p>
            <w:pPr>
              <w:spacing w:before="0" w:after="0" w:line="254" w:lineRule="auto"/>
              <w:jc w:val="center"/>
            </w:pPr>
            <w:r>
              <w:rPr>
                <w:rFonts w:ascii="Arial" w:hAnsi="Arial"/>
                <w:b/>
                <w:color w:val="000000"/>
                <w:sz w:val="21"/>
              </w:rPr>
              <w:t>Status</w:t>
            </w:r>
          </w:p>
        </w:tc>
      </w:tr>
      <w:tr>
        <w:trPr>
          <w:cantSplit/>
        </w:trPr>
        <w:tc>
          <w:tcPr>
            <w:tcW w:type="dxa" w:w="208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Folder picker</w:t>
            </w:r>
          </w:p>
        </w:tc>
        <w:tc>
          <w:tcPr>
            <w:tcW w:type="dxa" w:w="626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Save file… when showSaveFilePicker is available outside an embedded frame; otherwise Download file.</w:t>
            </w:r>
          </w:p>
        </w:tc>
        <w:tc>
          <w:tcPr>
            <w:tcW w:type="dxa" w:w="172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jc w:val="center"/>
            </w:pPr>
            <w:r>
              <w:rPr>
                <w:rFonts w:ascii="Arial" w:hAnsi="Arial"/>
                <w:b w:val="0"/>
                <w:color w:val="000000"/>
                <w:sz w:val="21"/>
              </w:rPr>
              <w:t>Simulated</w:t>
            </w:r>
          </w:p>
        </w:tc>
      </w:tr>
      <w:tr>
        <w:trPr>
          <w:cantSplit/>
        </w:trPr>
        <w:tc>
          <w:tcPr>
            <w:tcW w:type="dxa" w:w="208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File sharing</w:t>
            </w:r>
          </w:p>
        </w:tc>
        <w:tc>
          <w:tcPr>
            <w:tcW w:type="dxa" w:w="626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Share file only when File, share, and canShare accept the exact file, outside frames.</w:t>
            </w:r>
          </w:p>
        </w:tc>
        <w:tc>
          <w:tcPr>
            <w:tcW w:type="dxa" w:w="172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jc w:val="center"/>
            </w:pPr>
            <w:r>
              <w:rPr>
                <w:rFonts w:ascii="Arial" w:hAnsi="Arial"/>
                <w:b w:val="0"/>
                <w:color w:val="000000"/>
                <w:sz w:val="21"/>
              </w:rPr>
              <w:t>Simulated</w:t>
            </w:r>
          </w:p>
        </w:tc>
      </w:tr>
      <w:tr>
        <w:trPr>
          <w:cantSplit/>
        </w:trPr>
        <w:tc>
          <w:tcPr>
            <w:tcW w:type="dxa" w:w="208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Clipboard</w:t>
            </w:r>
          </w:p>
        </w:tc>
        <w:tc>
          <w:tcPr>
            <w:tcW w:type="dxa" w:w="626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Direct writeText on click; manual selectable-text dialog after rejection or absence.</w:t>
            </w:r>
          </w:p>
        </w:tc>
        <w:tc>
          <w:tcPr>
            <w:tcW w:type="dxa" w:w="172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jc w:val="center"/>
            </w:pPr>
            <w:r>
              <w:rPr>
                <w:rFonts w:ascii="Arial" w:hAnsi="Arial"/>
                <w:b w:val="0"/>
                <w:color w:val="000000"/>
                <w:sz w:val="21"/>
              </w:rPr>
              <w:t>Simulated</w:t>
            </w:r>
          </w:p>
        </w:tc>
      </w:tr>
      <w:tr>
        <w:trPr>
          <w:cantSplit/>
        </w:trPr>
        <w:tc>
          <w:tcPr>
            <w:tcW w:type="dxa" w:w="208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Browser storage</w:t>
            </w:r>
          </w:p>
        </w:tc>
        <w:tc>
          <w:tcPr>
            <w:tcW w:type="dxa" w:w="626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Persistent notice and current-tab operation after blocked reads/writes or full storage.</w:t>
            </w:r>
          </w:p>
        </w:tc>
        <w:tc>
          <w:tcPr>
            <w:tcW w:type="dxa" w:w="172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jc w:val="center"/>
            </w:pPr>
            <w:r>
              <w:rPr>
                <w:rFonts w:ascii="Arial" w:hAnsi="Arial"/>
                <w:b w:val="0"/>
                <w:color w:val="000000"/>
                <w:sz w:val="21"/>
              </w:rPr>
              <w:t>Simulated</w:t>
            </w:r>
          </w:p>
        </w:tc>
      </w:tr>
      <w:tr>
        <w:trPr>
          <w:cantSplit/>
        </w:trPr>
        <w:tc>
          <w:tcPr>
            <w:tcW w:type="dxa" w:w="208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Mobile keyboard</w:t>
            </w:r>
          </w:p>
        </w:tc>
        <w:tc>
          <w:tcPr>
            <w:tcW w:type="dxa" w:w="626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VisualViewport height/offset update; CSS viewport fallback; overrides removed during pinch zoom.</w:t>
            </w:r>
          </w:p>
        </w:tc>
        <w:tc>
          <w:tcPr>
            <w:tcW w:type="dxa" w:w="172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jc w:val="center"/>
            </w:pPr>
            <w:r>
              <w:rPr>
                <w:rFonts w:ascii="Arial" w:hAnsi="Arial"/>
                <w:b w:val="0"/>
                <w:color w:val="000000"/>
                <w:sz w:val="21"/>
              </w:rPr>
              <w:t>Simulated</w:t>
            </w:r>
          </w:p>
        </w:tc>
      </w:tr>
      <w:tr>
        <w:trPr>
          <w:cantSplit/>
        </w:trPr>
        <w:tc>
          <w:tcPr>
            <w:tcW w:type="dxa" w:w="208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Clone and syntax</w:t>
            </w:r>
          </w:p>
        </w:tc>
        <w:tc>
          <w:tcPr>
            <w:tcW w:type="dxa" w:w="626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JSON clone fallback; application avoids literal regex lookbehind, Array.at, and Object.hasOwn.</w:t>
            </w:r>
          </w:p>
        </w:tc>
        <w:tc>
          <w:tcPr>
            <w:tcW w:type="dxa" w:w="172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jc w:val="center"/>
            </w:pPr>
            <w:r>
              <w:rPr>
                <w:rFonts w:ascii="Arial" w:hAnsi="Arial"/>
                <w:b w:val="0"/>
                <w:color w:val="000000"/>
                <w:sz w:val="21"/>
              </w:rPr>
              <w:t>Simulated</w:t>
            </w:r>
          </w:p>
        </w:tc>
      </w:tr>
      <w:tr>
        <w:trPr>
          <w:cantSplit/>
        </w:trPr>
        <w:tc>
          <w:tcPr>
            <w:tcW w:type="dxa" w:w="208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Layout and accessibility</w:t>
            </w:r>
          </w:p>
        </w:tc>
        <w:tc>
          <w:tcPr>
            <w:tcW w:type="dxa" w:w="626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Responsive CSS, safe areas, zoom, focus, tab semantics, and reduced motion.</w:t>
            </w:r>
          </w:p>
        </w:tc>
        <w:tc>
          <w:tcPr>
            <w:tcW w:type="dxa" w:w="172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jc w:val="center"/>
            </w:pPr>
            <w:r>
              <w:rPr>
                <w:rFonts w:ascii="Arial" w:hAnsi="Arial"/>
                <w:b w:val="0"/>
                <w:color w:val="000000"/>
                <w:sz w:val="21"/>
              </w:rPr>
              <w:t>Code checks</w:t>
            </w:r>
          </w:p>
        </w:tc>
      </w:tr>
      <w:tr>
        <w:trPr>
          <w:cantSplit/>
        </w:trPr>
        <w:tc>
          <w:tcPr>
            <w:tcW w:type="dxa" w:w="208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Actual device interactions</w:t>
            </w:r>
          </w:p>
        </w:tc>
        <w:tc>
          <w:tcPr>
            <w:tcW w:type="dxa" w:w="626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Download managers, share sheets, rendering, rotation, keyboards, and screen readers.</w:t>
            </w:r>
          </w:p>
        </w:tc>
        <w:tc>
          <w:tcPr>
            <w:tcW w:type="dxa" w:w="172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jc w:val="center"/>
            </w:pPr>
            <w:r>
              <w:rPr>
                <w:rFonts w:ascii="Arial" w:hAnsi="Arial"/>
                <w:b w:val="0"/>
                <w:color w:val="000000"/>
                <w:sz w:val="21"/>
              </w:rPr>
              <w:t>Needs testing</w:t>
            </w:r>
          </w:p>
        </w:tc>
      </w:tr>
    </w:tbl>
    <w:p>
      <w:pPr>
        <w:spacing w:after="0"/>
      </w:pPr>
    </w:p>
    <w:p>
      <w:r>
        <w:t>Simulated means the feature or failure branch was exercised with test adapters. It does not certify a particular browser version. A supported optional API can still be denied by permissions, security policy, an embedded context, or user cancellation. Record the browser and operating system when verifying a release.</w:t>
      </w:r>
    </w:p>
    <w:p>
      <w:pPr>
        <w:pStyle w:val="Heading1"/>
        <w:pageBreakBefore/>
      </w:pPr>
      <w:r>
        <w:t>2 Download and export troubleshooting</w:t>
      </w:r>
    </w:p>
    <w:p>
      <w:pPr>
        <w:pStyle w:val="Heading2"/>
      </w:pPr>
      <w:r>
        <w:t>A prepared file does not appear in Downloads</w:t>
      </w:r>
    </w:p>
    <w:p>
      <w:r>
        <w:t>Reproduce by choosing a document and format, then inspect the save dialog. Format buttons prepare the Blob; the user must choose Save file… or Download file. In an embedded app, use Open download page. Ordinary downloads follow browser settings and may open in a preview. The app cannot set a universal destination folder. MDN documents the picker as limited in availability, requiring a secure context and user activation [1].</w:t>
      </w:r>
    </w:p>
    <w:p>
      <w:r>
        <w:t>Inspect downloads.js configureSaveLink and canChooseLocation, plus download-page.js. Native picker success is reported only after write and close. An AbortError means cancellation; another save error switches the retained link to a normal download. Keep the Blob link alive until replacement/reset and do not automatically click then revoke it. Check browser download permissions and the preview’s own Download action.</w:t>
      </w:r>
    </w:p>
    <w:p>
      <w:pPr>
        <w:pStyle w:val="Heading2"/>
      </w:pPr>
      <w:r>
        <w:t>Sharing is missing or fails</w:t>
      </w:r>
    </w:p>
    <w:p>
      <w:r>
        <w:t>Absence of Share file is expected if exact-file sharing is unsupported or the app is embedded. configureShareButton checks canShare before displaying it and invokes share directly from a user click. A permissions policy or loss of transient activation can reject sharing [2]. Cancellation leaves the download available. Promise resolution is not treated as proof of a file saved to the device.</w:t>
      </w:r>
    </w:p>
    <w:p>
      <w:pPr>
        <w:pStyle w:val="Heading1"/>
        <w:pageBreakBefore/>
      </w:pPr>
      <w:r>
        <w:t>Master resume upload troubleshooting</w:t>
      </w:r>
    </w:p>
    <w:p>
      <w:r>
        <w:t>Upload DOCX, text-based PDF, UTF-8 TXT or RTF. Limits are 10 MB, 30 PDF pages and 200,000 extracted characters. Convert older .doc files, remove PDF passwords and use text copies of scans. Uploads save automatically without required sections, names, skills, dates or job headings. The master uses section grouping like version 1; all extracted details remain read-only. Correct the original file and reupload if parsing misses facts; each successful upload must use a new filename, ignoring capitalization. Duplicate errors preserve the current master; failed uploads do not reserve names. Clear Master Resume resets filename history. Clear Master Resume immediately empties the uploaded-text, job-description, extra-keyword and copy-text boxes before saving the blank master. It shows No master resume saved, cancels pending imports and stays blank after reopening. A failed deletion remains retryable; other tabs clear their stale master. Saved versions remain separate.</w:t>
      </w:r>
    </w:p>
    <w:p>
      <w:r>
        <w:t>For PDF failures, check local PDF.js modules, standard fonts, MIME types and worker policy. For DOCX, check JSZip. Readers do not upload resume contents. A cloud-picked file must be downloadable by the browser. If a reader fails, use TXT or RTF. Word and PDF styling is detected conservatively; missing fonts use compatible replacements. Native Safari, Chrome, mobile and assistive-technology upload interactions still require real-device checks.</w:t>
      </w:r>
    </w:p>
    <w:p>
      <w:pPr>
        <w:pStyle w:val="Heading2"/>
      </w:pPr>
      <w:r>
        <w:t>Word or PDF export fails while Plain text works</w:t>
      </w:r>
    </w:p>
    <w:p>
      <w:r>
        <w:t>Check browser.js loadExportLibrary and network responses for vendor/docx.js or vendor/pdf-lib.min.js. Libraries are loaded on demand, concurrent requests are deduplicated, and a failed load can be retried. PDF generation also needs the vendored font programs. Serve correct JavaScript MIME types over HTTP/HTTPS and check for missing files, policy blocks, or rejected fetches. Plain text has no export-library dependency.</w:t>
      </w:r>
    </w:p>
    <w:p>
      <w:pPr>
        <w:pStyle w:val="Heading2"/>
      </w:pPr>
      <w:r>
        <w:t>The PDF changes characters or the ATS rejects a file</w:t>
      </w:r>
    </w:p>
    <w:p>
      <w:r>
        <w:t>exports.js normalizes PDF text into a limited Latin character set; characters outside it may become question marks and accents may be removed. ats.js reviews this and warns users to use Word or TXT to preserve text. An employer’s upload restrictions remain authoritative. Choose a supported file type and check the actual prepared size; the app’s profiles include source-backed limits for Greenhouse and Workable. After upload, inspect parsed fields. No live parser acceptance is guaranteed.</w:t>
      </w:r>
    </w:p>
    <w:p>
      <w:r>
        <w:t>Acceptance check: prepare and open all six resume/cover-letter combinations, confirm filenames and content, cancel a picker, retry a failed save, and verify that each file exists in the chosen destination. Test both an ordinary browser tab and the embedded handoff.</w:t>
      </w:r>
    </w:p>
    <w:p>
      <w:pPr>
        <w:pStyle w:val="Heading1"/>
        <w:pageBreakBefore/>
      </w:pPr>
      <w:r>
        <w:t>3 Storage resets transfers and copying</w:t>
      </w:r>
    </w:p>
    <w:tbl>
      <w:tblPr>
        <w:tblW w:type="auto" w:w="0"/>
        <w:jc w:val="center"/>
        <w:tblLayout w:type="fixed"/>
        <w:tblLook w:firstColumn="1" w:firstRow="1" w:lastColumn="0" w:lastRow="0" w:noHBand="0" w:noVBand="1" w:val="04A0"/>
      </w:tblPr>
      <w:tblGrid>
        <w:gridCol w:w="2232"/>
        <w:gridCol w:w="4320"/>
        <w:gridCol w:w="3528"/>
      </w:tblGrid>
      <w:tr>
        <w:trPr>
          <w:tblHeader/>
          <w:cantSplit/>
        </w:trPr>
        <w:tc>
          <w:tcPr>
            <w:tcW w:type="dxa" w:w="2232"/>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shd w:fill="F2F2F2"/>
          </w:tcPr>
          <w:p>
            <w:pPr>
              <w:spacing w:before="0" w:after="0" w:line="254" w:lineRule="auto"/>
            </w:pPr>
            <w:r>
              <w:rPr>
                <w:rFonts w:ascii="Arial" w:hAnsi="Arial"/>
                <w:b/>
                <w:color w:val="000000"/>
                <w:sz w:val="21"/>
              </w:rPr>
              <w:t>Symptom</w:t>
            </w:r>
          </w:p>
        </w:tc>
        <w:tc>
          <w:tcPr>
            <w:tcW w:type="dxa" w:w="4320"/>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shd w:fill="F2F2F2"/>
          </w:tcPr>
          <w:p>
            <w:pPr>
              <w:spacing w:before="0" w:after="0" w:line="254" w:lineRule="auto"/>
            </w:pPr>
            <w:r>
              <w:rPr>
                <w:rFonts w:ascii="Arial" w:hAnsi="Arial"/>
                <w:b/>
                <w:color w:val="000000"/>
                <w:sz w:val="21"/>
              </w:rPr>
              <w:t>Cause or expected behavior</w:t>
            </w:r>
          </w:p>
        </w:tc>
        <w:tc>
          <w:tcPr>
            <w:tcW w:type="dxa" w:w="352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shd w:fill="F2F2F2"/>
          </w:tcPr>
          <w:p>
            <w:pPr>
              <w:spacing w:before="0" w:after="0" w:line="254" w:lineRule="auto"/>
            </w:pPr>
            <w:r>
              <w:rPr>
                <w:rFonts w:ascii="Arial" w:hAnsi="Arial"/>
                <w:b/>
                <w:color w:val="000000"/>
                <w:sz w:val="21"/>
              </w:rPr>
              <w:t>Developer action</w:t>
            </w:r>
          </w:p>
        </w:tc>
      </w:tr>
      <w:tr>
        <w:trPr>
          <w:cantSplit/>
        </w:trPr>
        <w:tc>
          <w:tcPr>
            <w:tcW w:type="dxa" w:w="2232"/>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Sections 1 and 2 become blank</w:t>
            </w:r>
          </w:p>
        </w:tc>
        <w:tc>
          <w:tcPr>
            <w:tcW w:type="dxa" w:w="4320"/>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Expected on load, reload, restart, or pageshow. Master and history stay local.</w:t>
            </w:r>
          </w:p>
        </w:tc>
        <w:tc>
          <w:tcPr>
            <w:tcW w:type="dxa" w:w="352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Check resetWorkspace and workspaceEpoch guards.</w:t>
            </w:r>
          </w:p>
        </w:tc>
      </w:tr>
      <w:tr>
        <w:trPr>
          <w:cantSplit/>
        </w:trPr>
        <w:tc>
          <w:tcPr>
            <w:tcW w:type="dxa" w:w="2232"/>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A new user sees someone’s master</w:t>
            </w:r>
          </w:p>
        </w:tc>
        <w:tc>
          <w:tcPr>
            <w:tcW w:type="dxa" w:w="4320"/>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Same browser profile or unintended published seed. A genuinely fresh profile must be empty.</w:t>
            </w:r>
          </w:p>
        </w:tc>
        <w:tc>
          <w:tcPr>
            <w:tcW w:type="dxa" w:w="352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Check local keys, createBlankMaster, and the deployment archive.</w:t>
            </w:r>
          </w:p>
        </w:tc>
      </w:tr>
      <w:tr>
        <w:trPr>
          <w:cantSplit/>
        </w:trPr>
        <w:tc>
          <w:tcPr>
            <w:tcW w:type="dxa" w:w="2232"/>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Saved versions are absent</w:t>
            </w:r>
          </w:p>
        </w:tc>
        <w:tc>
          <w:tcPr>
            <w:tcW w:type="dxa" w:w="4320"/>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Different browser/profile/origin, cleared site data, private session, or storage rejection.</w:t>
            </w:r>
          </w:p>
        </w:tc>
        <w:tc>
          <w:tcPr>
            <w:tcW w:type="dxa" w:w="352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Check the persistent notice and caught storage errors.</w:t>
            </w:r>
          </w:p>
        </w:tc>
      </w:tr>
      <w:tr>
        <w:trPr>
          <w:cantSplit/>
        </w:trPr>
        <w:tc>
          <w:tcPr>
            <w:tcW w:type="dxa" w:w="2232"/>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History returns after deletion</w:t>
            </w:r>
          </w:p>
        </w:tc>
        <w:tc>
          <w:tcPr>
            <w:tcW w:type="dxa" w:w="4320"/>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Failed persistent removal or stale cross-tab state.</w:t>
            </w:r>
          </w:p>
        </w:tc>
        <w:tc>
          <w:tcPr>
            <w:tcW w:type="dxa" w:w="352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Check removeItem fallback, retry status, and storage listener.</w:t>
            </w:r>
          </w:p>
        </w:tc>
      </w:tr>
      <w:tr>
        <w:trPr>
          <w:cantSplit/>
        </w:trPr>
        <w:tc>
          <w:tcPr>
            <w:tcW w:type="dxa" w:w="2232"/>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A download page says to return</w:t>
            </w:r>
          </w:p>
        </w:tc>
        <w:tc>
          <w:tcPr>
            <w:tcW w:type="dxa" w:w="4320"/>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Missing/invalid fragment and no valid session snapshot, or transfer exceeds the cap.</w:t>
            </w:r>
          </w:p>
        </w:tc>
        <w:tc>
          <w:tcPr>
            <w:tcW w:type="dxa" w:w="352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Prepare a fresh transfer; check sessionStorage inheritance, popup permissions, expiry and validation.</w:t>
            </w:r>
          </w:p>
        </w:tc>
      </w:tr>
      <w:tr>
        <w:trPr>
          <w:cantSplit/>
        </w:trPr>
        <w:tc>
          <w:tcPr>
            <w:tcW w:type="dxa" w:w="2232"/>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Copying is denied</w:t>
            </w:r>
          </w:p>
        </w:tc>
        <w:tc>
          <w:tcPr>
            <w:tcW w:type="dxa" w:w="4320"/>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Clipboard API is absent or denied. Automatic write needs an allowed secure context [3].</w:t>
            </w:r>
          </w:p>
        </w:tc>
        <w:tc>
          <w:tcPr>
            <w:tcW w:type="dxa" w:w="3528"/>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Use the focus-managed manual copy dialog; preserve the document text.</w:t>
            </w:r>
          </w:p>
        </w:tc>
      </w:tr>
    </w:tbl>
    <w:p>
      <w:pPr>
        <w:spacing w:after="0"/>
      </w:pPr>
    </w:p>
    <w:p>
      <w:pPr>
        <w:pStyle w:val="Heading2"/>
      </w:pPr>
      <w:r>
        <w:t>Browser data is isolated by context</w:t>
      </w:r>
    </w:p>
    <w:p>
      <w:r>
        <w:t>localStorage belongs to an origin and browser profile. Private browsing has different persistence behavior, and access can throw SecurityError [4]. An embedded app may face additional storage restrictions. Treat storage as optional: the app must remain usable with its persistent warning, without claiming changes were saved when a write failed.</w:t>
      </w:r>
    </w:p>
    <w:p>
      <w:pPr>
        <w:pStyle w:val="Heading2"/>
      </w:pPr>
      <w:r>
        <w:t>Transfer snapshots have a separate lifetime</w:t>
      </w:r>
    </w:p>
    <w:p>
      <w:r>
        <w:t>The standalone download page receives its selected snapshot from an inherited sessionStorage copy, using a one-use random token with a five-minute expiry. The URL contains no applicant content. The page removes the token and retains the snapshot in its own sessionStorage. Another browser session cannot retrieve a copied token. Popups and blocked session storage can prevent handoff; offer direct download instead. Clearing Saved versions resets app history and prepared links but does not erase a separate download tab’s snapshot or files already downloaded. Avoid sharing document transfer links as if they were the ordinary app link.</w:t>
      </w:r>
    </w:p>
    <w:p>
      <w:r>
        <w:t>Acceptance check: save an application, reload and confirm blank Sections 1 and 2, explicitly reopen history, clear it, and confirm zero after reopening. Test missing master recovery from local history, explicit master clearing, a second fresh browser profile, blocked storage, clipboard denial, and deletion in another open app tab.</w:t>
      </w:r>
    </w:p>
    <w:p>
      <w:pPr>
        <w:pStyle w:val="Heading1"/>
        <w:pageBreakBefore/>
      </w:pPr>
      <w:r>
        <w:t>Password protection and private transfers</w:t>
      </w:r>
    </w:p>
    <w:p>
      <w:r>
        <w:t>Privacy and password encrypts local saved data after the user chooses a passphrase. This requires HTTPS, Web Crypto and writable localStorage. A protected workspace starts blank and locked on a new load. Unlock requires the same passphrase; there is no cloud password reset. Check for denied storage, quota exhaustion and interrupted legacy-record deletion before declaring setup complete. Wrong passwords or modified ciphertext must never reveal data.</w:t>
      </w:r>
    </w:p>
    <w:p>
      <w:r>
        <w:t>Lock must cancel stale imports and clear the workspace, editors, previews and prepared links while retaining the encrypted vault. Verify saved-version and master deletion by unlocking again. An unlocked download tab and files saved on the device remain separate copies; close or delete them separately. Different users should use separate browser profiles, or lock the protected workspace before sharing a device.</w:t>
      </w:r>
    </w:p>
    <w:p>
      <w:r>
        <w:t>Private download handoff requires a new tab to inherit an independent copy of the opener’s sessionStorage. The URL contains only a random token. The parent removes its transfer record; the receiver consumes it within five minutes. A copied token in an unrelated session or a replay must fail. Check direct browser and embedded ChatGPT contexts, blocked popups, private browsing and Safari/mobile storage behavior. Direct save remains the fallback. No native-browser certification is claimed.</w:t>
      </w:r>
    </w:p>
    <w:p>
      <w:r>
        <w:t>Both pages declare same-origin script and connection restrictions and no-referrer metadata. Keep vendors local and avoid adding analytics, upload endpoints or external scripts that could receive applicant content. Check browser consoles for blocked vendor behavior before extending the policy. Policy and real-device enforcement must be reviewed after deployment changes.</w:t>
      </w:r>
    </w:p>
    <w:p>
      <w:pPr>
        <w:pStyle w:val="Heading1"/>
        <w:pageBreakBefore/>
      </w:pPr>
      <w:r>
        <w:t>4 Mobile layout focus and text issues</w:t>
      </w:r>
    </w:p>
    <w:p>
      <w:pPr>
        <w:pStyle w:val="Heading2"/>
      </w:pPr>
      <w:r>
        <w:t>The keyboard hides a field or save control</w:t>
      </w:r>
    </w:p>
    <w:p>
      <w:r>
        <w:t>A phone keyboard changes the visible viewport without necessarily changing the layout viewport [5]. browser.js trackViewport listens for visible viewport resize/scroll and supplies --visible-height and --visible-top to browser.css. Dialogs use these variables with viewport fallbacks and scrolling. Check event updates while typing, rotating, and scrolling. At pinch-zoom scale other than one, overrides are removed so the browser manages zoom.</w:t>
      </w:r>
    </w:p>
    <w:p>
      <w:pPr>
        <w:pStyle w:val="Heading2"/>
      </w:pPr>
      <w:r>
        <w:t>Controls overlap a notch or the screen edge</w:t>
      </w:r>
    </w:p>
    <w:p>
      <w:r>
        <w:t>Both pages include viewport-fit=cover. browser.css adds env(safe-area-inset-*) spacing for navigation, workspace, dialogs, footers, and the download page. WebKit describes these insets for edge-to-edge layouts [6]. Test portrait and landscape, including short-height landscape navigation. Keep max()/calc() fallbacks and verify computed styles on the affected device.</w:t>
      </w:r>
    </w:p>
    <w:p>
      <w:pPr>
        <w:pStyle w:val="Heading2"/>
      </w:pPr>
      <w:r>
        <w:t>Text zoom causes clipping or unwanted input zoom</w:t>
      </w:r>
    </w:p>
    <w:p>
      <w:r>
        <w:t>Check stylesheet order and form font size. accessibility.css uses relative text sizing and controls at least 16 CSS pixels by default. Containers use min-width:0, wrap long labels and filenames, and change grid layouts on narrow screens. Do not fix clipping by disabling zoom. Verify 200% and 400% browser zoom or equivalent large-text settings, plus a 320 CSS-pixel viewport. Document previews and keyword tables may scroll; task controls must remain reachable.</w:t>
      </w:r>
    </w:p>
    <w:p>
      <w:pPr>
        <w:pStyle w:val="Heading2"/>
      </w:pPr>
      <w:r>
        <w:t>Dialog focus or announcements behave incorrectly</w:t>
      </w:r>
    </w:p>
    <w:p>
      <w:r>
        <w:t>Inspect accessibility.js and matching HTML IDs. Each dialog needs a named, focusable heading, a Close control, and status inside the modal. Errors need field association and focus; closing restores the opener. Native modal dialogs manage the interaction boundary, but test Tab/Shift+Tab containment, Escape, background interaction, and returned focus with real assistive technology. Tabs need one active item, correct controls/labels, and arrow-key behavior.</w:t>
      </w:r>
    </w:p>
    <w:p>
      <w:pPr>
        <w:pStyle w:val="Heading2"/>
      </w:pPr>
      <w:r>
        <w:t>An older browser cannot start the app</w:t>
      </w:r>
    </w:p>
    <w:p>
      <w:r>
        <w:t>The shipped implementation requires ES modules and native HTML dialogs. JavaScript-disabled users receive a notice. Existing fallbacks address optional APIs, not every old browser. Update the browser or explicitly scope and implement an accessible dialog/module fallback for a new support target. Do not claim all-browser compatibility based only on capability simulations.</w:t>
      </w:r>
    </w:p>
    <w:p>
      <w:r>
        <w:t>Acceptance check: use a real phone keyboard in tailored editors, upload and clear a master, rotate the device, zoom, inspect long text and filenames, open dialogs and use review tabs by keyboard and screen reader. Test VoiceOver on Safari, TalkBack on Android and a desktop screen reader with supported browsers.</w:t>
      </w:r>
    </w:p>
    <w:p>
      <w:pPr>
        <w:pStyle w:val="Heading1"/>
        <w:pageBreakBefore/>
      </w:pPr>
      <w:r>
        <w:t>5 Device verification and issue reporting</w:t>
      </w:r>
    </w:p>
    <w:p>
      <w:r>
        <w:t>Automated evidence for this release is 132 passing tests, including upload, unique filename rejection and reset, clear and real Word/PDF extraction checks. Actual device rendering, native save/share experiences, assistive technology, and uploads into the listed ATS systems remain unverified. Record results before advertising complete compatibility or accessibility conformance.</w:t>
      </w:r>
    </w:p>
    <w:tbl>
      <w:tblPr>
        <w:tblW w:type="auto" w:w="0"/>
        <w:jc w:val="center"/>
        <w:tblLayout w:type="fixed"/>
        <w:tblLook w:firstColumn="1" w:firstRow="1" w:lastColumn="0" w:lastRow="0" w:noHBand="0" w:noVBand="1" w:val="04A0"/>
      </w:tblPr>
      <w:tblGrid>
        <w:gridCol w:w="3096"/>
        <w:gridCol w:w="6984"/>
      </w:tblGrid>
      <w:tr>
        <w:trPr>
          <w:tblHeader/>
          <w:cantSplit/>
        </w:trPr>
        <w:tc>
          <w:tcPr>
            <w:tcW w:type="dxa" w:w="309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shd w:fill="F2F2F2"/>
          </w:tcPr>
          <w:p>
            <w:pPr>
              <w:spacing w:before="0" w:after="0" w:line="254" w:lineRule="auto"/>
            </w:pPr>
            <w:r>
              <w:rPr>
                <w:rFonts w:ascii="Arial" w:hAnsi="Arial"/>
                <w:b/>
                <w:color w:val="000000"/>
                <w:sz w:val="21"/>
              </w:rPr>
              <w:t>Test environment</w:t>
            </w:r>
          </w:p>
        </w:tc>
        <w:tc>
          <w:tcPr>
            <w:tcW w:type="dxa" w:w="698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shd w:fill="F2F2F2"/>
          </w:tcPr>
          <w:p>
            <w:pPr>
              <w:spacing w:before="0" w:after="0" w:line="254" w:lineRule="auto"/>
            </w:pPr>
            <w:r>
              <w:rPr>
                <w:rFonts w:ascii="Arial" w:hAnsi="Arial"/>
                <w:b/>
                <w:color w:val="000000"/>
                <w:sz w:val="21"/>
              </w:rPr>
              <w:t>Priority journeys</w:t>
            </w:r>
          </w:p>
        </w:tc>
      </w:tr>
      <w:tr>
        <w:trPr>
          <w:cantSplit/>
        </w:trPr>
        <w:tc>
          <w:tcPr>
            <w:tcW w:type="dxa" w:w="309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Safari on macOS</w:t>
            </w:r>
          </w:p>
        </w:tc>
        <w:tc>
          <w:tcPr>
            <w:tcW w:type="dxa" w:w="698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Fresh master, complete tailoring/editing, all formats, clipboard fallback, zoom, keyboard and VoiceOver.</w:t>
            </w:r>
          </w:p>
        </w:tc>
      </w:tr>
      <w:tr>
        <w:trPr>
          <w:cantSplit/>
        </w:trPr>
        <w:tc>
          <w:tcPr>
            <w:tcW w:type="dxa" w:w="309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Safari on iPhone and iPad</w:t>
            </w:r>
          </w:p>
        </w:tc>
        <w:tc>
          <w:tcPr>
            <w:tcW w:type="dxa" w:w="698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Keyboard viewport, rotation, safe areas, large text, downloads/previews, Share file if offered, VoiceOver.</w:t>
            </w:r>
          </w:p>
        </w:tc>
      </w:tr>
      <w:tr>
        <w:trPr>
          <w:cantSplit/>
        </w:trPr>
        <w:tc>
          <w:tcPr>
            <w:tcW w:type="dxa" w:w="309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Chrome on Android</w:t>
            </w:r>
          </w:p>
        </w:tc>
        <w:tc>
          <w:tcPr>
            <w:tcW w:type="dxa" w:w="698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Same document flow, Downloads, Share file if offered, keyboard/orientation, large text, TalkBack.</w:t>
            </w:r>
          </w:p>
        </w:tc>
      </w:tr>
      <w:tr>
        <w:trPr>
          <w:cantSplit/>
        </w:trPr>
        <w:tc>
          <w:tcPr>
            <w:tcW w:type="dxa" w:w="309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Chrome Edge Firefox desktop</w:t>
            </w:r>
          </w:p>
        </w:tc>
        <w:tc>
          <w:tcPr>
            <w:tcW w:type="dxa" w:w="698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All document formats, picker/download branches where available, keyboard, storage failures, screen-reader checks.</w:t>
            </w:r>
          </w:p>
        </w:tc>
      </w:tr>
      <w:tr>
        <w:trPr>
          <w:cantSplit/>
        </w:trPr>
        <w:tc>
          <w:tcPr>
            <w:tcW w:type="dxa" w:w="3096"/>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Embedded and restricted contexts</w:t>
            </w:r>
          </w:p>
        </w:tc>
        <w:tc>
          <w:tcPr>
            <w:tcW w:type="dxa" w:w="6984"/>
            <w:vAlign w:val="center"/>
            <w:tcMar>
              <w:top w:w="85" w:type="dxa"/>
              <w:left w:w="110" w:type="dxa"/>
              <w:bottom w:w="85" w:type="dxa"/>
              <w:right w:w="110" w:type="dxa"/>
            </w:tcMar>
            <w:tcBorders>
              <w:top w:val="single" w:sz="4" w:color="D0D0D0"/>
              <w:left w:val="single" w:sz="4" w:color="D0D0D0"/>
              <w:bottom w:val="single" w:sz="4" w:color="D0D0D0"/>
              <w:right w:val="single" w:sz="4" w:color="D0D0D0"/>
            </w:tcBorders>
          </w:tcPr>
          <w:p>
            <w:pPr>
              <w:spacing w:before="0" w:after="0" w:line="254" w:lineRule="auto"/>
            </w:pPr>
            <w:r>
              <w:rPr>
                <w:rFonts w:ascii="Arial" w:hAnsi="Arial"/>
                <w:b w:val="0"/>
                <w:color w:val="000000"/>
                <w:sz w:val="21"/>
              </w:rPr>
              <w:t>Exact-document handoff, denied storage/copy/share, reset during generation/export, cancellation and retries.</w:t>
            </w:r>
          </w:p>
        </w:tc>
      </w:tr>
    </w:tbl>
    <w:p>
      <w:pPr>
        <w:spacing w:after="0"/>
      </w:pPr>
    </w:p>
    <w:p>
      <w:pPr>
        <w:pStyle w:val="Heading2"/>
      </w:pPr>
      <w:r>
        <w:t>Release acceptance sequence</w:t>
      </w:r>
    </w:p>
    <w:p>
      <w:pPr>
        <w:ind w:left="317" w:hanging="317"/>
      </w:pPr>
      <w:r>
        <w:rPr>
          <w:b/>
        </w:rPr>
        <w:t xml:space="preserve">1. </w:t>
      </w:r>
      <w:r>
        <w:t>Start with an empty profile; verify a blank Master resume and zero versions. Add your own test master, including multiple roles, skills, and education.</w:t>
      </w:r>
    </w:p>
    <w:p>
      <w:pPr>
        <w:ind w:left="317" w:hanging="317"/>
      </w:pPr>
      <w:r>
        <w:rPr>
          <w:b/>
        </w:rPr>
        <w:t xml:space="preserve">2. </w:t>
      </w:r>
      <w:r>
        <w:t>Tailor a supported posting and a posting with an unsupported requirement. Verify separate scores and truthful gaps, and inspect all six review tabs.</w:t>
      </w:r>
    </w:p>
    <w:p>
      <w:pPr>
        <w:ind w:left="317" w:hanging="317"/>
      </w:pPr>
      <w:r>
        <w:rPr>
          <w:b/>
        </w:rPr>
        <w:t xml:space="preserve">3. </w:t>
      </w:r>
      <w:r>
        <w:t>Edit both documents, export all formats, inspect the saved files, and test copying, handoff, sharing, cancellation, and retry.</w:t>
      </w:r>
    </w:p>
    <w:p>
      <w:pPr>
        <w:ind w:left="317" w:hanging="317"/>
      </w:pPr>
      <w:r>
        <w:rPr>
          <w:b/>
        </w:rPr>
        <w:t xml:space="preserve">4. </w:t>
      </w:r>
      <w:r>
        <w:t>Reload, reopen a saved application, clear history, clear the master, and verify browser-local isolation with another profile.</w:t>
      </w:r>
    </w:p>
    <w:p>
      <w:pPr>
        <w:ind w:left="317" w:hanging="317"/>
      </w:pPr>
      <w:r>
        <w:rPr>
          <w:b/>
        </w:rPr>
        <w:t xml:space="preserve">5. </w:t>
      </w:r>
      <w:r>
        <w:t>Repeat at narrow widths, with rotation, keyboard, large text, reduced motion, forced colors where available, and assistive technology.</w:t>
      </w:r>
    </w:p>
    <w:p>
      <w:r>
        <w:t>A useful issue report includes release version, device, OS and browser versions, embedded/direct context, storage mode, reproduction steps, expected and actual behavior, exact error, format/file size, and a sanitized example. Add severity, the affected code path, workaround, and the verified fix. Remove personal information from logs, screenshots, links, and fixtures shared with others.</w:t>
      </w:r>
    </w:p>
    <w:p>
      <w:pPr>
        <w:pStyle w:val="Heading2"/>
      </w:pPr>
      <w:r>
        <w:t>Primary references reviewed October 14 2026</w:t>
      </w:r>
    </w:p>
    <w:p>
      <w:pPr>
        <w:spacing w:after="60"/>
      </w:pPr>
      <w:hyperlink r:id="rId11">
        <w:r>
          <w:rPr>
            <w:color w:val="000000"/>
            <w:u w:val="single"/>
          </w:rPr>
          <w:t>[1] MDN showSaveFilePicker</w:t>
        </w:r>
      </w:hyperlink>
    </w:p>
    <w:p>
      <w:pPr>
        <w:spacing w:after="60"/>
      </w:pPr>
      <w:hyperlink r:id="rId12">
        <w:r>
          <w:rPr>
            <w:color w:val="000000"/>
            <w:u w:val="single"/>
          </w:rPr>
          <w:t>[2] MDN Navigator share</w:t>
        </w:r>
      </w:hyperlink>
    </w:p>
    <w:p>
      <w:pPr>
        <w:spacing w:after="60"/>
      </w:pPr>
      <w:hyperlink r:id="rId13">
        <w:r>
          <w:rPr>
            <w:color w:val="000000"/>
            <w:u w:val="single"/>
          </w:rPr>
          <w:t>[3] MDN Clipboard writeText</w:t>
        </w:r>
      </w:hyperlink>
    </w:p>
    <w:p>
      <w:pPr>
        <w:spacing w:after="60"/>
      </w:pPr>
      <w:hyperlink r:id="rId14">
        <w:r>
          <w:rPr>
            <w:color w:val="000000"/>
            <w:u w:val="single"/>
          </w:rPr>
          <w:t>[4] MDN localStorage</w:t>
        </w:r>
      </w:hyperlink>
    </w:p>
    <w:p>
      <w:pPr>
        <w:spacing w:after="60"/>
      </w:pPr>
      <w:hyperlink r:id="rId15">
        <w:r>
          <w:rPr>
            <w:color w:val="000000"/>
            <w:u w:val="single"/>
          </w:rPr>
          <w:t>[5] MDN VisualViewport</w:t>
        </w:r>
      </w:hyperlink>
    </w:p>
    <w:p>
      <w:pPr>
        <w:spacing w:after="60"/>
      </w:pPr>
      <w:hyperlink r:id="rId16">
        <w:r>
          <w:rPr>
            <w:color w:val="000000"/>
            <w:u w:val="single"/>
          </w:rPr>
          <w:t>[6] WebKit safe areas for iPhone</w:t>
        </w:r>
      </w:hyperlink>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 2026 Marabou Lane LLC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Le Resume Studio  |  Web and Mobile Browser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28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line="250" w:lineRule="auto" w:after="160"/>
    </w:pPr>
    <w:rPr>
      <w:rFonts w:ascii="Courier New" w:hAnsi="Courier New"/>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mozilla.org/en-US/docs/Web/API/Window/showSaveFilePicker" TargetMode="External"/><Relationship Id="rId12" Type="http://schemas.openxmlformats.org/officeDocument/2006/relationships/hyperlink" Target="https://developer.mozilla.org/en-US/docs/Web/API/Navigator/share" TargetMode="External"/><Relationship Id="rId13" Type="http://schemas.openxmlformats.org/officeDocument/2006/relationships/hyperlink" Target="https://developer.mozilla.org/en-US/docs/Web/API/Clipboard/writeText" TargetMode="External"/><Relationship Id="rId14" Type="http://schemas.openxmlformats.org/officeDocument/2006/relationships/hyperlink" Target="https://developer.mozilla.org/en-US/docs/Web/API/Window/localStorage" TargetMode="External"/><Relationship Id="rId15" Type="http://schemas.openxmlformats.org/officeDocument/2006/relationships/hyperlink" Target="https://developer.mozilla.org/en-US/docs/Web/API/VisualViewport" TargetMode="External"/><Relationship Id="rId16" Type="http://schemas.openxmlformats.org/officeDocument/2006/relationships/hyperlink" Target="https://webkit.org/blog/7929/designing-websites-for-iphon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Resume Studio Web and Mobile Browser Guide</dc:title>
  <dc:subject>Use this guide to investigate browser and device differences, reproduce failures, and verify the app before making compatibility claims. The app includes capability fallbacks and responsive layouts. Real Safari, Chrome, mobile, screen-reader, and live ATS</dc:subject>
  <dc:creator>Marabou Lane LLC</dc:creator>
  <cp:keywords/>
  <dc:description>generated by python-docx</dc:description>
  <cp:lastModifiedBy/>
  <cp:revision>1</cp:revision>
  <dcterms:created xsi:type="dcterms:W3CDTF">2013-12-23T23:15:00Z</dcterms:created>
  <dcterms:modified xsi:type="dcterms:W3CDTF">2013-12-23T23:15:00Z</dcterms:modified>
  <cp:category/>
</cp:coreProperties>
</file>