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12 2026  |  Published app version 17</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the source file needs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Full name is required. Email, phone, and LinkedIn URL are optional in the file; include accurate contact details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Write a professional summary. Enter at least one competency, with one competency per line.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For each role, enter employer, original job title, dates, and at least one accomplishment. Include readable accomplishment bullets.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Add skill groups if needed and separate their skills with commas. Add education entries if needed; each added entry needs a school, qualification, and date or status.</w:t>
            </w:r>
          </w:p>
        </w:tc>
      </w:tr>
    </w:tbl>
    <w:p>
      <w:pPr>
        <w:spacing w:after="0"/>
      </w:pPr>
    </w:p>
    <w:p>
      <w:r>
        <w:t>A complete readable upload saves automatically. Expand View uploaded resume text to inspect the read-only extraction. Final accomplishments stay with their role; job headings retain the uploaded role, company and year order. To correct the source, edit your original file and upload it again. You may select the same file repeatedly without changing its filename or applicant name. Failed uploads preserve the prior master.</w:t>
      </w:r>
    </w:p>
    <w:p>
      <w:r>
        <w:t>Choose Clear Master Resume to remove the saved source, extracted text, selected file and current workspace after confirmation. It cancels a pending import and keeps the source blank after reopening. Saved applications are removed separately with Clear saved versions. Use only substantiated experience. Word and PDF uploads retain detected typography and supported structure; complex layouts and exact pagination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complete readable source file with name, summary, skills and job facts.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