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11 2026  |  Published app version 13</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is optional for a local static server or external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seven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master editor,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factory. Published data contains no personal resume seed.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URL-fragment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include a device-width viewport with zoom enabled, load the same three stylesheets in order, and use a module script. styles.css establishes the layout and visual system; accessibility.css overrides sizing, contrast, focus, and reflow; browser.css adds safe-area and keyboard viewport behavior. Preserve this order because later declarations intentionally override earlier rules.</w:t>
      </w:r>
    </w:p>
    <w:p>
      <w:pPr>
        <w:pStyle w:val="Heading1"/>
        <w:pageBreakBefore/>
      </w:pPr>
      <w:r>
        <w:t>3 Data contracts and stored records</w:t>
      </w:r>
    </w:p>
    <w:p>
      <w:r>
        <w:t>Master and resume objects are plain serializable data. A new factory returns empty strings and arrays, with source set to Blank master resume. The editor starts with one empty role and saves only after validating the required facts.</w:t>
      </w:r>
    </w:p>
    <w:p>
      <w:pPr>
        <w:pStyle w:val="Code"/>
      </w:pPr>
      <w:r>
        <w:t>const master = {</w:t>
        <w:br/>
        <w:t xml:space="preserve">  name: "Avery Taylor", phone: "",</w:t>
        <w:br/>
        <w:t xml:space="preserve">  email: "avery@example.com", linkedin: "",</w:t>
        <w:br/>
        <w:t xml:space="preserve">  source: "Edited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The editor requires name, summary, a competency, and complete employer/title/dates/bullets for every role. Added education entries require all three fields. Contact details and skill groups are optional; empty skill groups are omitted. UI limits are 30 roles and 20 skill groups or education entries. These UI limits are not a substitute for validating stored or transferred data.</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 master lacking a name or role.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-&gt; URL string</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Cross-tab transfer uses UTF-8 JSON encoded as base64url in #document=. The raw transfer is capped at 600,000 bytes. The receiving page removes the fragment before decoding and stores the validated snapshot in sessionStorage for refresh. This is encoding, not encryption; a copied transfer URL can disclose its document.</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only the requested vendored library. Tests can inject docx, pdf, and fonts. TXT uses no export library. loadExportLibrary deduplicates concurrent script loads and permits retry after failure. PDFs embed Nimbus Sans; non-ASCII normalization can alter characters, so the file review warns users to choose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Dynamic master editing</w:t>
      </w:r>
    </w:p>
    <w:p>
      <w:r>
        <w:t>buildEditor renders the master draft, using labels and per-role context IDs. The master-editor click handler delegates Add/Remove actions via data-master-action. Before modifying an array, collectEditor captures unsaved form values without validation, then renders the draft again and focuses the new field or Add control. Save performs validation; removing the only role is disabled. Keep DOM IDs and data indexes aligned after any splice.</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Load a shape-valid saved master. If none exists, recover only a valid snapshot from this browser’s history and persist it independently. An explicit blank marker prevents recovery after intentional master clearing. Otherwise use createBlankMaster. A new user therefore receives no applicant data. Master readiness controls whether tailoring is enabled.</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removes the history key, with an empty-array fallback if removal fails. It clears memory, the current application, editors, and prepared export links, cancels in-flight work, and announces the outcome. A total storage failure exposes a retry instead of claiming confirmed deletion. A storage event clears stale copies in other app tabs. Clear master resume stores the explicit blank and resets the workspace but keeps history.</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is browser-local and is not encrypted at rest by the app. Site access is controlled by the hosting audience; there is no per-applicant login. Users of one browser profile can access that profile’s stored data. A normal app link transfers neither master nor history. The standalone export link intentionally carries its selected document in a fragment, not the HTTP request. Treat copied links and shared devices accordingly.</w:t>
      </w:r>
    </w:p>
    <w:p>
      <w:r>
        <w:t>Escape user and stored strings before inserting HTML. Validate decoded transfers and stored shapes, avoid executable interpolation, and do not publish test fixtures or personal resume data. The browser loads only vendored export assets. No service worker or native offline package is currently shipped, so offline availability is not promised.</w:t>
      </w:r>
    </w:p>
    <w:p>
      <w:pPr>
        <w:pStyle w:val="Heading1"/>
        <w:pageBreakBefore/>
      </w:pPr>
      <w:r>
        <w:t>8 Verification deployment and maintenance</w:t>
      </w:r>
    </w:p>
    <w:p>
      <w:pPr>
        <w:pStyle w:val="Heading2"/>
      </w:pPr>
      <w:r>
        <w:t>Checks and release procedure</w:t>
      </w:r>
    </w:p>
    <w:p>
      <w:r>
        <w:t>The blank-master implementation passed 100 node:test checks on October 11 2026. The final footer wording change also passed all 12 accessibility checks.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HTML dialog</w:t>
        </w:r>
      </w:hyperlink>
    </w:p>
    <w:p>
      <w:pPr>
        <w:spacing w:after="60"/>
      </w:pPr>
      <w:hyperlink r:id="rId15">
        <w:r>
          <w:rPr>
            <w:color w:val="000000"/>
            <w:u w:val="single"/>
          </w:rPr>
          <w:t>[5] MDN VisualViewport</w:t>
        </w:r>
      </w:hyperlink>
    </w:p>
    <w:p>
      <w:pPr>
        <w:spacing w:after="60"/>
      </w:pPr>
      <w:hyperlink r:id="rId16">
        <w:r>
          <w:rPr>
            <w:color w:val="000000"/>
            <w:u w:val="single"/>
          </w:rPr>
          <w:t>[6] W3C tabs pattern</w:t>
        </w:r>
      </w:hyperlink>
    </w:p>
    <w:p>
      <w:pPr>
        <w:spacing w:after="60"/>
      </w:pPr>
      <w:hyperlink r:id="rId17">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HTML/Reference/Elements/dialog"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ww.w3.org/WAI/ARIA/apg/patterns/tabs/" TargetMode="External"/><Relationship Id="rId17"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