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后端回归测试记录与证据汇总</w:t>
      </w:r>
    </w:p>
    <w:p>
      <w:r>
        <w:t>项目：基于检索增强生成的适老化健康管理与数字生活辅助智能体。整理日期：2026年10月28日。覆盖目前保留的2026年9月至10月28日开发与回归记录，供比赛测试附件编写、复核和归档使用。</w:t>
      </w:r>
    </w:p>
    <w:p>
      <w:r>
        <w:t>后端已对体征草稿、权限隔离、RAG来源、报告OCR、用药提醒、紧急分流和录音转写进行多轮回归，并分别保留真实依赖验证。测试结论以各轮保存的日志和响应为准，不将不同版本的重复执行次数累计为独立用例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7"/>
        <w:gridCol w:w="6024"/>
        <w:gridCol w:w="1807"/>
      </w:tblGrid>
      <w:tr>
        <w:trPr>
          <w:tblHeader/>
          <w:cantSplit/>
        </w:trPr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6024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可直接核验的代表性结果</w:t>
            </w:r>
          </w:p>
        </w:tc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综合业务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云端64项、后续72项通过；后续综合124项通过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E02 E05 E34 E42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RAG及双视图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真实bge检索219次；来源和底部协议专项通过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E09 E12 E15 E16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报告OCR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P1八组219项执行通过；五张照片重新推理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E26 E27 E28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用药提醒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最终专项本地44项、云端44项通过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E30 E32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紧急提醒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本地36项、云端36项；真实语义8句及最终分流5例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E33 E35 E36 E37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602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本地39项、云端39项；真实ASR本地5次及云端1次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E38 E39 E40 E41</w:t>
            </w:r>
          </w:p>
        </w:tc>
      </w:tr>
    </w:tbl>
    <w:p>
      <w:pPr>
        <w:spacing w:after="0"/>
      </w:pPr>
    </w:p>
    <w:p>
      <w:pPr>
        <w:pStyle w:val="Heading2"/>
      </w:pPr>
      <w:r>
        <w:t>测试类型与结论边界</w:t>
      </w:r>
    </w:p>
    <w:p>
      <w:r>
        <w:t>自动化隔离测试：运行真实Python业务、接口、SQLite和断言，涉及模型或推送的部分明确使用替身或故障注入。真实依赖测试：实际运行PaddleOCR、bge或请求现有Qwen与ASR服务。真实HTTP响应也可能来自确定性规则，不自动等于真实模型生成。</w:t>
      </w:r>
    </w:p>
    <w:p>
      <w:r>
        <w:t>本地后端整理基线为4c063e8。历史记录对应多个开发版本；10月28日前端恢复提交acbccb7没有修改后端。整理时补跑当前紧急文案6项通过（E45），未重新执行全部旧测试。项目尚无独立临床准确率、所有手机兼容性或真实远程推送送达率的证明。</w:t>
      </w:r>
    </w:p>
    <w:p>
      <w:r>
        <w:t>材料包包含逐轮记录表、逐用例日志索引、原件SHA256及带编号摘录。原始患者图片、录音、账号、密钥和数据库不作为本附件内容。</w:t>
      </w:r>
    </w:p>
    <w:p>
      <w:r>
        <w:br w:type="page"/>
      </w:r>
    </w:p>
    <w:p>
      <w:pPr>
        <w:pStyle w:val="Heading1"/>
      </w:pPr>
      <w:r>
        <w:t>开发早期记录与执行时间说明</w:t>
      </w:r>
    </w:p>
    <w:p>
      <w:r>
        <w:t>以下早期结果来自原有项目文档，属于历史记录。源文档所写的环境和模型按当时版本保留，不替换成当前云端配置。计划日文件名仅用于任务归属，不自动作为测试执行日期。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7"/>
        <w:gridCol w:w="3012"/>
        <w:gridCol w:w="4819"/>
      </w:tblGrid>
      <w:tr>
        <w:trPr>
          <w:tblHeader/>
          <w:cantSplit/>
        </w:trPr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012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保留的记录</w:t>
            </w:r>
          </w:p>
        </w:tc>
        <w:tc>
          <w:tcPr>
            <w:tcW w:type="dxa" w:w="481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可用于材料的说明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9月25日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6问路由自测，均标注模块OK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微信语音却命中飞行模式、调字体却命中亮度，说明模块OK不等于答案正确；仅作为旧版缺陷基线。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10月6日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verify_all 20/20；verify_day4 7/8；免责声明14通过并注明3跳过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属于C原有自测文档；模型记为本地Ollama qwen2:7b。天气断言与真实key分支不一致，不能改写成8/8。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10月6日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5个轻量接口，每个50请求、并发10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文档记载P95为99至159ms；无配套原始压测日志，不推算模型问答QPS。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10月13日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隔离回归17项，真实PDF及合成图片完整流程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E01记录OCR与本地Ollama分别实测；替身回归和真实链路明确分开。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计划编号10月20日至28日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口述草稿、多轮、RAG、年龄权限、预警和三段式测试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保留在每日A文档中；涉及19、12、33等分组结果，后续E02等原始日志优先。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计划编号10月29日和30日</w:t>
            </w:r>
          </w:p>
        </w:tc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文档写10套件188项全绿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当前日期为10月28日；没有找到对应独立运行日志。只作早期二级记录，不写成未来已执行或当前总用例数。</w:t>
            </w:r>
          </w:p>
        </w:tc>
      </w:tr>
    </w:tbl>
    <w:p>
      <w:pPr>
        <w:spacing w:after="0"/>
      </w:pPr>
    </w:p>
    <w:p>
      <w:pPr>
        <w:pStyle w:val="Heading2"/>
      </w:pPr>
      <w:r>
        <w:t>早期188项应如何引用</w:t>
      </w:r>
    </w:p>
    <w:p>
      <w:r>
        <w:t>可写“早期开发自测文档曾记录10套件188项通过；当前附件另列有原始日志的后续复测”。不建议以188项作为最终质量主指标，也不能把后续219、124、39等重复回归简单相加。</w:t>
      </w:r>
    </w:p>
    <w:p>
      <w:pPr>
        <w:pStyle w:val="Heading2"/>
      </w:pPr>
      <w:r>
        <w:t>早期原件位置</w:t>
      </w:r>
    </w:p>
    <w:p>
      <w:r>
        <w:t>silver_agent_backend/docs/self_test_results.md；silver_agent_backend/docs/后端修复验证_20261013.md；银龄优化计划/各日成员A文档。其中部分旧文档提及已删除的拍照体征接口、旧知识库篇数或旧模型，仅说明旧版本。</w:t>
      </w:r>
    </w:p>
    <w:p>
      <w:r>
        <w:br w:type="page"/>
      </w:r>
    </w:p>
    <w:p>
      <w:pPr>
        <w:pStyle w:val="Heading1"/>
      </w:pPr>
      <w:r>
        <w:t>综合业务体征与权限回归</w:t>
      </w:r>
    </w:p>
    <w:p>
      <w:r>
        <w:t>10月22日云端综合回归64项通过，10月23日速度改造后72项通过；随后紧急提醒和语音改造后的综合回归各124项通过。下表按有日志的方法与测试模块归纳覆盖点，不把同一方法内的多个输入重复计数。证据：E02、E05、E34、E42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7530"/>
      </w:tblGrid>
      <w:tr>
        <w:trPr>
          <w:tblHeader/>
          <w:cantSplit/>
        </w:trPr>
        <w:tc>
          <w:tcPr>
            <w:tcW w:type="dxa" w:w="2108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覆盖点</w:t>
            </w:r>
          </w:p>
        </w:tc>
        <w:tc>
          <w:tcPr>
            <w:tcW w:type="dxa" w:w="7530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已验证的行为或故障场景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登录与授权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密码登录返回用户标识；本人、绑定家属和未绑定家属区别处理；不允许他人删除本人记录。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口述草稿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中文口述数值、下午与分钟信息不误当体征；时间单独追问；raw_text保留；更换体征类型后清理不适用字段。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确认与取消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草稿未经确认不写体征；空确认拒绝；重复确认返回相同记录；并发确认只产生一条；取消与确认竞争正确收敛。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提醒持久化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体征与通知事务回滚；推送失败仍保留体征并可重试；两个worker只领取一次；重启后可回收过期claim。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年龄分享策略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60岁及以上按项目规则默认分享；较年轻且关闭分享、缺少出生年月的家属读取和通知受限；老人自身提醒仍可见。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分享时点变化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生成摘要后再次检查共享权限；通知入队后、重试前或解绑后重新校验；读取消息时再校验。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报告与文件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上传、历史、同步保留指标；图片或录音资源受权限约束；非法Base64和无效文件与服务故障区分。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导出与日期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真实PDF以%PDF-头校验；空数据及缺依赖正确报错；趋势按上海日历日归组；旧表结构迁移保留数据。</w:t>
            </w:r>
          </w:p>
        </w:tc>
      </w:tr>
    </w:tbl>
    <w:p>
      <w:pPr>
        <w:spacing w:after="0"/>
      </w:pPr>
    </w:p>
    <w:p>
      <w:pPr>
        <w:pStyle w:val="Heading2"/>
      </w:pPr>
      <w:r>
        <w:t>具体可追溯方法示例</w:t>
      </w:r>
    </w:p>
    <w:p>
      <w:r>
        <w:t>test_time_only_followup_and_raw_text；test_two_concurrent_confirms_one_record；test_cancel_and_confirm_race；test_retry_checks_current_sharing_and_binding；test_message_read_rechecks_privacy；test_old_schema_migration_keeps_existing_records；test_actual_pdf_export。完整日志行号见用例明细CSV。</w:t>
      </w:r>
    </w:p>
    <w:p>
      <w:pPr>
        <w:pStyle w:val="Heading2"/>
      </w:pPr>
      <w:r>
        <w:t>验证范围</w:t>
      </w:r>
    </w:p>
    <w:p>
      <w:r>
        <w:t>上述业务回归使用隔离身份及数据库，部分外部服务为替身。真实PDF、实际SQLite并发和真实接口行为有独立验证价值，但不能代替B/C完成目标手机三端操作验收。</w:t>
      </w:r>
    </w:p>
    <w:p>
      <w:r>
        <w:br w:type="page"/>
      </w:r>
    </w:p>
    <w:p>
      <w:pPr>
        <w:pStyle w:val="Heading1"/>
      </w:pPr>
      <w:r>
        <w:t>接口性能与安全边界回归</w:t>
      </w:r>
    </w:p>
    <w:p>
      <w:r>
        <w:t>性能测试保留改造前后分阶段计时，区分用户首次收到响应、OCR指标就绪和最终解释完成。下表来自云端实际记录，不是本次重测，也不是压测分位数。证据：E05、E06、E07。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7"/>
        <w:gridCol w:w="3614"/>
        <w:gridCol w:w="4217"/>
      </w:tblGrid>
      <w:tr>
        <w:trPr>
          <w:tblHeader/>
          <w:cantSplit/>
        </w:trPr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记录阶段</w:t>
            </w:r>
          </w:p>
        </w:tc>
        <w:tc>
          <w:tcPr>
            <w:tcW w:type="dxa" w:w="3614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21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实际采样结果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改造前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一次聊天：回答、格式化、总计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19.060秒、21.719秒、40.779秒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改造前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一次报告：OCR、LLM、总计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14.836秒、43.022秒、57.859秒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改造后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高血压饮食问答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21.866秒；model_calls=1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改造后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胸痛相关问题问答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28.359秒；model_calls=1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改造后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微信发红包问答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13.821秒；model_calls=1</w:t>
            </w:r>
          </w:p>
        </w:tc>
      </w:tr>
      <w:tr>
        <w:trPr>
          <w:cantSplit/>
        </w:trPr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异步报告</w:t>
            </w:r>
          </w:p>
        </w:tc>
        <w:tc>
          <w:tcPr>
            <w:tcW w:type="dxa" w:w="3614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请求受理、指标就绪、解释完成</w:t>
            </w:r>
          </w:p>
        </w:tc>
        <w:tc>
          <w:tcPr>
            <w:tcW w:type="dxa" w:w="421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0.037秒、9.764秒、33.378秒</w:t>
            </w:r>
          </w:p>
        </w:tc>
      </w:tr>
    </w:tbl>
    <w:p>
      <w:pPr>
        <w:spacing w:after="0"/>
      </w:pPr>
    </w:p>
    <w:p>
      <w:r>
        <w:t>记录支持减少重复模型调用、异步先受理再返回指标的效果验证；样本较少、问题与服务状态不完全受控，不能据此给出稳定加速百分比、长期P95或高并发生成吞吐量。更晚OCR照片耗时明显受版面、裁剪和严格核验影响，应分别记录。</w:t>
      </w:r>
    </w:p>
    <w:p>
      <w:pPr>
        <w:pStyle w:val="Heading2"/>
      </w:pPr>
      <w:r>
        <w:t>安全边界与故障回归</w:t>
      </w:r>
    </w:p>
    <w:p>
      <w:r>
        <w:t>模型失败不伪装为成功生成；报告单位、参考条件和证据不足时保留未能核对；未实际命中资料不伪造来源。紧急路径保留120求助动作与个人用药限制，相关专项含test_emergency_medication_boundary_is_preserved。真实语义筛查的non_urgent不等于健康保证。证据：E21、E29、E33。</w:t>
      </w:r>
    </w:p>
    <w:p>
      <w:r>
        <w:t>年龄或授权未知时阻断向家属共享敏感内容；通知发送前重查绑定与分享；ASR只外发规范音频且无额外健康字段，错误响应不泄露密钥。测试使用故障注入覆盖模型连接失败、限流、超时、无效JSON、传输错误和事务回滚。证据：E30、E33、E38。</w:t>
      </w:r>
    </w:p>
    <w:p>
      <w:r>
        <w:t>C编写的红队样例属于测试输入；有样例文件不能直接计为全部已执行。综合回归有最终124项OK，但部分原始专项脚本没有随本次代码保留；本附件只将有原始执行日志、响应或明确历史文档支持的结果写入证据索引，不凭用例名称推算真实模型红队通过率。</w:t>
      </w:r>
    </w:p>
    <w:p>
      <w:r>
        <w:br w:type="page"/>
      </w:r>
    </w:p>
    <w:p>
      <w:pPr>
        <w:pStyle w:val="Heading1"/>
      </w:pPr>
      <w:r>
        <w:t>RAG相关性双视图与来源追溯</w:t>
      </w:r>
    </w:p>
    <w:p>
      <w:r>
        <w:t>RAG测试经历旧关键词误召回、混合检索接入、来源相关性修正、知识库准入和统一来源协议。最终知识库阶段共有203篇，116篇记录官方来源网址；203/203是同库问题自召回，不是203篇事实逐句认证或问答正确率。证据：E08至E18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7228"/>
      </w:tblGrid>
      <w:tr>
        <w:trPr>
          <w:tblHeader/>
          <w:cantSplit/>
        </w:trPr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问题或测试点</w:t>
            </w:r>
          </w:p>
        </w:tc>
        <w:tc>
          <w:tcPr>
            <w:tcW w:type="dxa" w:w="7228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验证与修复后的预期行为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医保被误认为用药决策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“高血压，在医院开的药怎么报销”按医保办事意图处理，不用通用药物安全拒答替代报销流程。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相近但不相关来源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区分测血压、校准保养、记录技巧；按任务意图过滤，不以全部强制附卡片换取卡片出现率。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审核与适用范围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pending、rejected、draft、伪approved及过期条目不进入可引用集合；解析来源范围。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来源字段一致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普通聊天、双视图、症状自查使用一致sources与证据状态；症状记录保存来源快照，历史不事后伪配。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没有外部网址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只要存在实际参考片段，也允许知识库依据卡片；没有命中时不伪造来源。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底部展示协议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按同一文档合并片段，默认折叠；保留场景安全提醒；不把检索类型、索引哈希等复制到展示对象。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老人和家属版本</w:t>
            </w:r>
          </w:p>
        </w:tc>
        <w:tc>
          <w:tcPr>
            <w:tcW w:type="dxa" w:w="722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健康回答保留结构和紧急提醒；简略与详细内容按协议区分；不再把旧steps重复拼接在结构化正文后。</w:t>
            </w:r>
          </w:p>
        </w:tc>
      </w:tr>
    </w:tbl>
    <w:p>
      <w:pPr>
        <w:spacing w:after="0"/>
      </w:pPr>
    </w:p>
    <w:p>
      <w:pPr>
        <w:pStyle w:val="Heading2"/>
      </w:pPr>
      <w:r>
        <w:t>实际执行记录</w:t>
      </w:r>
    </w:p>
    <w:p>
      <w:r>
        <w:t>最终知识库真实bge检索219次，含203条同库问题自召回和额外检索；知识库规则回归62项。聊天意图及双视图为62项既有回归加8项展示测试。来源卡片阶段98项业务执行由82项回归、8项来源和8项展示组成；底部协议再加7项，共105项执行。这些分组与历轮会重叠。</w:t>
      </w:r>
    </w:p>
    <w:p>
      <w:r>
        <w:t>聊天真实接口本地11例中8例调用Qwen，云端6例中4例调用Qwen；来源修复另有本地8例与云端6例，共10次真实Qwen响应。底部协议又对皮肤瘙痒和微信发语音完成2次真实云端问答。真实检索、规则响应和生成回答分别记录。</w:t>
      </w:r>
    </w:p>
    <w:p>
      <w:r>
        <w:t>没有命中资料的问题允许不显示来源。卡片只能证明参考片段进入该次回答链路，不能证明回答每句话均被引用支持。APK最终字号、切换、历史恢复和播报仍需实机记录。</w:t>
      </w:r>
    </w:p>
    <w:p>
      <w:r>
        <w:br w:type="page"/>
      </w:r>
    </w:p>
    <w:p>
      <w:pPr>
        <w:pStyle w:val="Heading1"/>
      </w:pPr>
      <w:r>
        <w:t>体检报告OCR的分层回归</w:t>
      </w:r>
    </w:p>
    <w:p>
      <w:r>
        <w:t>报告优化基于首批8张和后续5张照片开展定位与反复复测。这13张均参与开发，不能作为独立盲测集。照片OCR在本地实际运行PaddleOCR，未将患者原图发送给Qwen；模型解读单独使用获授权的人工合成指标。证据：E19至E29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7530"/>
      </w:tblGrid>
      <w:tr>
        <w:trPr>
          <w:tblHeader/>
          <w:cantSplit/>
        </w:trPr>
        <w:tc>
          <w:tcPr>
            <w:tcW w:type="dxa" w:w="2108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回归层</w:t>
            </w:r>
          </w:p>
        </w:tc>
        <w:tc>
          <w:tcPr>
            <w:tcW w:type="dxa" w:w="7530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重点覆盖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版面与结果列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单栏、双栏、多表头，避免检测方法、序号或相邻行被当作项目与结果；保留单元格坐标证据。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字段与缩写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百分比和计数的%/#不丢失；HR等标识不冒充指标；合并文本中中文名和代号可复核。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数值及单位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小数位、科学计量、μ/µ/u、fL大小写、尿液单位、无量纲；不把不明10S9或mg/1猜成可信单位。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参考条件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双侧、单侧及小于号上限；区分小于某值与精确结果；缺参考或单位不擅自正常/异常。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交叉核验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名称、数值、单位和范围分别核验；重识别互相矛盾时保留待核对，不以覆盖数量提高为唯一目标。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质量门禁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空白、无表、有效结果不足、置信度不足或方向不正提示重拍；不调用解释模型、不写成功报告。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同步异步流程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实际上传、历史、媒体读取、异步worker轮询；结构状态与错误返回保持一致。</w:t>
            </w:r>
          </w:p>
        </w:tc>
      </w:tr>
    </w:tbl>
    <w:p>
      <w:pPr>
        <w:spacing w:after="0"/>
      </w:pPr>
    </w:p>
    <w:p>
      <w:pPr>
        <w:pStyle w:val="Heading2"/>
      </w:pPr>
      <w:r>
        <w:t>最终P1回归的219项组成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12"/>
        <w:gridCol w:w="1807"/>
        <w:gridCol w:w="4819"/>
      </w:tblGrid>
      <w:tr>
        <w:trPr>
          <w:tblHeader/>
          <w:cantSplit/>
        </w:trPr>
        <w:tc>
          <w:tcPr>
            <w:tcW w:type="dxa" w:w="3012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项数</w:t>
            </w:r>
          </w:p>
        </w:tc>
        <w:tc>
          <w:tcPr>
            <w:tcW w:type="dxa" w:w="481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最终日志</w:t>
            </w:r>
          </w:p>
        </w:tc>
      </w:tr>
      <w:tr>
        <w:trPr>
          <w:cantSplit/>
        </w:trPr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业务回归及扩展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47 + 64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regression.log / extended.log</w:t>
            </w:r>
          </w:p>
        </w:tc>
      </w:tr>
      <w:tr>
        <w:trPr>
          <w:cantSplit/>
        </w:trPr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P1与P0契约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32 + 25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contracts.log / p0_contracts.log</w:t>
            </w:r>
          </w:p>
        </w:tc>
      </w:tr>
      <w:tr>
        <w:trPr>
          <w:cantSplit/>
        </w:trPr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恢复与字段契约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14 + 14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recovery_contracts.log / field_contracts.log</w:t>
            </w:r>
          </w:p>
        </w:tc>
      </w:tr>
      <w:tr>
        <w:trPr>
          <w:cantSplit/>
        </w:trPr>
        <w:tc>
          <w:tcPr>
            <w:tcW w:type="dxa" w:w="301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质量与方向契约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12 + 11</w:t>
            </w:r>
          </w:p>
        </w:tc>
        <w:tc>
          <w:tcPr>
            <w:tcW w:type="dxa" w:w="481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quality_contracts.log / direction_contracts.log</w:t>
            </w:r>
          </w:p>
        </w:tc>
      </w:tr>
    </w:tbl>
    <w:p>
      <w:pPr>
        <w:spacing w:after="0"/>
      </w:pPr>
    </w:p>
    <w:p>
      <w:r>
        <w:t>各组最终均OK，共219项执行。大量契约用例使用人工单元格与OCR/LLM替身，不等于219张照片真实识别；真实照片与同步异步接口结果见下一页。</w:t>
      </w:r>
    </w:p>
    <w:p>
      <w:r>
        <w:br w:type="page"/>
      </w:r>
    </w:p>
    <w:p>
      <w:pPr>
        <w:pStyle w:val="Heading1"/>
      </w:pPr>
      <w:r>
        <w:t>真实报告样本与解读验证结果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P1开发样本</w:t>
            </w:r>
          </w:p>
        </w:tc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识别项目数</w:t>
            </w:r>
          </w:p>
        </w:tc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程序待核对数</w:t>
            </w:r>
          </w:p>
        </w:tc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本地耗时秒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新图01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51.85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新图02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67.91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新图03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47.61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新图04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40.22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新图05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43.63</w:t>
            </w:r>
          </w:p>
        </w:tc>
      </w:tr>
    </w:tbl>
    <w:p>
      <w:pPr>
        <w:spacing w:after="0"/>
      </w:pPr>
    </w:p>
    <w:p>
      <w:r>
        <w:t>这些数字是系统运行输出，不是人工标注后的正确率。新图03和04在更严格的名称、单位等核验后仍有9项与7项待核对，应保留该事实，不能称为整表无遗漏识别。新图05的标本黄疸指数、标本脂血指数、标本溶血指数3项“(-)”因可靠参考条件不足继续待核对。旧图08另有真实复核记录。证据：E27。</w:t>
      </w:r>
    </w:p>
    <w:p>
      <w:pPr>
        <w:pStyle w:val="Heading2"/>
      </w:pPr>
      <w:r>
        <w:t>真实接口与质量门禁</w:t>
      </w:r>
    </w:p>
    <w:p>
      <w:r>
        <w:t>P1同步上传与历史媒体链路提取27项，记录耗时93.13秒；异步worker链路OCR约46.47秒、总计约46.512秒。该两项的LLM为stub，仅证明真实OCR、接口及持久化链路，不能写成真实模型报告解读验证。证据：E28。</w:t>
      </w:r>
    </w:p>
    <w:p>
      <w:r>
        <w:t>真实空白图返回422、retake_required=true，未调用LLM，正式报告计数为0。正向、倒置、横置三个输入分别为接受、重拍、重拍；旋转探测次数均为0。这证明所测方向输入遵循重拍策略，不能保证任何倾斜照片都会被完美检测。证据：E22、E24。</w:t>
      </w:r>
    </w:p>
    <w:p>
      <w:pPr>
        <w:pStyle w:val="Heading2"/>
      </w:pPr>
      <w:r>
        <w:t>真实Qwen解读的单独验证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1"/>
        <w:gridCol w:w="5722"/>
        <w:gridCol w:w="1205"/>
      </w:tblGrid>
      <w:tr>
        <w:trPr>
          <w:tblHeader/>
          <w:cantSplit/>
        </w:trPr>
        <w:tc>
          <w:tcPr>
            <w:tcW w:type="dxa" w:w="2711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合成场景</w:t>
            </w:r>
          </w:p>
        </w:tc>
        <w:tc>
          <w:tcPr>
            <w:tcW w:type="dxa" w:w="5722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真实结果与人工检查</w:t>
            </w:r>
          </w:p>
        </w:tc>
        <w:tc>
          <w:tcPr>
            <w:tcW w:type="dxa" w:w="1205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耗时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GLU7.2、ALT52、TC6.2，参考与单位完整</w:t>
            </w:r>
          </w:p>
        </w:tc>
        <w:tc>
          <w:tcPr>
            <w:tcW w:type="dxa" w:w="572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保留程序判定的偏高；未擅自补造空腹状态、诊断或精确复查周期。</w:t>
            </w:r>
          </w:p>
        </w:tc>
        <w:tc>
          <w:tcPr>
            <w:tcW w:type="dxa" w:w="1205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29.57秒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GLU缺参考、ALT缺单位、TC完整</w:t>
            </w:r>
          </w:p>
        </w:tc>
        <w:tc>
          <w:tcPr>
            <w:tcW w:type="dxa" w:w="5722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GLU和ALT单独说明无法核对，不强判高低；TC仍偏高。</w:t>
            </w:r>
          </w:p>
        </w:tc>
        <w:tc>
          <w:tcPr>
            <w:tcW w:type="dxa" w:w="1205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34.93秒</w:t>
            </w:r>
          </w:p>
        </w:tc>
      </w:tr>
    </w:tbl>
    <w:p>
      <w:pPr>
        <w:spacing w:after="0"/>
      </w:pPr>
    </w:p>
    <w:p>
      <w:r>
        <w:t>使用qwen3.7-plus真实生成，mocked_generation=false；仅两个人工合成场景，非真实患者报告和临床专家评测。报告识别与生成解释应分开评价。证据：E29。</w:t>
      </w:r>
    </w:p>
    <w:p>
      <w:r>
        <w:br w:type="page"/>
      </w:r>
    </w:p>
    <w:p>
      <w:pPr>
        <w:pStyle w:val="Heading1"/>
      </w:pPr>
      <w:r>
        <w:t>用药提醒通知可靠性与能力边界</w:t>
      </w:r>
    </w:p>
    <w:p>
      <w:r>
        <w:t>最终用药提醒专项本地44项、云端隔离环境44项通过；同时有101项既有业务回归通过。测试使用真实HTTP、文件SQLite、并发和可控时钟，推送通道使用明确的模拟传输。证据：E30至E32。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7530"/>
      </w:tblGrid>
      <w:tr>
        <w:trPr>
          <w:tblHeader/>
          <w:cantSplit/>
        </w:trPr>
        <w:tc>
          <w:tcPr>
            <w:tcW w:type="dxa" w:w="2108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7530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已验证的条件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时间窗口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未到点拒绝；到点和截止整点允许；超过截止1秒或1微秒拒绝；跨午夜与UTC偏移保持一致。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日期和计划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不存在的日历日期拒绝；未来开始计划不提前通知；无效旧时间点不影响有效计划；新时间点规范化。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重复和并发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重复打卡、并发打卡、重复调度和并发扫描不产生重复记录或通知。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漏打卡语义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已打卡不再提醒；漏打卡卡片持久化，明确不代表“确定没服药”；旧用药紧急类型按普通健康提醒兼容读取。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过期和变更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重启后仅在有效窗口补提醒；已打卡、删除、改时间或提醒过期后，等待中的重试被抑制。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家属授权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分享撤回、解绑、较年轻关闭分享、缺少出生年月时重查权限；不能泄漏既有健康卡片。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故障和事务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传输失败不回滚已经保存的业务卡片；事务失败则相关写入一致回滚；重试次数有上限。</w:t>
            </w:r>
          </w:p>
        </w:tc>
      </w:tr>
      <w:tr>
        <w:trPr>
          <w:cantSplit/>
        </w:trPr>
        <w:tc>
          <w:tcPr>
            <w:tcW w:type="dxa" w:w="2108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送达状态诚实</w:t>
            </w:r>
          </w:p>
        </w:tc>
        <w:tc>
          <w:tcPr>
            <w:tcW w:type="dxa" w:w="7530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传输接受submitted不等于delivered；占位通道即使配置凭证也不冒充真实可用；不能推测设备通知权限。</w:t>
            </w:r>
          </w:p>
        </w:tc>
      </w:tr>
    </w:tbl>
    <w:p>
      <w:pPr>
        <w:spacing w:after="0"/>
      </w:pPr>
    </w:p>
    <w:p>
      <w:pPr>
        <w:pStyle w:val="Heading2"/>
      </w:pPr>
      <w:r>
        <w:t>不能从后端测试推导的结论</w:t>
      </w:r>
    </w:p>
    <w:p>
      <w:r>
        <w:t>远程手机推送服务尚未接入，不存在真实厂商通道送达率证明。前端本地定时通知、声音、Android通知权限和精确闹钟授权是另外的实机验证范围；后端消息入库或outbox成功不等于熄屏手机已响铃。</w:t>
      </w:r>
    </w:p>
    <w:p>
      <w:pPr>
        <w:pStyle w:val="Heading2"/>
      </w:pPr>
      <w:r>
        <w:t>最终修复与云端记录</w:t>
      </w:r>
    </w:p>
    <w:p>
      <w:r>
        <w:t>dbe5727完善打卡时间窗与持久通知，4b974e7将漏打卡兼容为普通健康卡片。最终compatibility_tests.log与cloud_tests.log均为44项OK，早期42项及39项版本不重复计入独立用例。云端部署记录明确remote_push_configured=false和production_test_writes=false。</w:t>
      </w:r>
    </w:p>
    <w:p>
      <w:r>
        <w:br w:type="page"/>
      </w:r>
    </w:p>
    <w:p>
      <w:pPr>
        <w:pStyle w:val="Heading1"/>
      </w:pPr>
      <w:r>
        <w:t>紧急提醒规则语义兜底与原话保留</w:t>
      </w:r>
    </w:p>
    <w:p>
      <w:r>
        <w:t>本地与云端专项各36项通过，综合最终124项通过。覆盖口语、否定、历史、假设、教育提问、多症状、权限与通知去重；语义服务超时、JSON无效、饱和或异常返回uncertain，不冒充正常结论。证据：E33至E37。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27"/>
        <w:gridCol w:w="2711"/>
      </w:tblGrid>
      <w:tr>
        <w:trPr>
          <w:tblHeader/>
          <w:cantSplit/>
        </w:trPr>
        <w:tc>
          <w:tcPr>
            <w:tcW w:type="dxa" w:w="692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真实Qwen合成句</w:t>
            </w:r>
          </w:p>
        </w:tc>
        <w:tc>
          <w:tcPr>
            <w:tcW w:type="dxa" w:w="2711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期望与实际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我心脏疼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urgent；chest_pain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我心口像被人紧紧攥住，冷汗往下滴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urgent；chest_pain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我嘴能动，可是突然话都说不顺了，右胳膊像不是自己的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urgent；stroke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没有胸痛，只想问高血压饮食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non_urgent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我有一点头晕，没有其他不舒服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non_urgent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怎样预防中风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non_urgent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我看电影觉得很心疼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non_urgent</w:t>
            </w:r>
          </w:p>
        </w:tc>
      </w:tr>
      <w:tr>
        <w:trPr>
          <w:cantSplit/>
        </w:trPr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吃东西后舌头迅速肿起来，呼吸费劲</w:t>
            </w:r>
          </w:p>
        </w:tc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urgent；severe_allergy及breath</w:t>
            </w:r>
          </w:p>
        </w:tc>
      </w:tr>
    </w:tbl>
    <w:p>
      <w:pPr>
        <w:spacing w:after="0"/>
      </w:pPr>
    </w:p>
    <w:p>
      <w:r>
        <w:t>上表为直接语义模型调用的8个样本；其中一次约5.497秒，不能据此宣称生产调用都小于5秒。最终生产分流函数另测5例，2例走规则、3例实际语义调用，均符合各例预期；语义路径约0.906至3.779秒。早一版有1条口语没有进入语义筛查，已在最终路径复测纠正。</w:t>
      </w:r>
    </w:p>
    <w:p>
      <w:pPr>
        <w:pStyle w:val="Heading2"/>
      </w:pPr>
      <w:r>
        <w:t>不能把类别当成用户说过的症状</w:t>
      </w:r>
    </w:p>
    <w:p>
      <w:r>
        <w:t>chest_pain使用“胸部不适相关危险信号”作为风险类别，reported_question保留完整提交原话。九类风险、主体、时间、程度、数字与否认句独立保存；家属消息超过200字时保留完整字段。10月28日真实云端对三种“心脏疼”表述、普通和双视图两个接口各返回一次，共6条，已保留正确类别和原话。整理时另对当前后端复跑6项原话与类别测试，2.494秒完成、全部OK；生成和推送替身不计真实模型。证据：E44、E45。</w:t>
      </w:r>
    </w:p>
    <w:p>
      <w:r>
        <w:t>紧急路径优先本地规则；匿名用户仍收到自身提醒，但不写家属消息。共享撤回和解绑在读取、入队和重试时重查。测试中制造的outbox或模型异常属于验证故障处理，必须结合最终OK判读，不能仅凭日志里“失败”二字判测试不通过。风险分组是项目筛查规则，不是疾病诊断。</w:t>
      </w:r>
    </w:p>
    <w:p>
      <w:r>
        <w:br w:type="page"/>
      </w:r>
    </w:p>
    <w:p>
      <w:pPr>
        <w:pStyle w:val="Heading1"/>
      </w:pPr>
      <w:r>
        <w:t>录音上传转写真实测试与故障测试</w:t>
      </w:r>
    </w:p>
    <w:p>
      <w:r>
        <w:t>语音模型为qwen3-asr-flash，与问答qwen3.7-plus分开。专项本地39项、云端39项通过；这两组ASR使用替身，真实语音模型调用单独保存。解码、HTTP、JWT与隔离SQLite实际运行。证据：E38至E41。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5421"/>
        <w:gridCol w:w="1807"/>
      </w:tblGrid>
      <w:tr>
        <w:trPr>
          <w:tblHeader/>
          <w:cantSplit/>
        </w:trPr>
        <w:tc>
          <w:tcPr>
            <w:tcW w:type="dxa" w:w="2409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真实ASR样本</w:t>
            </w:r>
          </w:p>
        </w:tc>
        <w:tc>
          <w:tcPr>
            <w:tcW w:type="dxa" w:w="5421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实际转写关键内容</w:t>
            </w:r>
          </w:p>
        </w:tc>
        <w:tc>
          <w:tcPr>
            <w:tcW w:type="dxa" w:w="180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接口耗时秒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血压WAV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今天早上八点；高压145、低压90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2.048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同一血压M4A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高压145、低压90；requires_confirmation=true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1.805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血糖WAV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今天早上空腹血糖6.2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1.726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紧急表述WAV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我现在心脏疼，喘不上气，请帮我联系家人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1.613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手机操作WAV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微信怎么发语音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1.445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云端血压M4A</w:t>
            </w:r>
          </w:p>
        </w:tc>
        <w:tc>
          <w:tcPr>
            <w:tcW w:type="dxa" w:w="542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HTTP200，145/90并要求确认</w:t>
            </w:r>
          </w:p>
        </w:tc>
        <w:tc>
          <w:tcPr>
            <w:tcW w:type="dxa" w:w="180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0.711</w:t>
            </w:r>
          </w:p>
        </w:tc>
      </w:tr>
    </w:tbl>
    <w:p>
      <w:pPr>
        <w:spacing w:after="0"/>
      </w:pPr>
    </w:p>
    <w:p>
      <w:r>
        <w:t>音频为本地Microsoft Huihui中文TTS合成，不是真实老人录音。5次本地调用包含同一血压的两个编码格式；云端1次为复用样本。该结果可证明API实际返回及关键数字保留，不证明方言、口音、噪声、所有机型或一个月额度一定够用。</w:t>
      </w:r>
    </w:p>
    <w:p>
      <w:pPr>
        <w:pStyle w:val="Heading2"/>
      </w:pPr>
      <w:r>
        <w:t>39项故障与输入边界覆盖</w:t>
      </w:r>
    </w:p>
    <w:p>
      <w:r>
        <w:t>包括WAV规范化，立体声48k转单声道16k，M4A/OGG/MP3/FLAC实际解码及清理；空、静音、假音频、截断、伪扩展名、超8MiB、超过60秒、缺解码器、解码超时；未登录及无效token不调用ASR；容量满返回429；上游鉴权、限流、连接错误、超时与空结果不伪装成功；异常响应不泄露密钥。</w:t>
      </w:r>
    </w:p>
    <w:p>
      <w:r>
        <w:t>转写仅返回可编辑文字与确认提示，不自动触发聊天、写体征或通知家属；迟到结果不产生业务副作用；临时音频即使解码失败也清理。真实模型测试使用隔离身份，无生产业务数据库写入。</w:t>
      </w:r>
    </w:p>
    <w:p>
      <w:r>
        <w:t>前端录音权限、后台行为、用户取消、转写后核对、编辑数值再提交以及实际设备网络仍需B/C实机验收。本地系统SpeechToText报error_network的旧路径不属于新ASR已经验证的手机链路。</w:t>
      </w:r>
    </w:p>
    <w:p>
      <w:r>
        <w:br w:type="page"/>
      </w:r>
    </w:p>
    <w:p>
      <w:pPr>
        <w:pStyle w:val="Heading1"/>
      </w:pPr>
      <w:r>
        <w:t>缺陷复测记录与提交结论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11"/>
        <w:gridCol w:w="6927"/>
      </w:tblGrid>
      <w:tr>
        <w:trPr>
          <w:tblHeader/>
          <w:cantSplit/>
        </w:trPr>
        <w:tc>
          <w:tcPr>
            <w:tcW w:type="dxa" w:w="2711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历史问题</w:t>
            </w:r>
          </w:p>
        </w:tc>
        <w:tc>
          <w:tcPr>
            <w:tcW w:type="dxa" w:w="6927"/>
            <w:shd w:fill="EAF0F5"/>
          </w:tcPr>
          <w:p>
            <w:pPr>
              <w:spacing w:after="80" w:before="80" w:line="252" w:lineRule="auto"/>
            </w:pPr>
            <w:r>
              <w:rPr>
                <w:b/>
                <w:sz w:val="18"/>
              </w:rPr>
              <w:t>保留的复测结果与判定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最初RAG生成使用mock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之后分别补真实检索与真实Qwen；仅来源透传的stub不列为模型测试。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医保误拦截和双视图重复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E11至E13有70项执行及真实接口；来源和底部协议后续继续复测。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照片错取值与错配参考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E19记录原始缺陷；E25至E29按字段、单元格、单位、质量门禁分层验证，继续保留待核对项。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测试环境曾不能创建SQLite文件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早期OCR和用药日志出现大量ERROR；最终在允许的隔离环境重跑OK，不把环境失败记录删除或算作通过。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紧急规则与红队既有用例冲突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初期专项2项失败、综合1项失败；最终专项36、综合124项OK。语义路由漏入也保留初版与最终记录。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未完成合并候选133项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其中1项家属录音摘要断言失败，测试fixture缺少出生年月。合并已停止；该候选不能作运行版本全绿证明。E43。</w:t>
            </w:r>
          </w:p>
        </w:tc>
      </w:tr>
      <w:tr>
        <w:trPr>
          <w:cantSplit/>
        </w:trPr>
        <w:tc>
          <w:tcPr>
            <w:tcW w:type="dxa" w:w="2711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早期6问均写模块OK</w:t>
            </w:r>
          </w:p>
        </w:tc>
        <w:tc>
          <w:tcPr>
            <w:tcW w:type="dxa" w:w="6927"/>
          </w:tcPr>
          <w:p>
            <w:pPr>
              <w:spacing w:after="80" w:before="80" w:line="252" w:lineRule="auto"/>
            </w:pPr>
            <w:r>
              <w:rPr>
                <w:b w:val="0"/>
                <w:sz w:val="18"/>
              </w:rPr>
              <w:t>原记录能看到答非所问，作为改造前问题，不沿用“六问全部回答正确”结论。</w:t>
            </w:r>
          </w:p>
        </w:tc>
      </w:tr>
    </w:tbl>
    <w:p>
      <w:pPr>
        <w:spacing w:after="0"/>
      </w:pPr>
    </w:p>
    <w:p>
      <w:pPr>
        <w:pStyle w:val="Heading2"/>
      </w:pPr>
      <w:r>
        <w:t>比赛测试记录可采用的结论</w:t>
      </w:r>
    </w:p>
    <w:p>
      <w:r>
        <w:t>项目围绕后端关键业务与AI应用风险开展多轮分层回归。除接口、数据库、并发、权限和故障处理测试外，分别执行真实bge检索、PaddleOCR照片推理、Qwen文本生成及ASR转写；保存相应日志、响应和文件指纹。报告最终P1回归八组共219项执行通过，用药通知最终专项本地和云端各44项，紧急提醒各36项，语音转写各39项通过。各轮存在重复覆盖，不累计为全项目独立用例数或整体准确率。</w:t>
      </w:r>
    </w:p>
    <w:p>
      <w:pPr>
        <w:pStyle w:val="Heading2"/>
      </w:pPr>
      <w:r>
        <w:t>提交材料的复核方式</w:t>
      </w:r>
    </w:p>
    <w:p>
      <w:r>
        <w:t>先查看逐轮测试记录.csv，以证据编号查证据摘录/E编号.txt，再由证据索引及原件指纹.csv定位本机原件和SHA256。另附29份最终原始日志，字节保持原样；用例明细CSV提供实际出现的方法名与行号，dots日志不反推逐项成功。JSON摘录只选相关字段，未伪装为完整原始文件。</w:t>
      </w:r>
    </w:p>
    <w:p>
      <w:r>
        <w:t>正式封版后如后端再有变更，应对受影响路径复测并补上日期、提交号、命令、退出码和日志。当前剩余限制是独立报告标注集及泛化指标、目标手机三端验收、真实远程推送送达与医生专业审核；这些不写成已完成。原件未来应与材料包一起由团队留档。</w:t>
      </w:r>
    </w:p>
    <w:sectPr w:rsidR="00FC693F" w:rsidRPr="0006063C" w:rsidSect="00034616">
      <w:footerReference w:type="default" r:id="rId9"/>
      <w:pgSz w:w="11906" w:h="16838"/>
      <w:pgMar w:top="935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后端测试记录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后端回归测试记录与证据汇总</dc:title>
  <dc:subject>比赛测试记录附件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