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Word count: 351 / 350 words</w:t>
      </w:r>
    </w:p>
    <w:p>
      <w:pPr>
        <w:pStyle w:val="TextBody"/>
        <w:rPr/>
      </w:pPr>
      <w:commentRangeStart w:id="0"/>
      <w:r>
        <w:rPr>
          <w:b/>
        </w:rPr>
        <w:t xml:space="preserve">A SPECIFIC SERUM FATTY ACID (FA) COMPOSITION </w:t>
      </w:r>
      <w:r>
        <w:rPr>
          <w:b/>
        </w:rPr>
      </w:r>
      <w:commentRangeEnd w:id="0"/>
      <w:r>
        <w:commentReference w:id="0"/>
      </w:r>
      <w:r>
        <w:rPr>
          <w:b/>
        </w:rPr>
        <w:t>ACROSS MULTIPLE LIPID FRACTIONS UNDERLIES PATHOPHYSIOLOGICAL FEATURES OF TYPE 2 DIABETES IN THE CANADIAN PROSPECTIVE METABOLISM AND ISLET CELL EVALUATION (PROMISE) COHORT</w:t>
      </w:r>
    </w:p>
    <w:p>
      <w:pPr>
        <w:pStyle w:val="TextBody"/>
        <w:rPr/>
      </w:pPr>
      <w:r>
        <w:rPr>
          <w:b/>
          <w:u w:val="single"/>
        </w:rPr>
        <w:t>Luke W. Johnston</w:t>
      </w:r>
      <w:r>
        <w:rPr>
          <w:b/>
          <w:vertAlign w:val="superscript"/>
        </w:rPr>
        <w:t>1</w:t>
      </w:r>
      <w:r>
        <w:rPr>
          <w:b/>
        </w:rPr>
        <w:t>, Zhen Liu</w:t>
      </w:r>
      <w:r>
        <w:rPr>
          <w:b/>
          <w:vertAlign w:val="superscript"/>
        </w:rPr>
        <w:t>1</w:t>
      </w:r>
      <w:r>
        <w:rPr>
          <w:b/>
        </w:rPr>
        <w:t>, Stewart B. Harris</w:t>
      </w:r>
      <w:r>
        <w:rPr>
          <w:b/>
          <w:vertAlign w:val="superscript"/>
        </w:rPr>
        <w:t>2</w:t>
      </w:r>
      <w:r>
        <w:rPr>
          <w:b/>
        </w:rPr>
        <w:t xml:space="preserve">, </w:t>
      </w:r>
      <w:commentRangeStart w:id="1"/>
      <w:r>
        <w:rPr>
          <w:b/>
        </w:rPr>
        <w:t>Ravi Retnakaran</w:t>
      </w:r>
      <w:r>
        <w:rPr>
          <w:b/>
        </w:rPr>
      </w:r>
      <w:commentRangeEnd w:id="1"/>
      <w:r>
        <w:commentReference w:id="1"/>
      </w:r>
      <w:r>
        <w:rPr>
          <w:b/>
          <w:vertAlign w:val="superscript"/>
        </w:rPr>
        <w:t>3,4</w:t>
      </w:r>
      <w:r>
        <w:rPr>
          <w:b/>
        </w:rPr>
        <w:t>, Richard P. Bazinet</w:t>
      </w:r>
      <w:r>
        <w:rPr>
          <w:b/>
          <w:vertAlign w:val="superscript"/>
        </w:rPr>
        <w:t>1</w:t>
      </w:r>
      <w:r>
        <w:rPr>
          <w:b/>
        </w:rPr>
        <w:t>, Anthony J. Hanley</w:t>
      </w:r>
      <w:r>
        <w:rPr>
          <w:b/>
          <w:vertAlign w:val="superscript"/>
        </w:rPr>
        <w:t>1,4,5</w:t>
      </w:r>
    </w:p>
    <w:p>
      <w:pPr>
        <w:pStyle w:val="TextBody"/>
        <w:rPr/>
      </w:pPr>
      <w:r>
        <w:rPr>
          <w:vertAlign w:val="superscript"/>
        </w:rPr>
        <w:t>1</w:t>
      </w:r>
      <w:r>
        <w:rPr/>
        <w:t xml:space="preserve"> Department of Nutritional Sciences, University of Toronto, Toronto, Canada</w:t>
        <w:br/>
      </w:r>
      <w:r>
        <w:rPr>
          <w:vertAlign w:val="superscript"/>
        </w:rPr>
        <w:t>2</w:t>
      </w:r>
      <w:r>
        <w:rPr/>
        <w:t xml:space="preserve"> Centre for Studies in Family Medicine, University of Western Ontario, London, Canada.</w:t>
        <w:br/>
      </w:r>
      <w:r>
        <w:rPr>
          <w:vertAlign w:val="superscript"/>
        </w:rPr>
        <w:t>3</w:t>
      </w:r>
      <w:r>
        <w:rPr/>
        <w:t xml:space="preserve"> Lunenfeld Tanenbaum Research Institute, Mount Sinai Hospital, Toronto, Canada</w:t>
        <w:br/>
      </w:r>
      <w:r>
        <w:rPr>
          <w:vertAlign w:val="superscript"/>
        </w:rPr>
        <w:t>4</w:t>
      </w:r>
      <w:r>
        <w:rPr/>
        <w:t xml:space="preserve"> Division of Endocrinology, University of Toronto, Toronto, Canada.</w:t>
        <w:br/>
      </w:r>
      <w:r>
        <w:rPr>
          <w:vertAlign w:val="superscript"/>
        </w:rPr>
        <w:t>5</w:t>
      </w:r>
      <w:r>
        <w:rPr/>
        <w:t xml:space="preserve"> Dalla Lana School of Public Health, University of Toronto, Toronto, Canada</w:t>
      </w:r>
    </w:p>
    <w:p>
      <w:pPr>
        <w:pStyle w:val="TextBody"/>
        <w:rPr/>
      </w:pPr>
      <w:r>
        <w:rPr>
          <w:b/>
        </w:rPr>
        <w:t>Background</w:t>
      </w:r>
      <w:commentRangeStart w:id="2"/>
      <w:r>
        <w:rPr/>
        <w:t xml:space="preserve">: FA can positively or negatively influence metabolic function and could modulate risk for diabetes. </w:t>
      </w:r>
      <w:r>
        <w:rPr/>
      </w:r>
      <w:commentRangeEnd w:id="2"/>
      <w:r>
        <w:commentReference w:id="2"/>
      </w:r>
      <w:r>
        <w:rPr/>
        <w:t xml:space="preserve">Since FA within </w:t>
      </w:r>
      <w:del w:id="0" w:author="Anthony Hanley" w:date="2018-01-07T16:51:00Z">
        <w:r>
          <w:rPr/>
          <w:delText xml:space="preserve">specific </w:delText>
        </w:r>
      </w:del>
      <w:ins w:id="1" w:author="Anthony Hanley" w:date="2018-01-07T16:52:00Z">
        <w:r>
          <w:rPr/>
          <w:t>individual</w:t>
        </w:r>
      </w:ins>
      <w:ins w:id="2" w:author="Anthony Hanley" w:date="2018-01-07T16:51:00Z">
        <w:r>
          <w:rPr/>
          <w:t xml:space="preserve"> </w:t>
        </w:r>
      </w:ins>
      <w:r>
        <w:rPr/>
        <w:t xml:space="preserve">lipid fractions fulfill distinct physiological functions, a specific </w:t>
      </w:r>
      <w:ins w:id="3" w:author="Anthony Hanley" w:date="2018-01-07T16:57:00Z">
        <w:r>
          <w:rPr/>
          <w:t xml:space="preserve">clusters of </w:t>
        </w:r>
      </w:ins>
      <w:r>
        <w:rPr/>
        <w:t xml:space="preserve">FA </w:t>
      </w:r>
      <w:del w:id="4" w:author="Anthony Hanley" w:date="2018-01-07T16:57:00Z">
        <w:r>
          <w:rPr/>
          <w:delText xml:space="preserve">composition </w:delText>
        </w:r>
      </w:del>
      <w:r>
        <w:rPr/>
        <w:t>could be indicative of a greater risk for diabetes. Our aim</w:t>
      </w:r>
      <w:ins w:id="5" w:author="Anthony Hanley" w:date="2018-01-07T16:36:00Z">
        <w:r>
          <w:rPr/>
          <w:t>, therefore,</w:t>
        </w:r>
      </w:ins>
      <w:r>
        <w:rPr/>
        <w:t xml:space="preserve"> was to </w:t>
      </w:r>
      <w:del w:id="6" w:author="Anthony Hanley" w:date="2018-01-07T16:36:00Z">
        <w:r>
          <w:rPr/>
          <w:delText xml:space="preserve">therefore </w:delText>
        </w:r>
      </w:del>
      <w:r>
        <w:rPr/>
        <w:t xml:space="preserve">identify specific </w:t>
      </w:r>
      <w:ins w:id="7" w:author="Anthony Hanley" w:date="2018-01-07T16:53:00Z">
        <w:r>
          <w:rPr/>
          <w:t xml:space="preserve">patterns in the </w:t>
        </w:r>
      </w:ins>
      <w:del w:id="8" w:author="Anthony Hanley" w:date="2018-01-07T16:53:00Z">
        <w:r>
          <w:rPr/>
          <w:delText xml:space="preserve">FA </w:delText>
        </w:r>
      </w:del>
      <w:r>
        <w:rPr/>
        <w:t>composition</w:t>
      </w:r>
      <w:ins w:id="9" w:author="Anthony Hanley" w:date="2018-01-07T16:53:00Z">
        <w:r>
          <w:rPr/>
          <w:t xml:space="preserve"> of FA </w:t>
        </w:r>
      </w:ins>
      <w:del w:id="10" w:author="Anthony Hanley" w:date="2018-01-07T16:53:00Z">
        <w:r>
          <w:rPr/>
          <w:delText>s</w:delText>
        </w:r>
      </w:del>
      <w:r>
        <w:rPr/>
        <w:t xml:space="preserve"> across multiple lipid fractions </w:t>
      </w:r>
      <w:commentRangeStart w:id="3"/>
      <w:r>
        <w:rPr/>
        <w:t>that underlie</w:t>
      </w:r>
      <w:r>
        <w:rPr/>
      </w:r>
      <w:commentRangeEnd w:id="3"/>
      <w:r>
        <w:commentReference w:id="3"/>
      </w:r>
      <w:r>
        <w:rPr/>
        <w:t xml:space="preserve"> insulin sensitivity (IS) and beta-cell function.</w:t>
      </w:r>
    </w:p>
    <w:p>
      <w:pPr>
        <w:pStyle w:val="TextBody"/>
        <w:rPr/>
      </w:pPr>
      <w:r>
        <w:rPr>
          <w:b/>
        </w:rPr>
        <w:t>Methods</w:t>
      </w:r>
      <w:r>
        <w:rPr/>
        <w:t xml:space="preserve">: Adults at risk for diabetes (n=477) </w:t>
      </w:r>
      <w:commentRangeStart w:id="4"/>
      <w:r>
        <w:rPr/>
        <w:t xml:space="preserve">had </w:t>
      </w:r>
      <w:del w:id="11" w:author="Anthony Hanley" w:date="2018-01-07T16:37:00Z">
        <w:r>
          <w:rPr/>
          <w:delText>blood drawn from</w:delText>
        </w:r>
      </w:del>
      <w:ins w:id="12" w:author="Anthony Hanley" w:date="2018-01-07T16:37:00Z">
        <w:r>
          <w:rPr/>
          <w:t xml:space="preserve"> multiple blood samples during</w:t>
        </w:r>
      </w:ins>
      <w:r>
        <w:rPr/>
        <w:t xml:space="preserve"> an OGTT.</w:t>
      </w:r>
      <w:r>
        <w:rPr/>
      </w:r>
      <w:commentRangeEnd w:id="4"/>
      <w:r>
        <w:commentReference w:id="4"/>
      </w:r>
      <w:r>
        <w:rPr/>
        <w:t xml:space="preserve"> FA from triacylglycerol (TGFA), phospholipid, cholesteryl ester, and non-esterified (NEFA) fractions were quantified from fasting samples and the mole percent (mol%) of total lipids was calculated. Outcome measures </w:t>
      </w:r>
      <w:del w:id="13" w:author="Anthony Hanley" w:date="2018-01-07T16:40:00Z">
        <w:r>
          <w:rPr/>
          <w:delText xml:space="preserve">were </w:delText>
        </w:r>
      </w:del>
      <w:ins w:id="14" w:author="Anthony Hanley" w:date="2018-01-07T16:40:00Z">
        <w:r>
          <w:rPr/>
          <w:t xml:space="preserve">included </w:t>
        </w:r>
      </w:ins>
      <w:r>
        <w:rPr/>
        <w:t xml:space="preserve">the Matsuda index (ISI) for IS and the Insulin Secretion-Sensitivity Index-2 (ISSI-2) for beta-cell function. Partial least squares (PLS) was used to identify underlying clusters in the FA composition, with </w:t>
      </w:r>
      <w:del w:id="15" w:author="Anthony Hanley" w:date="2018-01-07T16:40:00Z">
        <w:r>
          <w:rPr/>
          <w:delText xml:space="preserve">the </w:delText>
        </w:r>
      </w:del>
      <w:r>
        <w:rPr/>
        <w:t xml:space="preserve">FA from all lipid fractions </w:t>
      </w:r>
      <w:ins w:id="16" w:author="Anthony Hanley" w:date="2018-01-07T16:50:00Z">
        <w:r>
          <w:rPr/>
          <w:t xml:space="preserve">included </w:t>
        </w:r>
      </w:ins>
      <w:r>
        <w:rPr/>
        <w:t xml:space="preserve">as the predictor variables and ISI or ISSI-2 as the response variables, </w:t>
      </w:r>
      <w:del w:id="17" w:author="Anthony Hanley" w:date="2018-01-07T16:40:00Z">
        <w:r>
          <w:rPr/>
          <w:delText xml:space="preserve">for </w:delText>
        </w:r>
      </w:del>
      <w:ins w:id="18" w:author="Anthony Hanley" w:date="2018-01-07T16:40:00Z">
        <w:r>
          <w:rPr/>
          <w:t xml:space="preserve">in </w:t>
        </w:r>
      </w:ins>
      <w:del w:id="19" w:author="Anthony Hanley" w:date="2018-01-07T16:50:00Z">
        <w:r>
          <w:rPr/>
          <w:delText xml:space="preserve">two </w:delText>
        </w:r>
      </w:del>
      <w:r>
        <w:rPr/>
        <w:t>separate PLS models.</w:t>
      </w:r>
    </w:p>
    <w:p>
      <w:pPr>
        <w:pStyle w:val="TextBody"/>
        <w:rPr/>
      </w:pPr>
      <w:commentRangeStart w:id="5"/>
      <w:r>
        <w:rPr>
          <w:b/>
        </w:rPr>
        <w:t>Results</w:t>
      </w:r>
      <w:r>
        <w:rPr>
          <w:b/>
        </w:rPr>
      </w:r>
      <w:commentRangeEnd w:id="5"/>
      <w:r>
        <w:commentReference w:id="5"/>
      </w:r>
      <w:r>
        <w:rPr/>
        <w:t xml:space="preserve">: The first two PLS components (C1 and C2) were extracted. </w:t>
      </w:r>
      <w:commentRangeStart w:id="6"/>
      <w:r>
        <w:rPr/>
        <w:t>These components explained 39.2% and 22.4% of the variance in the outcomes and explained 22.5% and 21.8% of the variance in the FA for ISI and ISSI-2, respectively</w:t>
      </w:r>
      <w:r>
        <w:rPr/>
      </w:r>
      <w:commentRangeEnd w:id="6"/>
      <w:r>
        <w:commentReference w:id="6"/>
      </w:r>
      <w:r>
        <w:rPr/>
        <w:t xml:space="preserve">. TGFA loaded </w:t>
      </w:r>
      <w:commentRangeStart w:id="7"/>
      <w:r>
        <w:rPr/>
        <w:t xml:space="preserve">heavily </w:t>
      </w:r>
      <w:r>
        <w:rPr/>
      </w:r>
      <w:commentRangeEnd w:id="7"/>
      <w:r>
        <w:commentReference w:id="7"/>
      </w:r>
      <w:r>
        <w:rPr/>
        <w:t xml:space="preserve">on C1, while NEFA loaded heavily on C2. </w:t>
      </w:r>
      <w:commentRangeStart w:id="8"/>
      <w:r>
        <w:rPr/>
        <w:t xml:space="preserve">Only specific TGFA contributed substantially to the variability in the outcomes </w:t>
      </w:r>
      <w:r>
        <w:rPr/>
      </w:r>
      <w:commentRangeEnd w:id="8"/>
      <w:r>
        <w:commentReference w:id="8"/>
      </w:r>
      <w:r>
        <w:rPr/>
        <w:t>(i.e. TG14:0, TG16:0, TG16:1n-7, TG18:0, TG18:1n-9, TG18:1n-7). A higher mol% of these specific TGFA associated with lower ISI and ISSI-2 values</w:t>
      </w:r>
      <w:commentRangeStart w:id="9"/>
      <w:r>
        <w:rPr/>
        <w:t>.</w:t>
      </w:r>
      <w:commentRangeEnd w:id="9"/>
      <w:r>
        <w:commentReference w:id="9"/>
      </w:r>
      <w:r>
        <w:rPr/>
      </w:r>
    </w:p>
    <w:p>
      <w:pPr>
        <w:pStyle w:val="TextBody"/>
        <w:rPr/>
      </w:pPr>
      <w:r>
        <w:rPr>
          <w:b/>
        </w:rPr>
        <w:t>Conclusions</w:t>
      </w:r>
      <w:r>
        <w:rPr/>
        <w:t xml:space="preserve">: We identified a cluster of TGFA that had a </w:t>
      </w:r>
      <w:commentRangeStart w:id="10"/>
      <w:r>
        <w:rPr/>
        <w:t xml:space="preserve">strong relationship </w:t>
      </w:r>
      <w:r>
        <w:rPr/>
      </w:r>
      <w:commentRangeEnd w:id="10"/>
      <w:r>
        <w:commentReference w:id="10"/>
      </w:r>
      <w:r>
        <w:rPr/>
        <w:t xml:space="preserve">with lower IS and, </w:t>
      </w:r>
      <w:commentRangeStart w:id="11"/>
      <w:r>
        <w:rPr/>
        <w:t>to a lesser extent</w:t>
      </w:r>
      <w:r>
        <w:rPr/>
      </w:r>
      <w:commentRangeEnd w:id="11"/>
      <w:r>
        <w:commentReference w:id="11"/>
      </w:r>
      <w:r>
        <w:rPr/>
        <w:t>, beta-cell function. These TGFA (e.g. 16:1n-7) are reported to associate with refined or simple carbohydrate intake and have experimentally been shown to exhibit lipotoxic effects. Our results suggest that only a few FA from a broad spectrum of serum FA may underlie the association between lipids and glucose dysregulation, and that these lipids are possible mediators between the reported associations of carbohydrate intake and diabetes risk.</w:t>
      </w:r>
    </w:p>
    <w:p>
      <w:pPr>
        <w:pStyle w:val="TextBody"/>
        <w:rPr>
          <w:b/>
          <w:b/>
        </w:rPr>
      </w:pPr>
      <w:r>
        <w:rPr>
          <w:b/>
        </w:rPr>
      </w:r>
      <w:r>
        <w:br w:type="page"/>
      </w:r>
    </w:p>
    <w:p>
      <w:pPr>
        <w:pStyle w:val="TextBody"/>
        <w:rPr/>
      </w:pPr>
      <w:r>
        <w:rPr>
          <w:b/>
        </w:rPr>
        <w:t>Author information</w:t>
      </w:r>
    </w:p>
    <w:p>
      <w:pPr>
        <w:pStyle w:val="Compact"/>
        <w:numPr>
          <w:ilvl w:val="0"/>
          <w:numId w:val="1"/>
        </w:numPr>
        <w:rPr/>
      </w:pPr>
      <w:r>
        <w:rPr/>
        <w:t>Presenting author contact:</w:t>
      </w:r>
    </w:p>
    <w:p>
      <w:pPr>
        <w:pStyle w:val="Compact"/>
        <w:numPr>
          <w:ilvl w:val="1"/>
          <w:numId w:val="2"/>
        </w:numPr>
        <w:rPr/>
      </w:pPr>
      <w:r>
        <w:rPr/>
        <w:t>Name: Luke W. Johnston</w:t>
      </w:r>
    </w:p>
    <w:p>
      <w:pPr>
        <w:pStyle w:val="Compact"/>
        <w:numPr>
          <w:ilvl w:val="1"/>
          <w:numId w:val="2"/>
        </w:numPr>
        <w:rPr/>
      </w:pPr>
      <w:r>
        <w:rPr/>
        <w:t>Telephone: +16474606580</w:t>
      </w:r>
    </w:p>
    <w:p>
      <w:pPr>
        <w:pStyle w:val="Compact"/>
        <w:numPr>
          <w:ilvl w:val="1"/>
          <w:numId w:val="2"/>
        </w:numPr>
        <w:rPr/>
      </w:pPr>
      <w:r>
        <w:rPr/>
        <w:t xml:space="preserve">Email: </w:t>
      </w:r>
      <w:hyperlink r:id="rId2">
        <w:r>
          <w:rPr>
            <w:rStyle w:val="InternetLink"/>
          </w:rPr>
          <w:t>luke.johnston@mail.utoronto.ca</w:t>
        </w:r>
      </w:hyperlink>
    </w:p>
    <w:p>
      <w:pPr>
        <w:pStyle w:val="Compact"/>
        <w:numPr>
          <w:ilvl w:val="0"/>
          <w:numId w:val="1"/>
        </w:numPr>
        <w:rPr/>
      </w:pPr>
      <w:r>
        <w:rPr/>
        <w:t>Presentation preferred: Either oral or poster</w:t>
      </w:r>
    </w:p>
    <w:p>
      <w:pPr>
        <w:pStyle w:val="Compact"/>
        <w:numPr>
          <w:ilvl w:val="0"/>
          <w:numId w:val="1"/>
        </w:numPr>
        <w:spacing w:before="36" w:after="36"/>
        <w:rPr/>
      </w:pPr>
      <w:r>
        <w:rPr/>
        <w:t>I am a younger researcher: Post Doctorate researcher</w:t>
      </w:r>
    </w:p>
    <w:sectPr>
      <w:type w:val="nextPage"/>
      <w:pgSz w:w="11906" w:h="16838"/>
      <w:pgMar w:left="1417" w:right="1417" w:header="0" w:top="1417" w:footer="0" w:bottom="1417" w:gutter="0"/>
      <w:pgNumType w:fmt="decimal"/>
      <w:formProt w:val="false"/>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thony Hanley" w:date="2018-01-07T16:30:00Z" w:initials="AH">
    <w:p>
      <w:r>
        <w:rPr>
          <w:rFonts w:ascii="Liberation Serif" w:hAnsi="Liberation Serif" w:eastAsia="DejaVu Sans" w:cs="DejaVu Sans"/>
          <w:color w:val="auto"/>
          <w:sz w:val="24"/>
          <w:lang w:val="en-US" w:eastAsia="en-US" w:bidi="en-US"/>
        </w:rPr>
        <w:t>The current wording of the title, in particular the phrase “A … Composition …” is awkward.  I think the title needs to reflect that you are evaluating patterns (or clusters). Consider something like:</w:t>
      </w:r>
    </w:p>
    <w:p>
      <w:r>
        <w:rPr>
          <w:rFonts w:ascii="Liberation Serif" w:hAnsi="Liberation Serif" w:eastAsia="DejaVu Sans" w:cs="DejaVu Sans"/>
          <w:color w:val="auto"/>
          <w:sz w:val="24"/>
          <w:lang w:val="en-US" w:eastAsia="en-US" w:bidi="en-US"/>
        </w:rPr>
      </w:r>
    </w:p>
    <w:p>
      <w:r>
        <w:rPr>
          <w:rFonts w:ascii="Liberation Serif" w:hAnsi="Liberation Serif" w:eastAsia="DejaVu Sans" w:cs="DejaVu Sans"/>
          <w:color w:val="auto"/>
          <w:sz w:val="24"/>
          <w:lang w:val="en-US" w:eastAsia="en-US" w:bidi="en-US"/>
        </w:rPr>
        <w:t>“Specific Patterns {Clusters} of Fatty Acids across Multiple {Serum} Lipid Fractions Associate with Pathophysiological Features underlying Type 2 Diabetes in the  …”</w:t>
      </w:r>
    </w:p>
    <w:p>
      <w:r>
        <w:rPr>
          <w:rFonts w:ascii="Liberation Serif" w:hAnsi="Liberation Serif" w:eastAsia="DejaVu Sans" w:cs="DejaVu Sans"/>
          <w:color w:val="auto"/>
          <w:sz w:val="24"/>
          <w:lang w:val="en-US" w:eastAsia="en-US" w:bidi="en-US"/>
        </w:rPr>
      </w:r>
    </w:p>
    <w:p>
      <w:r>
        <w:rPr>
          <w:rFonts w:ascii="Liberation Serif" w:hAnsi="Liberation Serif" w:eastAsia="DejaVu Sans" w:cs="DejaVu Sans"/>
          <w:color w:val="auto"/>
          <w:sz w:val="24"/>
          <w:lang w:val="en-US" w:eastAsia="en-US" w:bidi="en-US"/>
        </w:rPr>
      </w:r>
    </w:p>
    <w:p>
      <w:r>
        <w:rPr>
          <w:rFonts w:ascii="Liberation Serif" w:hAnsi="Liberation Serif" w:eastAsia="DejaVu Sans" w:cs="DejaVu Sans"/>
          <w:color w:val="auto"/>
          <w:sz w:val="24"/>
          <w:lang w:val="en-US" w:eastAsia="en-US" w:bidi="en-US"/>
        </w:rPr>
      </w:r>
    </w:p>
    <w:p>
      <w:r>
        <w:rPr>
          <w:rFonts w:ascii="Liberation Serif" w:hAnsi="Liberation Serif" w:eastAsia="DejaVu Sans" w:cs="DejaVu Sans"/>
          <w:color w:val="auto"/>
          <w:sz w:val="24"/>
          <w:lang w:val="en-US" w:eastAsia="en-US" w:bidi="en-US"/>
        </w:rPr>
      </w:r>
    </w:p>
  </w:comment>
  <w:comment w:id="1" w:author="Anthony Hanley" w:date="2018-01-07T16:30:00Z" w:initials="AH">
    <w:p>
      <w:r>
        <w:rPr>
          <w:rFonts w:ascii="Liberation Serif" w:hAnsi="Liberation Serif" w:eastAsia="DejaVu Sans" w:cs="DejaVu Sans"/>
          <w:color w:val="auto"/>
          <w:sz w:val="24"/>
          <w:lang w:val="en-US" w:eastAsia="en-US" w:bidi="en-US"/>
        </w:rPr>
        <w:t>Ravi 3</w:t>
      </w:r>
      <w:r>
        <w:rPr>
          <w:rFonts w:ascii="Liberation Serif" w:hAnsi="Liberation Serif" w:eastAsia="DejaVu Sans" w:cs="DejaVu Sans"/>
          <w:color w:val="auto"/>
          <w:sz w:val="24"/>
          <w:vertAlign w:val="superscript"/>
          <w:lang w:val="en-US" w:eastAsia="en-US" w:bidi="en-US"/>
        </w:rPr>
        <w:t>rd</w:t>
      </w:r>
      <w:r>
        <w:rPr>
          <w:rFonts w:ascii="Liberation Serif" w:hAnsi="Liberation Serif" w:eastAsia="DejaVu Sans" w:cs="DejaVu Sans"/>
          <w:color w:val="auto"/>
          <w:sz w:val="24"/>
          <w:lang w:val="en-US" w:eastAsia="en-US" w:bidi="en-US"/>
        </w:rPr>
        <w:t>, Stewart 4</w:t>
      </w:r>
      <w:r>
        <w:rPr>
          <w:rFonts w:ascii="Liberation Serif" w:hAnsi="Liberation Serif" w:eastAsia="DejaVu Sans" w:cs="DejaVu Sans"/>
          <w:color w:val="auto"/>
          <w:sz w:val="24"/>
          <w:vertAlign w:val="superscript"/>
          <w:lang w:val="en-US" w:eastAsia="en-US" w:bidi="en-US"/>
        </w:rPr>
        <w:t>th</w:t>
      </w:r>
    </w:p>
    <w:p>
      <w:r>
        <w:rPr>
          <w:rFonts w:ascii="Liberation Serif" w:hAnsi="Liberation Serif" w:eastAsia="DejaVu Sans" w:cs="DejaVu Sans"/>
          <w:color w:val="auto"/>
          <w:sz w:val="24"/>
          <w:lang w:val="en-US" w:eastAsia="en-US" w:bidi="en-US"/>
        </w:rPr>
      </w:r>
    </w:p>
  </w:comment>
  <w:comment w:id="2" w:author="Anthony Hanley" w:date="2018-01-07T16:51:00Z" w:initials="AH">
    <w:p>
      <w:r>
        <w:rPr>
          <w:rFonts w:ascii="Liberation Serif" w:hAnsi="Liberation Serif" w:eastAsia="DejaVu Sans" w:cs="DejaVu Sans"/>
          <w:color w:val="auto"/>
          <w:sz w:val="24"/>
          <w:lang w:val="en-US" w:eastAsia="en-US" w:bidi="en-US"/>
        </w:rPr>
        <w:t>You may not need this sentence if you are tight for space … if kept, it needs re-wording … let me know</w:t>
      </w:r>
    </w:p>
  </w:comment>
  <w:comment w:id="3" w:author="Anthony Hanley" w:date="2018-01-07T16:53:00Z" w:initials="AH">
    <w:p>
      <w:r>
        <w:rPr>
          <w:rFonts w:ascii="Liberation Serif" w:hAnsi="Liberation Serif" w:eastAsia="DejaVu Sans" w:cs="DejaVu Sans"/>
          <w:color w:val="auto"/>
          <w:sz w:val="24"/>
          <w:lang w:val="en-US" w:eastAsia="en-US" w:bidi="en-US"/>
        </w:rPr>
        <w:t>“ … and their association with …”</w:t>
      </w:r>
    </w:p>
  </w:comment>
  <w:comment w:id="4" w:author="Anthony Hanley" w:date="2018-01-07T16:37:00Z" w:initials="AH">
    <w:p>
      <w:r>
        <w:rPr>
          <w:rFonts w:ascii="Liberation Serif" w:hAnsi="Liberation Serif" w:eastAsia="DejaVu Sans" w:cs="DejaVu Sans"/>
          <w:color w:val="auto"/>
          <w:sz w:val="24"/>
          <w:lang w:val="en-US" w:eastAsia="en-US" w:bidi="en-US"/>
        </w:rPr>
        <w:t>Alternatively, the wording here could be:</w:t>
      </w:r>
    </w:p>
    <w:p>
      <w:r>
        <w:rPr>
          <w:rFonts w:ascii="Liberation Serif" w:hAnsi="Liberation Serif" w:eastAsia="DejaVu Sans" w:cs="DejaVu Sans"/>
          <w:color w:val="auto"/>
          <w:sz w:val="24"/>
          <w:lang w:val="en-US" w:eastAsia="en-US" w:bidi="en-US"/>
        </w:rPr>
        <w:t>“Adults at risk for diabetes (n=477) had blood samples drawn fasting and during an OGTT.”</w:t>
      </w:r>
    </w:p>
  </w:comment>
  <w:comment w:id="5" w:author="Anthony Hanley" w:date="2018-01-07T16:40:00Z" w:initials="AH">
    <w:p>
      <w:r>
        <w:rPr>
          <w:rFonts w:ascii="Liberation Serif" w:hAnsi="Liberation Serif" w:eastAsia="DejaVu Sans" w:cs="DejaVu Sans"/>
          <w:color w:val="auto"/>
          <w:sz w:val="24"/>
          <w:lang w:val="en-US" w:eastAsia="en-US" w:bidi="en-US"/>
        </w:rPr>
        <w:t>Are you going to include a figure?</w:t>
      </w:r>
    </w:p>
  </w:comment>
  <w:comment w:id="6" w:author="Anthony Hanley" w:date="2018-01-07T16:44:00Z" w:initials="AH">
    <w:p>
      <w:r>
        <w:rPr>
          <w:rFonts w:ascii="Liberation Serif" w:hAnsi="Liberation Serif" w:eastAsia="DejaVu Sans" w:cs="DejaVu Sans"/>
          <w:color w:val="auto"/>
          <w:sz w:val="24"/>
          <w:lang w:val="en-US" w:eastAsia="en-US" w:bidi="en-US"/>
        </w:rPr>
        <w:t>It’s not clear to me what this sentence means …the outcomes seem to be referred to twice</w:t>
      </w:r>
    </w:p>
  </w:comment>
  <w:comment w:id="7" w:author="Anthony Hanley" w:date="2018-01-07T16:45:00Z" w:initials="AH">
    <w:p>
      <w:r>
        <w:rPr>
          <w:rFonts w:ascii="Liberation Serif" w:hAnsi="Liberation Serif" w:eastAsia="DejaVu Sans" w:cs="DejaVu Sans"/>
          <w:color w:val="auto"/>
          <w:sz w:val="24"/>
          <w:lang w:val="en-US" w:eastAsia="en-US" w:bidi="en-US"/>
        </w:rPr>
        <w:t xml:space="preserve">Can we be more precise here?  “Significantly”? </w:t>
      </w:r>
    </w:p>
  </w:comment>
  <w:comment w:id="8" w:author="Anthony Hanley" w:date="2018-01-07T16:42:00Z" w:initials="AH">
    <w:p>
      <w:r>
        <w:rPr>
          <w:rFonts w:ascii="Liberation Serif" w:hAnsi="Liberation Serif" w:eastAsia="DejaVu Sans" w:cs="DejaVu Sans"/>
          <w:color w:val="auto"/>
          <w:sz w:val="24"/>
          <w:lang w:val="en-US" w:eastAsia="en-US" w:bidi="en-US"/>
        </w:rPr>
        <w:t>Is this C1 or C2?</w:t>
      </w:r>
    </w:p>
  </w:comment>
  <w:comment w:id="9" w:author="Anthony Hanley" w:date="2018-01-07T16:42:00Z" w:initials="AH">
    <w:p>
      <w:r>
        <w:rPr>
          <w:rFonts w:ascii="Liberation Serif" w:hAnsi="Liberation Serif" w:eastAsia="DejaVu Sans" w:cs="DejaVu Sans"/>
          <w:color w:val="auto"/>
          <w:sz w:val="24"/>
          <w:lang w:val="en-US" w:eastAsia="en-US" w:bidi="en-US"/>
        </w:rPr>
        <w:t>Is this a similar result to your TG paper?</w:t>
      </w:r>
    </w:p>
  </w:comment>
  <w:comment w:id="10" w:author="Anthony Hanley" w:date="2018-01-07T16:46:00Z" w:initials="AH">
    <w:p>
      <w:r>
        <w:rPr>
          <w:rFonts w:ascii="Liberation Serif" w:hAnsi="Liberation Serif" w:eastAsia="DejaVu Sans" w:cs="DejaVu Sans"/>
          <w:color w:val="auto"/>
          <w:sz w:val="24"/>
          <w:lang w:val="en-US" w:eastAsia="en-US" w:bidi="en-US"/>
        </w:rPr>
        <w:t>Is there a way to quantify this in the Results somehow?</w:t>
      </w:r>
    </w:p>
  </w:comment>
  <w:comment w:id="11" w:author="Anthony Hanley" w:date="2018-01-07T16:43:00Z" w:initials="AH">
    <w:p>
      <w:r>
        <w:rPr>
          <w:rFonts w:ascii="Liberation Serif" w:hAnsi="Liberation Serif" w:eastAsia="DejaVu Sans" w:cs="DejaVu Sans"/>
          <w:color w:val="auto"/>
          <w:sz w:val="24"/>
          <w:lang w:val="en-US" w:eastAsia="en-US" w:bidi="en-US"/>
        </w:rPr>
        <w:t>It’s hard to see this in the Results as currently presented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Cambria" w:cs=""/>
      <w:color w:val="00000A"/>
      <w:sz w:val="20"/>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Annotationreference">
    <w:name w:val="annotation reference"/>
    <w:basedOn w:val="DefaultParagraphFont"/>
    <w:semiHidden/>
    <w:unhideWhenUsed/>
    <w:qFormat/>
    <w:rsid w:val="00781c1e"/>
    <w:rPr>
      <w:sz w:val="16"/>
      <w:szCs w:val="16"/>
    </w:rPr>
  </w:style>
  <w:style w:type="character" w:styleId="CommentTextChar" w:customStyle="1">
    <w:name w:val="Comment Text Char"/>
    <w:basedOn w:val="DefaultParagraphFont"/>
    <w:link w:val="CommentText"/>
    <w:semiHidden/>
    <w:qFormat/>
    <w:rsid w:val="00781c1e"/>
    <w:rPr>
      <w:rFonts w:ascii="Arial" w:hAnsi="Arial"/>
      <w:color w:val="00000A"/>
      <w:szCs w:val="20"/>
    </w:rPr>
  </w:style>
  <w:style w:type="character" w:styleId="CommentSubjectChar" w:customStyle="1">
    <w:name w:val="Comment Subject Char"/>
    <w:basedOn w:val="CommentTextChar"/>
    <w:link w:val="CommentSubject"/>
    <w:semiHidden/>
    <w:qFormat/>
    <w:rsid w:val="00781c1e"/>
    <w:rPr>
      <w:rFonts w:ascii="Arial" w:hAnsi="Arial"/>
      <w:b/>
      <w:bCs/>
      <w:color w:val="00000A"/>
      <w:szCs w:val="20"/>
    </w:rPr>
  </w:style>
  <w:style w:type="character" w:styleId="BalloonTextChar" w:customStyle="1">
    <w:name w:val="Balloon Text Char"/>
    <w:basedOn w:val="DefaultParagraphFont"/>
    <w:link w:val="BalloonText"/>
    <w:semiHidden/>
    <w:qFormat/>
    <w:rsid w:val="00781c1e"/>
    <w:rPr>
      <w:rFonts w:ascii="Segoe UI" w:hAnsi="Segoe UI" w:cs="Segoe UI"/>
      <w:color w:val="00000A"/>
      <w:sz w:val="18"/>
      <w:szCs w:val="18"/>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color w:val="00000A"/>
      <w:sz w:val="24"/>
      <w:szCs w:val="24"/>
      <w:lang w:val="en-US" w:eastAsia="en-US" w:bidi="ar-SA"/>
    </w:rPr>
  </w:style>
  <w:style w:type="paragraph" w:styleId="Abstract" w:customStyle="1">
    <w:name w:val="Abstract"/>
    <w:basedOn w:val="Normal"/>
    <w:qFormat/>
    <w:pPr>
      <w:keepNext/>
      <w:keepLines/>
      <w:spacing w:before="300" w:after="300"/>
    </w:pPr>
    <w:rPr>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pPr>
    <w:rPr>
      <w:b/>
    </w:rPr>
  </w:style>
  <w:style w:type="paragraph" w:styleId="Definition" w:customStyle="1">
    <w:name w:val="Definition"/>
    <w:basedOn w:val="Normal"/>
    <w:qFormat/>
    <w:pPr/>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Annotationtext">
    <w:name w:val="annotation text"/>
    <w:basedOn w:val="Normal"/>
    <w:link w:val="CommentTextChar"/>
    <w:semiHidden/>
    <w:unhideWhenUsed/>
    <w:qFormat/>
    <w:rsid w:val="00781c1e"/>
    <w:pPr/>
    <w:rPr>
      <w:szCs w:val="20"/>
    </w:rPr>
  </w:style>
  <w:style w:type="paragraph" w:styleId="Annotationsubject">
    <w:name w:val="annotation subject"/>
    <w:basedOn w:val="Annotationtext"/>
    <w:link w:val="CommentSubjectChar"/>
    <w:semiHidden/>
    <w:unhideWhenUsed/>
    <w:qFormat/>
    <w:rsid w:val="00781c1e"/>
    <w:pPr/>
    <w:rPr>
      <w:b/>
      <w:bCs/>
    </w:rPr>
  </w:style>
  <w:style w:type="paragraph" w:styleId="BalloonText">
    <w:name w:val="Balloon Text"/>
    <w:basedOn w:val="Normal"/>
    <w:link w:val="BalloonTextChar"/>
    <w:semiHidden/>
    <w:unhideWhenUsed/>
    <w:qFormat/>
    <w:rsid w:val="00781c1e"/>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uke.johnston@mail.utoronto.ca"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LibreOffice/5.1.6.2$Linux_X86_64 LibreOffice_project/10m0$Build-2</Application>
  <Pages>2</Pages>
  <Words>492</Words>
  <CharactersWithSpaces>2805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2018-01-07T21:23:00Z</dcterms:created>
  <dc:creator>Anthony Hanley</dc:creator>
  <dc:description/>
  <dc:language>en-CA</dc:language>
  <cp:lastModifiedBy>Anthony Hanley</cp:lastModifiedBy>
  <dcterms:modified xsi:type="dcterms:W3CDTF">2018-01-07T21:58:00Z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