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3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44"/>
        <w:gridCol w:w="1079"/>
        <w:gridCol w:w="1094"/>
        <w:gridCol w:w="269"/>
        <w:gridCol w:w="1679"/>
        <w:gridCol w:w="2173"/>
        <w:gridCol w:w="240"/>
        <w:gridCol w:w="1079"/>
        <w:gridCol w:w="1079"/>
      </w:tblGrid>
      <w:tr w14:paraId="0C1C4762">
        <w:trPr>
          <w:trHeight w:val="1127" w:hRule="exact"/>
        </w:trPr>
        <w:tc>
          <w:tcPr>
            <w:tcW w:w="644"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FED3372">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317022E">
            <w:pPr>
              <w:rPr>
                <w:rFonts w:hint="default"/>
                <w:sz w:val="24"/>
                <w:szCs w:val="24"/>
              </w:rPr>
            </w:pPr>
          </w:p>
        </w:tc>
        <w:tc>
          <w:tcPr>
            <w:tcW w:w="109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EFBE3FF">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9B566E3">
            <w:pPr>
              <w:rPr>
                <w:rFonts w:hint="default"/>
                <w:sz w:val="24"/>
                <w:szCs w:val="24"/>
              </w:rPr>
            </w:pPr>
          </w:p>
        </w:tc>
        <w:tc>
          <w:tcPr>
            <w:tcW w:w="3852"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BB29001">
            <w:pPr>
              <w:spacing w:line="320" w:lineRule="atLeast"/>
              <w:rPr>
                <w:rFonts w:hint="default"/>
                <w:sz w:val="24"/>
                <w:szCs w:val="24"/>
              </w:rPr>
            </w:pPr>
            <w:r>
              <w:rPr>
                <w:rFonts w:hint="default"/>
                <w:sz w:val="24"/>
                <w:szCs w:val="24"/>
              </w:rPr>
              <w:drawing>
                <wp:inline distT="0" distB="0" distL="114300" distR="114300">
                  <wp:extent cx="1752600" cy="618490"/>
                  <wp:effectExtent l="0" t="0" r="0"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1752600" cy="618490"/>
                          </a:xfrm>
                          <a:prstGeom prst="rect">
                            <a:avLst/>
                          </a:prstGeom>
                          <a:noFill/>
                          <a:ln>
                            <a:noFill/>
                          </a:ln>
                        </pic:spPr>
                      </pic:pic>
                    </a:graphicData>
                  </a:graphic>
                </wp:inline>
              </w:drawing>
            </w:r>
          </w:p>
        </w:tc>
        <w:tc>
          <w:tcPr>
            <w:tcW w:w="240"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89A94E5">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0BEC2FD">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3E0B958">
            <w:pPr>
              <w:rPr>
                <w:rFonts w:hint="default"/>
                <w:sz w:val="24"/>
                <w:szCs w:val="24"/>
              </w:rPr>
            </w:pPr>
          </w:p>
        </w:tc>
      </w:tr>
      <w:tr w14:paraId="50CB81C6">
        <w:trPr>
          <w:trHeight w:val="1800" w:hRule="exact"/>
        </w:trPr>
        <w:tc>
          <w:tcPr>
            <w:tcW w:w="9336" w:type="dxa"/>
            <w:gridSpan w:val="9"/>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1C06DCA">
            <w:pPr>
              <w:spacing w:line="624" w:lineRule="exact"/>
              <w:ind w:left="20"/>
              <w:jc w:val="center"/>
              <w:rPr>
                <w:rFonts w:hint="eastAsia" w:ascii="宋体" w:hAnsi="宋体"/>
                <w:sz w:val="52"/>
                <w:szCs w:val="24"/>
              </w:rPr>
            </w:pPr>
            <w:r>
              <w:rPr>
                <w:rFonts w:hint="eastAsia" w:ascii="宋体" w:hAnsi="宋体"/>
                <w:b/>
                <w:sz w:val="52"/>
                <w:szCs w:val="24"/>
              </w:rPr>
              <w:t>研究生学位论文开题报告书</w:t>
            </w:r>
          </w:p>
        </w:tc>
      </w:tr>
      <w:tr w14:paraId="7E0380CE">
        <w:trPr>
          <w:trHeight w:val="660" w:hRule="exact"/>
        </w:trPr>
        <w:tc>
          <w:tcPr>
            <w:tcW w:w="644"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849B443">
            <w:pPr>
              <w:rPr>
                <w:rFonts w:hint="default"/>
                <w:sz w:val="24"/>
                <w:szCs w:val="24"/>
              </w:rPr>
            </w:pPr>
          </w:p>
        </w:tc>
        <w:tc>
          <w:tcPr>
            <w:tcW w:w="2173"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EF283FA">
            <w:pPr>
              <w:spacing w:line="312" w:lineRule="exact"/>
              <w:rPr>
                <w:rFonts w:hint="eastAsia" w:ascii="宋体" w:hAnsi="宋体"/>
                <w:sz w:val="26"/>
                <w:szCs w:val="24"/>
              </w:rPr>
            </w:pPr>
            <w:r>
              <w:rPr>
                <w:rFonts w:hint="eastAsia" w:ascii="宋体" w:hAnsi="宋体"/>
                <w:sz w:val="26"/>
                <w:szCs w:val="24"/>
              </w:rPr>
              <w:t>论文题目</w:t>
            </w: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29D7672">
            <w:pPr>
              <w:rPr>
                <w:rFonts w:hint="default"/>
                <w:sz w:val="24"/>
                <w:szCs w:val="24"/>
              </w:rPr>
            </w:pPr>
          </w:p>
        </w:tc>
        <w:tc>
          <w:tcPr>
            <w:tcW w:w="6250" w:type="dxa"/>
            <w:gridSpan w:val="5"/>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02848092">
            <w:pPr>
              <w:keepNext w:val="0"/>
              <w:keepLines w:val="0"/>
              <w:widowControl/>
              <w:suppressLineNumbers w:val="0"/>
              <w:jc w:val="left"/>
            </w:pPr>
            <w:r>
              <w:rPr>
                <w:rFonts w:hint="default" w:ascii="宋体" w:hAnsi="宋体" w:eastAsia="宋体" w:cs="宋体"/>
                <w:b/>
                <w:bCs/>
                <w:color w:val="000000"/>
                <w:kern w:val="0"/>
                <w:sz w:val="24"/>
                <w:szCs w:val="24"/>
                <w:lang w:val="en-US" w:eastAsia="zh-CN" w:bidi="ar"/>
              </w:rPr>
              <w:t>基于读写频率耦合互补性的闪存数据放置算法研究</w:t>
            </w:r>
          </w:p>
          <w:p w14:paraId="69080F68">
            <w:pPr>
              <w:spacing w:line="312" w:lineRule="exact"/>
              <w:ind w:left="20"/>
              <w:rPr>
                <w:rFonts w:hint="eastAsia" w:ascii="宋体" w:hAnsi="宋体"/>
                <w:sz w:val="26"/>
                <w:szCs w:val="24"/>
              </w:rPr>
            </w:pPr>
          </w:p>
        </w:tc>
      </w:tr>
      <w:tr w14:paraId="765BA2C3">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3643FDAB">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41DAAD6">
            <w:pPr>
              <w:rPr>
                <w:rFonts w:hint="default"/>
                <w:sz w:val="24"/>
                <w:szCs w:val="24"/>
              </w:rPr>
            </w:pPr>
          </w:p>
        </w:tc>
        <w:tc>
          <w:tcPr>
            <w:tcW w:w="109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6ABBD0F">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B721515">
            <w:pPr>
              <w:rPr>
                <w:rFonts w:hint="default"/>
                <w:sz w:val="24"/>
                <w:szCs w:val="24"/>
              </w:rPr>
            </w:pPr>
          </w:p>
        </w:tc>
        <w:tc>
          <w:tcPr>
            <w:tcW w:w="16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C0E1C33">
            <w:pPr>
              <w:rPr>
                <w:rFonts w:hint="default"/>
                <w:sz w:val="24"/>
                <w:szCs w:val="24"/>
              </w:rPr>
            </w:pPr>
          </w:p>
        </w:tc>
        <w:tc>
          <w:tcPr>
            <w:tcW w:w="217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89A767E">
            <w:pPr>
              <w:rPr>
                <w:rFonts w:hint="default"/>
                <w:sz w:val="24"/>
                <w:szCs w:val="24"/>
              </w:rPr>
            </w:pPr>
          </w:p>
        </w:tc>
        <w:tc>
          <w:tcPr>
            <w:tcW w:w="24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E6C0B3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35C71DC">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7257467">
            <w:pPr>
              <w:rPr>
                <w:rFonts w:hint="default"/>
                <w:sz w:val="24"/>
                <w:szCs w:val="24"/>
              </w:rPr>
            </w:pPr>
          </w:p>
        </w:tc>
      </w:tr>
      <w:tr w14:paraId="73E54071">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04C67BE">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F7A84CA">
            <w:pPr>
              <w:rPr>
                <w:rFonts w:hint="default"/>
                <w:sz w:val="24"/>
                <w:szCs w:val="24"/>
              </w:rPr>
            </w:pPr>
          </w:p>
        </w:tc>
        <w:tc>
          <w:tcPr>
            <w:tcW w:w="109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677470A">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4C7B7EB">
            <w:pPr>
              <w:rPr>
                <w:rFonts w:hint="default"/>
                <w:sz w:val="24"/>
                <w:szCs w:val="24"/>
              </w:rPr>
            </w:pPr>
          </w:p>
        </w:tc>
        <w:tc>
          <w:tcPr>
            <w:tcW w:w="16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7E45E0C">
            <w:pPr>
              <w:rPr>
                <w:rFonts w:hint="default"/>
                <w:sz w:val="24"/>
                <w:szCs w:val="24"/>
              </w:rPr>
            </w:pPr>
          </w:p>
        </w:tc>
        <w:tc>
          <w:tcPr>
            <w:tcW w:w="217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2031412">
            <w:pPr>
              <w:rPr>
                <w:rFonts w:hint="default"/>
                <w:sz w:val="24"/>
                <w:szCs w:val="24"/>
              </w:rPr>
            </w:pPr>
          </w:p>
        </w:tc>
        <w:tc>
          <w:tcPr>
            <w:tcW w:w="24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B8E8AB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996764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BD5798D">
            <w:pPr>
              <w:rPr>
                <w:rFonts w:hint="default"/>
                <w:sz w:val="24"/>
                <w:szCs w:val="24"/>
              </w:rPr>
            </w:pPr>
          </w:p>
        </w:tc>
      </w:tr>
      <w:tr w14:paraId="744D3130">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C1C67C0">
            <w:pPr>
              <w:rPr>
                <w:rFonts w:hint="default"/>
                <w:sz w:val="24"/>
                <w:szCs w:val="24"/>
              </w:rPr>
            </w:pPr>
          </w:p>
        </w:tc>
        <w:tc>
          <w:tcPr>
            <w:tcW w:w="2173"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6C1E6CD">
            <w:pPr>
              <w:spacing w:line="312" w:lineRule="exact"/>
              <w:rPr>
                <w:rFonts w:hint="eastAsia" w:ascii="宋体" w:hAnsi="宋体"/>
                <w:sz w:val="26"/>
                <w:szCs w:val="24"/>
              </w:rPr>
            </w:pPr>
            <w:r>
              <w:rPr>
                <w:rFonts w:hint="eastAsia" w:ascii="宋体" w:hAnsi="宋体"/>
                <w:sz w:val="26"/>
                <w:szCs w:val="24"/>
              </w:rPr>
              <w:t>层次</w:t>
            </w: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0AB2033">
            <w:pPr>
              <w:rPr>
                <w:rFonts w:hint="default"/>
                <w:sz w:val="24"/>
                <w:szCs w:val="24"/>
              </w:rPr>
            </w:pPr>
          </w:p>
        </w:tc>
        <w:tc>
          <w:tcPr>
            <w:tcW w:w="5171"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4A46B1B0">
            <w:pPr>
              <w:spacing w:line="312" w:lineRule="exact"/>
              <w:ind w:left="20"/>
              <w:rPr>
                <w:rFonts w:hint="eastAsia" w:ascii="宋体" w:hAnsi="宋体"/>
                <w:sz w:val="26"/>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111BE6F">
            <w:pPr>
              <w:rPr>
                <w:rFonts w:hint="default"/>
                <w:sz w:val="24"/>
                <w:szCs w:val="24"/>
              </w:rPr>
            </w:pPr>
          </w:p>
        </w:tc>
      </w:tr>
      <w:tr w14:paraId="3CF166B0">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B02CB27">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76BD964">
            <w:pPr>
              <w:rPr>
                <w:rFonts w:hint="default"/>
                <w:sz w:val="24"/>
                <w:szCs w:val="24"/>
              </w:rPr>
            </w:pPr>
          </w:p>
        </w:tc>
        <w:tc>
          <w:tcPr>
            <w:tcW w:w="1094"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770495F">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2994528">
            <w:pPr>
              <w:rPr>
                <w:rFonts w:hint="default"/>
                <w:sz w:val="24"/>
                <w:szCs w:val="24"/>
              </w:rPr>
            </w:pPr>
          </w:p>
        </w:tc>
        <w:tc>
          <w:tcPr>
            <w:tcW w:w="16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78C9707">
            <w:pPr>
              <w:rPr>
                <w:rFonts w:hint="default"/>
                <w:sz w:val="24"/>
                <w:szCs w:val="24"/>
              </w:rPr>
            </w:pPr>
          </w:p>
        </w:tc>
        <w:tc>
          <w:tcPr>
            <w:tcW w:w="217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8972B36">
            <w:pPr>
              <w:rPr>
                <w:rFonts w:hint="default"/>
                <w:sz w:val="24"/>
                <w:szCs w:val="24"/>
              </w:rPr>
            </w:pPr>
          </w:p>
        </w:tc>
        <w:tc>
          <w:tcPr>
            <w:tcW w:w="24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1115D8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FFCFE07">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FEF1FF3">
            <w:pPr>
              <w:rPr>
                <w:rFonts w:hint="default"/>
                <w:sz w:val="24"/>
                <w:szCs w:val="24"/>
              </w:rPr>
            </w:pPr>
          </w:p>
        </w:tc>
      </w:tr>
      <w:tr w14:paraId="5F7EBC97">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CEA80E5">
            <w:pPr>
              <w:rPr>
                <w:rFonts w:hint="default"/>
                <w:sz w:val="24"/>
                <w:szCs w:val="24"/>
              </w:rPr>
            </w:pPr>
          </w:p>
        </w:tc>
        <w:tc>
          <w:tcPr>
            <w:tcW w:w="2173"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0EC46E7">
            <w:pPr>
              <w:spacing w:line="312" w:lineRule="exact"/>
              <w:rPr>
                <w:rFonts w:hint="eastAsia" w:ascii="宋体" w:hAnsi="宋体"/>
                <w:sz w:val="26"/>
                <w:szCs w:val="24"/>
              </w:rPr>
            </w:pPr>
            <w:r>
              <w:rPr>
                <w:rFonts w:hint="eastAsia" w:ascii="宋体" w:hAnsi="宋体"/>
                <w:sz w:val="26"/>
                <w:szCs w:val="24"/>
              </w:rPr>
              <w:t>研究生姓名</w:t>
            </w: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FE9E7A9">
            <w:pPr>
              <w:rPr>
                <w:rFonts w:hint="default"/>
                <w:sz w:val="24"/>
                <w:szCs w:val="24"/>
              </w:rPr>
            </w:pPr>
          </w:p>
        </w:tc>
        <w:tc>
          <w:tcPr>
            <w:tcW w:w="5171"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7DF0F994">
            <w:pPr>
              <w:spacing w:line="312" w:lineRule="exact"/>
              <w:ind w:left="20"/>
              <w:rPr>
                <w:rFonts w:hint="eastAsia" w:ascii="宋体" w:hAnsi="宋体" w:eastAsia="宋体"/>
                <w:sz w:val="26"/>
                <w:szCs w:val="24"/>
                <w:lang w:val="en-US" w:eastAsia="zh-CN"/>
              </w:rPr>
            </w:pPr>
            <w:r>
              <w:rPr>
                <w:rFonts w:hint="eastAsia" w:ascii="宋体" w:hAnsi="宋体"/>
                <w:sz w:val="26"/>
                <w:szCs w:val="24"/>
                <w:lang w:val="en-US" w:eastAsia="zh-CN"/>
              </w:rPr>
              <w:t>刘文科</w:t>
            </w: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BA04736">
            <w:pPr>
              <w:rPr>
                <w:rFonts w:hint="default"/>
                <w:sz w:val="24"/>
                <w:szCs w:val="24"/>
              </w:rPr>
            </w:pPr>
          </w:p>
        </w:tc>
      </w:tr>
      <w:tr w14:paraId="49604ED9">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5C3793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5DAA99E">
            <w:pPr>
              <w:rPr>
                <w:rFonts w:hint="default"/>
                <w:sz w:val="24"/>
                <w:szCs w:val="24"/>
              </w:rPr>
            </w:pPr>
          </w:p>
        </w:tc>
        <w:tc>
          <w:tcPr>
            <w:tcW w:w="1094"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99B13AE">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8591A5E">
            <w:pPr>
              <w:rPr>
                <w:rFonts w:hint="default"/>
                <w:sz w:val="24"/>
                <w:szCs w:val="24"/>
              </w:rPr>
            </w:pPr>
          </w:p>
        </w:tc>
        <w:tc>
          <w:tcPr>
            <w:tcW w:w="16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68779AC">
            <w:pPr>
              <w:rPr>
                <w:rFonts w:hint="default"/>
                <w:sz w:val="24"/>
                <w:szCs w:val="24"/>
              </w:rPr>
            </w:pPr>
          </w:p>
        </w:tc>
        <w:tc>
          <w:tcPr>
            <w:tcW w:w="217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9E5AE16">
            <w:pPr>
              <w:rPr>
                <w:rFonts w:hint="default"/>
                <w:sz w:val="24"/>
                <w:szCs w:val="24"/>
              </w:rPr>
            </w:pPr>
          </w:p>
        </w:tc>
        <w:tc>
          <w:tcPr>
            <w:tcW w:w="24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8D6A12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C429C5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3DCA6FE">
            <w:pPr>
              <w:rPr>
                <w:rFonts w:hint="default"/>
                <w:sz w:val="24"/>
                <w:szCs w:val="24"/>
              </w:rPr>
            </w:pPr>
          </w:p>
        </w:tc>
      </w:tr>
      <w:tr w14:paraId="602B690E">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3165ADC4">
            <w:pPr>
              <w:rPr>
                <w:rFonts w:hint="default"/>
                <w:sz w:val="24"/>
                <w:szCs w:val="24"/>
              </w:rPr>
            </w:pPr>
          </w:p>
        </w:tc>
        <w:tc>
          <w:tcPr>
            <w:tcW w:w="2173"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054B7A8">
            <w:pPr>
              <w:spacing w:line="312" w:lineRule="exact"/>
              <w:rPr>
                <w:rFonts w:hint="eastAsia" w:ascii="宋体" w:hAnsi="宋体"/>
                <w:sz w:val="26"/>
                <w:szCs w:val="24"/>
              </w:rPr>
            </w:pPr>
            <w:r>
              <w:rPr>
                <w:rFonts w:hint="eastAsia" w:ascii="宋体" w:hAnsi="宋体"/>
                <w:sz w:val="26"/>
                <w:szCs w:val="24"/>
              </w:rPr>
              <w:t>导师姓名</w:t>
            </w: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367C6C8">
            <w:pPr>
              <w:rPr>
                <w:rFonts w:hint="default"/>
                <w:sz w:val="24"/>
                <w:szCs w:val="24"/>
              </w:rPr>
            </w:pPr>
          </w:p>
        </w:tc>
        <w:tc>
          <w:tcPr>
            <w:tcW w:w="5171"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66B5D1AE">
            <w:pPr>
              <w:spacing w:line="312" w:lineRule="exact"/>
              <w:ind w:left="20"/>
              <w:rPr>
                <w:rFonts w:hint="default" w:ascii="宋体" w:hAnsi="宋体" w:eastAsia="宋体"/>
                <w:sz w:val="26"/>
                <w:szCs w:val="24"/>
                <w:lang w:val="en-US" w:eastAsia="zh-CN"/>
              </w:rPr>
            </w:pPr>
            <w:r>
              <w:rPr>
                <w:rFonts w:hint="eastAsia" w:ascii="宋体" w:hAnsi="宋体"/>
                <w:sz w:val="26"/>
                <w:szCs w:val="24"/>
                <w:lang w:val="en-US" w:eastAsia="zh-CN"/>
              </w:rPr>
              <w:t>邓玉辉</w:t>
            </w: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20D394A">
            <w:pPr>
              <w:rPr>
                <w:rFonts w:hint="default"/>
                <w:sz w:val="24"/>
                <w:szCs w:val="24"/>
              </w:rPr>
            </w:pPr>
          </w:p>
        </w:tc>
      </w:tr>
      <w:tr w14:paraId="113E26E9">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86C454E">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7C71D4D">
            <w:pPr>
              <w:rPr>
                <w:rFonts w:hint="default"/>
                <w:sz w:val="24"/>
                <w:szCs w:val="24"/>
              </w:rPr>
            </w:pPr>
          </w:p>
        </w:tc>
        <w:tc>
          <w:tcPr>
            <w:tcW w:w="1094"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C561F20">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11F1837">
            <w:pPr>
              <w:rPr>
                <w:rFonts w:hint="default"/>
                <w:sz w:val="24"/>
                <w:szCs w:val="24"/>
              </w:rPr>
            </w:pPr>
          </w:p>
        </w:tc>
        <w:tc>
          <w:tcPr>
            <w:tcW w:w="16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94C936F">
            <w:pPr>
              <w:rPr>
                <w:rFonts w:hint="default"/>
                <w:sz w:val="24"/>
                <w:szCs w:val="24"/>
              </w:rPr>
            </w:pPr>
          </w:p>
        </w:tc>
        <w:tc>
          <w:tcPr>
            <w:tcW w:w="217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2F8C234">
            <w:pPr>
              <w:rPr>
                <w:rFonts w:hint="default"/>
                <w:sz w:val="24"/>
                <w:szCs w:val="24"/>
              </w:rPr>
            </w:pPr>
          </w:p>
        </w:tc>
        <w:tc>
          <w:tcPr>
            <w:tcW w:w="24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E79DC69">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2A5463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7EF73FC">
            <w:pPr>
              <w:rPr>
                <w:rFonts w:hint="default"/>
                <w:sz w:val="24"/>
                <w:szCs w:val="24"/>
              </w:rPr>
            </w:pPr>
          </w:p>
        </w:tc>
      </w:tr>
      <w:tr w14:paraId="387FDB71">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DDAEE08">
            <w:pPr>
              <w:rPr>
                <w:rFonts w:hint="default"/>
                <w:sz w:val="24"/>
                <w:szCs w:val="24"/>
              </w:rPr>
            </w:pPr>
          </w:p>
        </w:tc>
        <w:tc>
          <w:tcPr>
            <w:tcW w:w="2173"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C40275D">
            <w:pPr>
              <w:spacing w:line="312" w:lineRule="exact"/>
              <w:rPr>
                <w:rFonts w:hint="eastAsia" w:ascii="宋体" w:hAnsi="宋体"/>
                <w:sz w:val="26"/>
                <w:szCs w:val="24"/>
              </w:rPr>
            </w:pPr>
            <w:r>
              <w:rPr>
                <w:rFonts w:hint="eastAsia" w:ascii="宋体" w:hAnsi="宋体"/>
                <w:sz w:val="26"/>
                <w:szCs w:val="24"/>
              </w:rPr>
              <w:t>学院</w:t>
            </w: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D97657D">
            <w:pPr>
              <w:rPr>
                <w:rFonts w:hint="default"/>
                <w:sz w:val="24"/>
                <w:szCs w:val="24"/>
              </w:rPr>
            </w:pPr>
          </w:p>
        </w:tc>
        <w:tc>
          <w:tcPr>
            <w:tcW w:w="5171"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2BB74897">
            <w:pPr>
              <w:spacing w:line="312" w:lineRule="exact"/>
              <w:ind w:left="20"/>
              <w:rPr>
                <w:rFonts w:hint="default" w:ascii="宋体" w:hAnsi="宋体" w:eastAsia="宋体"/>
                <w:sz w:val="26"/>
                <w:szCs w:val="24"/>
                <w:lang w:val="en-US" w:eastAsia="zh-CN"/>
              </w:rPr>
            </w:pPr>
            <w:r>
              <w:rPr>
                <w:rFonts w:hint="eastAsia" w:ascii="宋体" w:hAnsi="宋体"/>
                <w:sz w:val="26"/>
                <w:szCs w:val="24"/>
                <w:lang w:val="en-US" w:eastAsia="zh-CN"/>
              </w:rPr>
              <w:t>信息科学与技术学院</w:t>
            </w: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1F9F1BC">
            <w:pPr>
              <w:rPr>
                <w:rFonts w:hint="default"/>
                <w:sz w:val="24"/>
                <w:szCs w:val="24"/>
              </w:rPr>
            </w:pPr>
          </w:p>
        </w:tc>
      </w:tr>
      <w:tr w14:paraId="30131BCA">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0F183B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F42AAF4">
            <w:pPr>
              <w:rPr>
                <w:rFonts w:hint="default"/>
                <w:sz w:val="24"/>
                <w:szCs w:val="24"/>
              </w:rPr>
            </w:pPr>
          </w:p>
        </w:tc>
        <w:tc>
          <w:tcPr>
            <w:tcW w:w="1094"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66C8DD3">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8782E0E">
            <w:pPr>
              <w:rPr>
                <w:rFonts w:hint="default"/>
                <w:sz w:val="24"/>
                <w:szCs w:val="24"/>
              </w:rPr>
            </w:pPr>
          </w:p>
        </w:tc>
        <w:tc>
          <w:tcPr>
            <w:tcW w:w="16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4DE3EC4">
            <w:pPr>
              <w:rPr>
                <w:rFonts w:hint="default"/>
                <w:sz w:val="24"/>
                <w:szCs w:val="24"/>
              </w:rPr>
            </w:pPr>
          </w:p>
        </w:tc>
        <w:tc>
          <w:tcPr>
            <w:tcW w:w="217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82F13B7">
            <w:pPr>
              <w:rPr>
                <w:rFonts w:hint="default"/>
                <w:sz w:val="24"/>
                <w:szCs w:val="24"/>
              </w:rPr>
            </w:pPr>
          </w:p>
        </w:tc>
        <w:tc>
          <w:tcPr>
            <w:tcW w:w="24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65AC56F">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1EFFB0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9742247">
            <w:pPr>
              <w:rPr>
                <w:rFonts w:hint="default"/>
                <w:sz w:val="24"/>
                <w:szCs w:val="24"/>
              </w:rPr>
            </w:pPr>
          </w:p>
        </w:tc>
      </w:tr>
      <w:tr w14:paraId="582BB9E0">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2217B04">
            <w:pPr>
              <w:rPr>
                <w:rFonts w:hint="default"/>
                <w:sz w:val="24"/>
                <w:szCs w:val="24"/>
              </w:rPr>
            </w:pPr>
          </w:p>
        </w:tc>
        <w:tc>
          <w:tcPr>
            <w:tcW w:w="2173"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9442775">
            <w:pPr>
              <w:spacing w:line="312" w:lineRule="exact"/>
              <w:rPr>
                <w:rFonts w:hint="eastAsia" w:ascii="宋体" w:hAnsi="宋体"/>
                <w:sz w:val="26"/>
                <w:szCs w:val="24"/>
              </w:rPr>
            </w:pPr>
            <w:r>
              <w:rPr>
                <w:rFonts w:hint="eastAsia" w:ascii="宋体" w:hAnsi="宋体"/>
                <w:sz w:val="26"/>
                <w:szCs w:val="24"/>
              </w:rPr>
              <w:t>系（所、中心）</w:t>
            </w: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7D9D219">
            <w:pPr>
              <w:rPr>
                <w:rFonts w:hint="default"/>
                <w:sz w:val="24"/>
                <w:szCs w:val="24"/>
              </w:rPr>
            </w:pPr>
          </w:p>
        </w:tc>
        <w:tc>
          <w:tcPr>
            <w:tcW w:w="5171"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74F53589">
            <w:pPr>
              <w:rPr>
                <w:rFonts w:hint="default" w:eastAsia="宋体"/>
                <w:sz w:val="24"/>
                <w:szCs w:val="24"/>
                <w:lang w:val="en-US" w:eastAsia="zh-CN"/>
              </w:rPr>
            </w:pPr>
            <w:r>
              <w:rPr>
                <w:rFonts w:hint="eastAsia"/>
                <w:sz w:val="24"/>
                <w:szCs w:val="24"/>
                <w:lang w:val="en-US" w:eastAsia="zh-CN"/>
              </w:rPr>
              <w:t>计算机系</w:t>
            </w: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B188E9F">
            <w:pPr>
              <w:rPr>
                <w:rFonts w:hint="default"/>
                <w:sz w:val="24"/>
                <w:szCs w:val="24"/>
              </w:rPr>
            </w:pPr>
          </w:p>
        </w:tc>
      </w:tr>
      <w:tr w14:paraId="5F762B2A">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E63346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5777564">
            <w:pPr>
              <w:rPr>
                <w:rFonts w:hint="default"/>
                <w:sz w:val="24"/>
                <w:szCs w:val="24"/>
              </w:rPr>
            </w:pPr>
          </w:p>
        </w:tc>
        <w:tc>
          <w:tcPr>
            <w:tcW w:w="1094"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42A15D6">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C74A650">
            <w:pPr>
              <w:rPr>
                <w:rFonts w:hint="default"/>
                <w:sz w:val="24"/>
                <w:szCs w:val="24"/>
              </w:rPr>
            </w:pPr>
          </w:p>
        </w:tc>
        <w:tc>
          <w:tcPr>
            <w:tcW w:w="16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5571F78">
            <w:pPr>
              <w:rPr>
                <w:rFonts w:hint="default"/>
                <w:sz w:val="24"/>
                <w:szCs w:val="24"/>
              </w:rPr>
            </w:pPr>
          </w:p>
        </w:tc>
        <w:tc>
          <w:tcPr>
            <w:tcW w:w="217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514EA30">
            <w:pPr>
              <w:rPr>
                <w:rFonts w:hint="default"/>
                <w:sz w:val="24"/>
                <w:szCs w:val="24"/>
              </w:rPr>
            </w:pPr>
          </w:p>
        </w:tc>
        <w:tc>
          <w:tcPr>
            <w:tcW w:w="24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E35674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E01495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DAD0BDB">
            <w:pPr>
              <w:rPr>
                <w:rFonts w:hint="default"/>
                <w:sz w:val="24"/>
                <w:szCs w:val="24"/>
              </w:rPr>
            </w:pPr>
          </w:p>
        </w:tc>
      </w:tr>
      <w:tr w14:paraId="13DCEAD9">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1784346">
            <w:pPr>
              <w:rPr>
                <w:rFonts w:hint="default"/>
                <w:sz w:val="24"/>
                <w:szCs w:val="24"/>
              </w:rPr>
            </w:pPr>
          </w:p>
        </w:tc>
        <w:tc>
          <w:tcPr>
            <w:tcW w:w="2173"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BC6633A">
            <w:pPr>
              <w:spacing w:line="312" w:lineRule="exact"/>
              <w:rPr>
                <w:rFonts w:hint="eastAsia" w:ascii="宋体" w:hAnsi="宋体"/>
                <w:sz w:val="26"/>
                <w:szCs w:val="24"/>
              </w:rPr>
            </w:pPr>
            <w:r>
              <w:rPr>
                <w:rFonts w:hint="eastAsia" w:ascii="宋体" w:hAnsi="宋体"/>
                <w:sz w:val="26"/>
                <w:szCs w:val="24"/>
              </w:rPr>
              <w:t>专业</w:t>
            </w: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ACE3670">
            <w:pPr>
              <w:rPr>
                <w:rFonts w:hint="default"/>
                <w:sz w:val="24"/>
                <w:szCs w:val="24"/>
              </w:rPr>
            </w:pPr>
          </w:p>
        </w:tc>
        <w:tc>
          <w:tcPr>
            <w:tcW w:w="5171"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E587D3E">
            <w:pPr>
              <w:spacing w:line="312" w:lineRule="exact"/>
              <w:ind w:left="20"/>
              <w:rPr>
                <w:rFonts w:hint="default" w:ascii="宋体" w:hAnsi="宋体" w:eastAsia="宋体"/>
                <w:sz w:val="26"/>
                <w:szCs w:val="24"/>
                <w:lang w:val="en-US" w:eastAsia="zh-CN"/>
              </w:rPr>
            </w:pPr>
            <w:r>
              <w:rPr>
                <w:rFonts w:hint="eastAsia" w:ascii="宋体" w:hAnsi="宋体"/>
                <w:sz w:val="26"/>
                <w:szCs w:val="24"/>
                <w:lang w:val="en-US" w:eastAsia="zh-CN"/>
              </w:rPr>
              <w:t>计算机技术</w:t>
            </w: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3305E54">
            <w:pPr>
              <w:rPr>
                <w:rFonts w:hint="default"/>
                <w:sz w:val="24"/>
                <w:szCs w:val="24"/>
              </w:rPr>
            </w:pPr>
          </w:p>
        </w:tc>
      </w:tr>
      <w:tr w14:paraId="21D22A0D">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AB3710F">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204DE47">
            <w:pPr>
              <w:rPr>
                <w:rFonts w:hint="default"/>
                <w:sz w:val="24"/>
                <w:szCs w:val="24"/>
              </w:rPr>
            </w:pPr>
          </w:p>
        </w:tc>
        <w:tc>
          <w:tcPr>
            <w:tcW w:w="1094"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E8B5EB5">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0B20B21">
            <w:pPr>
              <w:rPr>
                <w:rFonts w:hint="default"/>
                <w:sz w:val="24"/>
                <w:szCs w:val="24"/>
              </w:rPr>
            </w:pPr>
          </w:p>
        </w:tc>
        <w:tc>
          <w:tcPr>
            <w:tcW w:w="16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EB13FE6">
            <w:pPr>
              <w:rPr>
                <w:rFonts w:hint="default"/>
                <w:sz w:val="24"/>
                <w:szCs w:val="24"/>
              </w:rPr>
            </w:pPr>
          </w:p>
        </w:tc>
        <w:tc>
          <w:tcPr>
            <w:tcW w:w="217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B441DB8">
            <w:pPr>
              <w:rPr>
                <w:rFonts w:hint="default"/>
                <w:sz w:val="24"/>
                <w:szCs w:val="24"/>
              </w:rPr>
            </w:pPr>
          </w:p>
        </w:tc>
        <w:tc>
          <w:tcPr>
            <w:tcW w:w="24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32AEBE7">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59397AF">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B6A7843">
            <w:pPr>
              <w:rPr>
                <w:rFonts w:hint="default"/>
                <w:sz w:val="24"/>
                <w:szCs w:val="24"/>
              </w:rPr>
            </w:pPr>
          </w:p>
        </w:tc>
      </w:tr>
      <w:tr w14:paraId="7F800A44">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3854372">
            <w:pPr>
              <w:rPr>
                <w:rFonts w:hint="default"/>
                <w:sz w:val="24"/>
                <w:szCs w:val="24"/>
              </w:rPr>
            </w:pPr>
          </w:p>
        </w:tc>
        <w:tc>
          <w:tcPr>
            <w:tcW w:w="2173"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FE75C72">
            <w:pPr>
              <w:spacing w:line="312" w:lineRule="exact"/>
              <w:rPr>
                <w:rFonts w:hint="eastAsia" w:ascii="宋体" w:hAnsi="宋体"/>
                <w:sz w:val="26"/>
                <w:szCs w:val="24"/>
              </w:rPr>
            </w:pPr>
            <w:r>
              <w:rPr>
                <w:rFonts w:hint="eastAsia" w:ascii="宋体" w:hAnsi="宋体"/>
                <w:sz w:val="26"/>
                <w:szCs w:val="24"/>
              </w:rPr>
              <w:t>学科方向</w:t>
            </w: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910D965">
            <w:pPr>
              <w:rPr>
                <w:rFonts w:hint="default"/>
                <w:sz w:val="24"/>
                <w:szCs w:val="24"/>
              </w:rPr>
            </w:pPr>
          </w:p>
        </w:tc>
        <w:tc>
          <w:tcPr>
            <w:tcW w:w="5171"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B64B3F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6C0F106">
            <w:pPr>
              <w:rPr>
                <w:rFonts w:hint="default"/>
                <w:sz w:val="24"/>
                <w:szCs w:val="24"/>
              </w:rPr>
            </w:pPr>
          </w:p>
        </w:tc>
      </w:tr>
      <w:tr w14:paraId="12ECBBF9">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D87975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F2AAF4A">
            <w:pPr>
              <w:rPr>
                <w:rFonts w:hint="default"/>
                <w:sz w:val="24"/>
                <w:szCs w:val="24"/>
              </w:rPr>
            </w:pPr>
          </w:p>
        </w:tc>
        <w:tc>
          <w:tcPr>
            <w:tcW w:w="1094"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CD3622A">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F1D9332">
            <w:pPr>
              <w:rPr>
                <w:rFonts w:hint="default"/>
                <w:sz w:val="24"/>
                <w:szCs w:val="24"/>
              </w:rPr>
            </w:pPr>
          </w:p>
        </w:tc>
        <w:tc>
          <w:tcPr>
            <w:tcW w:w="16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F61DDB4">
            <w:pPr>
              <w:rPr>
                <w:rFonts w:hint="default"/>
                <w:sz w:val="24"/>
                <w:szCs w:val="24"/>
              </w:rPr>
            </w:pPr>
          </w:p>
        </w:tc>
        <w:tc>
          <w:tcPr>
            <w:tcW w:w="2173"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C4C657D">
            <w:pPr>
              <w:rPr>
                <w:rFonts w:hint="default"/>
                <w:sz w:val="24"/>
                <w:szCs w:val="24"/>
              </w:rPr>
            </w:pPr>
          </w:p>
        </w:tc>
        <w:tc>
          <w:tcPr>
            <w:tcW w:w="240"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99E2C6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4807D69">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9D9B662">
            <w:pPr>
              <w:rPr>
                <w:rFonts w:hint="default"/>
                <w:sz w:val="24"/>
                <w:szCs w:val="24"/>
              </w:rPr>
            </w:pPr>
          </w:p>
        </w:tc>
      </w:tr>
      <w:tr w14:paraId="6B3C3AEF">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412EEDB">
            <w:pPr>
              <w:rPr>
                <w:rFonts w:hint="default"/>
                <w:sz w:val="24"/>
                <w:szCs w:val="24"/>
              </w:rPr>
            </w:pPr>
          </w:p>
        </w:tc>
        <w:tc>
          <w:tcPr>
            <w:tcW w:w="2173" w:type="dxa"/>
            <w:gridSpan w:val="2"/>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48D889A">
            <w:pPr>
              <w:spacing w:line="312" w:lineRule="exact"/>
              <w:rPr>
                <w:rFonts w:hint="eastAsia" w:ascii="宋体" w:hAnsi="宋体"/>
                <w:sz w:val="26"/>
                <w:szCs w:val="24"/>
              </w:rPr>
            </w:pPr>
            <w:r>
              <w:rPr>
                <w:rFonts w:hint="eastAsia" w:ascii="宋体" w:hAnsi="宋体"/>
                <w:sz w:val="26"/>
                <w:szCs w:val="24"/>
              </w:rPr>
              <w:t>学号</w:t>
            </w: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D4F560E">
            <w:pPr>
              <w:rPr>
                <w:rFonts w:hint="default"/>
                <w:sz w:val="24"/>
                <w:szCs w:val="24"/>
              </w:rPr>
            </w:pPr>
          </w:p>
        </w:tc>
        <w:tc>
          <w:tcPr>
            <w:tcW w:w="5171" w:type="dxa"/>
            <w:gridSpan w:val="4"/>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1F826953">
            <w:pPr>
              <w:spacing w:line="312" w:lineRule="exact"/>
              <w:ind w:left="20"/>
              <w:rPr>
                <w:rFonts w:hint="default" w:ascii="宋体" w:hAnsi="宋体" w:eastAsia="宋体"/>
                <w:sz w:val="26"/>
                <w:szCs w:val="24"/>
                <w:lang w:val="en-US" w:eastAsia="zh-CN"/>
              </w:rPr>
            </w:pPr>
            <w:r>
              <w:rPr>
                <w:rFonts w:hint="eastAsia" w:ascii="宋体" w:hAnsi="宋体"/>
                <w:sz w:val="26"/>
                <w:szCs w:val="24"/>
                <w:lang w:val="en-US" w:eastAsia="zh-CN"/>
              </w:rPr>
              <w:t>202434561020</w:t>
            </w: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19CB65D">
            <w:pPr>
              <w:rPr>
                <w:rFonts w:hint="default"/>
                <w:sz w:val="24"/>
                <w:szCs w:val="24"/>
              </w:rPr>
            </w:pPr>
          </w:p>
        </w:tc>
      </w:tr>
      <w:tr w14:paraId="256B526C">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82AB291">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DE1933D">
            <w:pPr>
              <w:rPr>
                <w:rFonts w:hint="default"/>
                <w:sz w:val="24"/>
                <w:szCs w:val="24"/>
              </w:rPr>
            </w:pPr>
          </w:p>
        </w:tc>
        <w:tc>
          <w:tcPr>
            <w:tcW w:w="109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0EDE90D">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2EBF7F0">
            <w:pPr>
              <w:rPr>
                <w:rFonts w:hint="default"/>
                <w:sz w:val="24"/>
                <w:szCs w:val="24"/>
              </w:rPr>
            </w:pPr>
          </w:p>
        </w:tc>
        <w:tc>
          <w:tcPr>
            <w:tcW w:w="16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5617DA7">
            <w:pPr>
              <w:rPr>
                <w:rFonts w:hint="default"/>
                <w:sz w:val="24"/>
                <w:szCs w:val="24"/>
              </w:rPr>
            </w:pPr>
          </w:p>
        </w:tc>
        <w:tc>
          <w:tcPr>
            <w:tcW w:w="217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136404C">
            <w:pPr>
              <w:rPr>
                <w:rFonts w:hint="default"/>
                <w:sz w:val="24"/>
                <w:szCs w:val="24"/>
              </w:rPr>
            </w:pPr>
          </w:p>
        </w:tc>
        <w:tc>
          <w:tcPr>
            <w:tcW w:w="240"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3390101D">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774BB9D">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052E1A2">
            <w:pPr>
              <w:rPr>
                <w:rFonts w:hint="default"/>
                <w:sz w:val="24"/>
                <w:szCs w:val="24"/>
              </w:rPr>
            </w:pPr>
          </w:p>
        </w:tc>
      </w:tr>
      <w:tr w14:paraId="5BD5DA79">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3A40525D">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3A2E594">
            <w:pPr>
              <w:rPr>
                <w:rFonts w:hint="default"/>
                <w:sz w:val="24"/>
                <w:szCs w:val="24"/>
              </w:rPr>
            </w:pPr>
          </w:p>
        </w:tc>
        <w:tc>
          <w:tcPr>
            <w:tcW w:w="109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BA320A9">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22650C3">
            <w:pPr>
              <w:rPr>
                <w:rFonts w:hint="default"/>
                <w:sz w:val="24"/>
                <w:szCs w:val="24"/>
              </w:rPr>
            </w:pPr>
          </w:p>
        </w:tc>
        <w:tc>
          <w:tcPr>
            <w:tcW w:w="16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23E1DC5">
            <w:pPr>
              <w:rPr>
                <w:rFonts w:hint="default"/>
                <w:sz w:val="24"/>
                <w:szCs w:val="24"/>
              </w:rPr>
            </w:pPr>
          </w:p>
        </w:tc>
        <w:tc>
          <w:tcPr>
            <w:tcW w:w="217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ADE531D">
            <w:pPr>
              <w:rPr>
                <w:rFonts w:hint="default"/>
                <w:sz w:val="24"/>
                <w:szCs w:val="24"/>
              </w:rPr>
            </w:pPr>
          </w:p>
        </w:tc>
        <w:tc>
          <w:tcPr>
            <w:tcW w:w="240"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067BD5B">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A33BA07">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62890D6">
            <w:pPr>
              <w:rPr>
                <w:rFonts w:hint="default"/>
                <w:sz w:val="24"/>
                <w:szCs w:val="24"/>
              </w:rPr>
            </w:pPr>
          </w:p>
        </w:tc>
      </w:tr>
      <w:tr w14:paraId="3C41D715">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F1821B4">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8438032">
            <w:pPr>
              <w:rPr>
                <w:rFonts w:hint="default"/>
                <w:sz w:val="24"/>
                <w:szCs w:val="24"/>
              </w:rPr>
            </w:pPr>
          </w:p>
        </w:tc>
        <w:tc>
          <w:tcPr>
            <w:tcW w:w="5455" w:type="dxa"/>
            <w:gridSpan w:val="5"/>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99FA604">
            <w:pPr>
              <w:spacing w:line="336" w:lineRule="exact"/>
              <w:ind w:left="20"/>
              <w:jc w:val="center"/>
              <w:rPr>
                <w:rFonts w:hint="eastAsia" w:ascii="宋体" w:hAnsi="宋体"/>
                <w:sz w:val="28"/>
                <w:szCs w:val="24"/>
              </w:rPr>
            </w:pPr>
            <w:r>
              <w:rPr>
                <w:rFonts w:hint="eastAsia" w:ascii="宋体" w:hAnsi="宋体"/>
                <w:sz w:val="28"/>
                <w:szCs w:val="24"/>
              </w:rPr>
              <w:t>暨 南 大 学 研 究 生 院</w:t>
            </w: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EA66069">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1A6857A">
            <w:pPr>
              <w:rPr>
                <w:rFonts w:hint="default"/>
                <w:sz w:val="24"/>
                <w:szCs w:val="24"/>
              </w:rPr>
            </w:pPr>
          </w:p>
        </w:tc>
      </w:tr>
      <w:tr w14:paraId="6DA7520F">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7332D7C">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054F5E4">
            <w:pPr>
              <w:rPr>
                <w:rFonts w:hint="default"/>
                <w:sz w:val="24"/>
                <w:szCs w:val="24"/>
              </w:rPr>
            </w:pPr>
          </w:p>
        </w:tc>
        <w:tc>
          <w:tcPr>
            <w:tcW w:w="109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71745DB">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F5DEC9D">
            <w:pPr>
              <w:rPr>
                <w:rFonts w:hint="default"/>
                <w:sz w:val="24"/>
                <w:szCs w:val="24"/>
              </w:rPr>
            </w:pPr>
          </w:p>
        </w:tc>
        <w:tc>
          <w:tcPr>
            <w:tcW w:w="16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0C12B72">
            <w:pPr>
              <w:rPr>
                <w:rFonts w:hint="default"/>
                <w:sz w:val="24"/>
                <w:szCs w:val="24"/>
              </w:rPr>
            </w:pPr>
          </w:p>
        </w:tc>
        <w:tc>
          <w:tcPr>
            <w:tcW w:w="217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956F01A">
            <w:pPr>
              <w:rPr>
                <w:rFonts w:hint="default"/>
                <w:sz w:val="24"/>
                <w:szCs w:val="24"/>
              </w:rPr>
            </w:pPr>
          </w:p>
        </w:tc>
        <w:tc>
          <w:tcPr>
            <w:tcW w:w="240"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688AA62">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641A9CF">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6C2A4684">
            <w:pPr>
              <w:rPr>
                <w:rFonts w:hint="default"/>
                <w:sz w:val="24"/>
                <w:szCs w:val="24"/>
              </w:rPr>
            </w:pPr>
          </w:p>
        </w:tc>
      </w:tr>
      <w:tr w14:paraId="45FE3949">
        <w:trPr>
          <w:trHeight w:val="440" w:hRule="exact"/>
        </w:trPr>
        <w:tc>
          <w:tcPr>
            <w:tcW w:w="64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631563B">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288E512">
            <w:pPr>
              <w:rPr>
                <w:rFonts w:hint="default"/>
                <w:sz w:val="24"/>
                <w:szCs w:val="24"/>
              </w:rPr>
            </w:pPr>
          </w:p>
        </w:tc>
        <w:tc>
          <w:tcPr>
            <w:tcW w:w="1094"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3D6A840B">
            <w:pPr>
              <w:rPr>
                <w:rFonts w:hint="default"/>
                <w:sz w:val="24"/>
                <w:szCs w:val="24"/>
              </w:rPr>
            </w:pPr>
          </w:p>
        </w:tc>
        <w:tc>
          <w:tcPr>
            <w:tcW w:w="26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D02695D">
            <w:pPr>
              <w:rPr>
                <w:rFonts w:hint="default"/>
                <w:sz w:val="24"/>
                <w:szCs w:val="24"/>
              </w:rPr>
            </w:pPr>
          </w:p>
        </w:tc>
        <w:tc>
          <w:tcPr>
            <w:tcW w:w="16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3E6A91E7">
            <w:pPr>
              <w:rPr>
                <w:rFonts w:hint="default"/>
                <w:sz w:val="24"/>
                <w:szCs w:val="24"/>
              </w:rPr>
            </w:pPr>
          </w:p>
        </w:tc>
        <w:tc>
          <w:tcPr>
            <w:tcW w:w="2173"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413AE87E">
            <w:pPr>
              <w:rPr>
                <w:rFonts w:hint="default"/>
                <w:sz w:val="24"/>
                <w:szCs w:val="24"/>
              </w:rPr>
            </w:pPr>
          </w:p>
        </w:tc>
        <w:tc>
          <w:tcPr>
            <w:tcW w:w="240"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16015CAC">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C046A0C">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08ACBED">
            <w:pPr>
              <w:rPr>
                <w:rFonts w:hint="default"/>
                <w:sz w:val="24"/>
                <w:szCs w:val="24"/>
              </w:rPr>
            </w:pPr>
          </w:p>
        </w:tc>
      </w:tr>
      <w:tr w14:paraId="6B3418C9">
        <w:trPr>
          <w:trHeight w:val="440" w:hRule="exact"/>
        </w:trPr>
        <w:tc>
          <w:tcPr>
            <w:tcW w:w="9336" w:type="dxa"/>
            <w:gridSpan w:val="9"/>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ABCBF66">
            <w:pPr>
              <w:spacing w:line="336" w:lineRule="exact"/>
              <w:ind w:left="20"/>
              <w:jc w:val="center"/>
              <w:rPr>
                <w:rFonts w:hint="eastAsia" w:ascii="宋体" w:hAnsi="宋体"/>
                <w:sz w:val="28"/>
                <w:szCs w:val="24"/>
              </w:rPr>
            </w:pPr>
            <w:r>
              <w:rPr>
                <w:rFonts w:hint="eastAsia" w:ascii="宋体" w:hAnsi="宋体"/>
                <w:sz w:val="28"/>
                <w:szCs w:val="24"/>
              </w:rPr>
              <w:t>年    月   日</w:t>
            </w:r>
          </w:p>
        </w:tc>
      </w:tr>
    </w:tbl>
    <w:p w14:paraId="694C5545">
      <w:pPr>
        <w:rPr>
          <w:rFonts w:hint="eastAsia" w:eastAsiaTheme="minorEastAsia"/>
          <w:lang w:eastAsia="zh-CN"/>
        </w:rPr>
      </w:pPr>
      <w:r>
        <w:rPr>
          <w:rFonts w:hint="eastAsia" w:eastAsiaTheme="minorEastAsia"/>
          <w:lang w:eastAsia="zh-CN"/>
        </w:rPr>
        <w:br w:type="page"/>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7388B5">
        <w:tc>
          <w:tcPr>
            <w:tcW w:w="8522" w:type="dxa"/>
          </w:tcPr>
          <w:p w14:paraId="7FEFF005">
            <w:pPr>
              <w:widowControl w:val="0"/>
              <w:numPr>
                <w:ilvl w:val="0"/>
                <w:numId w:val="0"/>
              </w:numPr>
              <w:autoSpaceDE w:val="0"/>
              <w:autoSpaceDN w:val="0"/>
              <w:adjustRightInd w:val="0"/>
              <w:jc w:val="both"/>
              <w:rPr>
                <w:rFonts w:hint="eastAsia" w:ascii="宋体" w:hAnsi="宋体"/>
                <w:sz w:val="24"/>
                <w:szCs w:val="24"/>
                <w:lang w:eastAsia="zh-CN"/>
              </w:rPr>
            </w:pPr>
            <w:r>
              <w:rPr>
                <w:rFonts w:hint="eastAsia" w:ascii="宋体" w:hAnsi="宋体"/>
                <w:sz w:val="24"/>
                <w:szCs w:val="24"/>
              </w:rPr>
              <w:t xml:space="preserve">  本研究题目是否属导师课题的一部分？如果是的话，属哪一部分？并注明该课题名称、编号、经费来源。</w:t>
            </w:r>
          </w:p>
        </w:tc>
      </w:tr>
      <w:tr w14:paraId="12B657E2">
        <w:tc>
          <w:tcPr>
            <w:tcW w:w="8522" w:type="dxa"/>
          </w:tcPr>
          <w:p w14:paraId="055E401C">
            <w:pPr>
              <w:widowControl w:val="0"/>
              <w:numPr>
                <w:ilvl w:val="0"/>
                <w:numId w:val="0"/>
              </w:numPr>
              <w:autoSpaceDE w:val="0"/>
              <w:autoSpaceDN w:val="0"/>
              <w:adjustRightInd w:val="0"/>
              <w:jc w:val="both"/>
              <w:rPr>
                <w:rFonts w:hint="eastAsia" w:ascii="宋体" w:hAnsi="宋体"/>
                <w:sz w:val="24"/>
                <w:szCs w:val="24"/>
              </w:rPr>
            </w:pPr>
          </w:p>
          <w:p w14:paraId="4E11A8A3">
            <w:pPr>
              <w:widowControl w:val="0"/>
              <w:numPr>
                <w:ilvl w:val="0"/>
                <w:numId w:val="0"/>
              </w:numPr>
              <w:autoSpaceDE w:val="0"/>
              <w:autoSpaceDN w:val="0"/>
              <w:adjustRightInd w:val="0"/>
              <w:jc w:val="both"/>
              <w:rPr>
                <w:rFonts w:hint="eastAsia" w:ascii="宋体" w:hAnsi="宋体"/>
                <w:sz w:val="24"/>
                <w:szCs w:val="24"/>
              </w:rPr>
            </w:pPr>
          </w:p>
          <w:p w14:paraId="69FCB113">
            <w:pPr>
              <w:widowControl w:val="0"/>
              <w:numPr>
                <w:ilvl w:val="0"/>
                <w:numId w:val="0"/>
              </w:numPr>
              <w:autoSpaceDE w:val="0"/>
              <w:autoSpaceDN w:val="0"/>
              <w:adjustRightInd w:val="0"/>
              <w:jc w:val="both"/>
              <w:rPr>
                <w:rFonts w:hint="eastAsia" w:ascii="宋体" w:hAnsi="宋体"/>
                <w:sz w:val="24"/>
                <w:szCs w:val="24"/>
              </w:rPr>
            </w:pPr>
          </w:p>
        </w:tc>
      </w:tr>
      <w:tr w14:paraId="00751149">
        <w:tc>
          <w:tcPr>
            <w:tcW w:w="8522" w:type="dxa"/>
          </w:tcPr>
          <w:p w14:paraId="2A085439">
            <w:pPr>
              <w:widowControl w:val="0"/>
              <w:numPr>
                <w:ilvl w:val="0"/>
                <w:numId w:val="0"/>
              </w:numPr>
              <w:autoSpaceDE w:val="0"/>
              <w:autoSpaceDN w:val="0"/>
              <w:adjustRightInd w:val="0"/>
              <w:jc w:val="both"/>
              <w:rPr>
                <w:rFonts w:hint="eastAsia" w:ascii="宋体" w:hAnsi="宋体"/>
                <w:sz w:val="24"/>
                <w:szCs w:val="24"/>
              </w:rPr>
            </w:pPr>
            <w:r>
              <w:rPr>
                <w:rFonts w:hint="eastAsia" w:ascii="宋体" w:hAnsi="宋体"/>
                <w:sz w:val="18"/>
                <w:szCs w:val="24"/>
              </w:rPr>
              <w:t>学位论文的类型：应用研究</w:t>
            </w:r>
          </w:p>
        </w:tc>
      </w:tr>
      <w:tr w14:paraId="47C146CE">
        <w:trPr>
          <w:trHeight w:val="90" w:hRule="atLeast"/>
        </w:trPr>
        <w:tc>
          <w:tcPr>
            <w:tcW w:w="8522" w:type="dxa"/>
          </w:tcPr>
          <w:p w14:paraId="0228A1E6">
            <w:pPr>
              <w:numPr>
                <w:ilvl w:val="0"/>
                <w:numId w:val="0"/>
              </w:numPr>
              <w:jc w:val="both"/>
              <w:rPr>
                <w:rFonts w:hint="eastAsia" w:ascii="宋体" w:hAnsi="宋体"/>
                <w:sz w:val="24"/>
                <w:szCs w:val="24"/>
              </w:rPr>
            </w:pPr>
            <w:r>
              <w:rPr>
                <w:rFonts w:hint="eastAsia" w:ascii="宋体" w:hAnsi="宋体"/>
                <w:sz w:val="24"/>
                <w:szCs w:val="24"/>
              </w:rPr>
              <w:t>选题依据（包括研究目的、意义，国内外研究现状和发展趋势并附参考文献）：</w:t>
            </w:r>
          </w:p>
          <w:p w14:paraId="44C5B190">
            <w:pPr>
              <w:bidi w:val="0"/>
              <w:jc w:val="both"/>
            </w:pPr>
            <w:r>
              <w:t>1. 研究目的</w:t>
            </w:r>
          </w:p>
          <w:p w14:paraId="4620C3C4">
            <w:pPr>
              <w:bidi w:val="0"/>
              <w:jc w:val="both"/>
            </w:pPr>
            <w:r>
              <w:t>本研究的核心目的在于针对高性能闪存存储系统中日益严重的读干扰（Read Disturb）开销问题，提出并实现一种基于</w:t>
            </w:r>
            <w:r>
              <w:rPr>
                <w:rFonts w:hint="eastAsia"/>
                <w:lang w:val="en-US" w:eastAsia="zh-CN"/>
              </w:rPr>
              <w:t>读干扰和垃圾回收</w:t>
            </w:r>
            <w:r>
              <w:t>互补性的数据放置算法（RC-DP），通过优化底层数据布局，实现系统可靠性与性能的双重提升。</w:t>
            </w:r>
          </w:p>
          <w:p w14:paraId="48A90158">
            <w:pPr>
              <w:bidi w:val="0"/>
              <w:jc w:val="both"/>
            </w:pPr>
            <w:r>
              <w:rPr>
                <w:rFonts w:hint="eastAsia"/>
                <w:lang w:val="en-US" w:eastAsia="zh-CN"/>
              </w:rPr>
              <w:t>(1)</w:t>
            </w:r>
            <w:r>
              <w:t>突破传统“冷热分离”数据放置策略的局限性。传统算法倾向于将读写热度高的数据与冷数据物理隔离，虽然优化了垃圾回收（GC）效率，但忽略了读干扰迁移与写</w:t>
            </w:r>
            <w:r>
              <w:rPr>
                <w:rFonts w:hint="eastAsia"/>
                <w:lang w:val="en-US" w:eastAsia="zh-CN"/>
              </w:rPr>
              <w:t>无</w:t>
            </w:r>
            <w:r>
              <w:t>效</w:t>
            </w:r>
            <w:r>
              <w:rPr>
                <w:rFonts w:hint="eastAsia"/>
                <w:lang w:val="en-US" w:eastAsia="zh-CN"/>
              </w:rPr>
              <w:t>数据</w:t>
            </w:r>
            <w:r>
              <w:t>之间的内在联系。本研究旨在建立一套全新的“读写互补关联模型”，定量分析数据页的读干扰触发周期与对应块的写失效预测周期。</w:t>
            </w:r>
          </w:p>
          <w:p w14:paraId="151CA587">
            <w:pPr>
              <w:bidi w:val="0"/>
              <w:jc w:val="both"/>
            </w:pPr>
            <w:r>
              <w:rPr>
                <w:rFonts w:hint="eastAsia"/>
                <w:lang w:val="en-US" w:eastAsia="zh-CN"/>
              </w:rPr>
              <w:t>(2)</w:t>
            </w:r>
            <w:r>
              <w:t>实现读干扰开销的“内生性对冲”。本课题试图寻找一种最优放置路径，将具有高读干扰风险的数据精准地放置在生命周期即将终结（即包含大量高频更新数据）的物理块中。研究的目的在于：在读干扰导致的误码累积达到必须搬迁的阈值之前，利用块内写热数据更新所触发的物理擦除动作，顺带完成对读热数据的回收。这种机制将使读干扰的修复过程从“主动的显性迁移”转变为“随写操作进行的隐性回收”。</w:t>
            </w:r>
          </w:p>
          <w:p w14:paraId="465C00CD">
            <w:pPr>
              <w:bidi w:val="0"/>
              <w:jc w:val="both"/>
            </w:pPr>
            <w:r>
              <w:rPr>
                <w:rFonts w:hint="eastAsia"/>
                <w:lang w:val="en-US" w:eastAsia="zh-CN"/>
              </w:rPr>
              <w:t>(3)</w:t>
            </w:r>
            <w:r>
              <w:t>降低闪存系统的总写放大因子（WAF）。通过减少因读刷新（Read Refresh）而产生的额外后台写操作，降低控制器在复杂负载下的管理负担。本研究将通过仿真实验验证，该算法在多种典型应用场景（如数据库、Web服务器）下，能够显著平衡读写请求对闪存寿命的损耗，为下一代高密度（TLC/QLC）闪存管理系统的设计提供理论依据和技术支撑。</w:t>
            </w:r>
          </w:p>
          <w:p w14:paraId="1DCC3E51">
            <w:pPr>
              <w:bidi w:val="0"/>
              <w:jc w:val="both"/>
            </w:pPr>
            <w:r>
              <w:t>2. 研究意义</w:t>
            </w:r>
          </w:p>
          <w:p w14:paraId="4CE4A732">
            <w:pPr>
              <w:bidi w:val="0"/>
              <w:jc w:val="both"/>
            </w:pPr>
            <w:r>
              <w:t>在理论层面，本课题创新性地提出了“读写共生”的管理逻辑，挑战了学术界长久以来的冷热数据完全隔离准则。通过对读写行为时间相关性的深度耦合，为闪存空间管理与可靠性建模提供了新的维度。</w:t>
            </w:r>
          </w:p>
          <w:p w14:paraId="42D322A5">
            <w:pPr>
              <w:bidi w:val="0"/>
              <w:jc w:val="both"/>
            </w:pPr>
            <w:r>
              <w:t>在应用层面，随着QLC闪存的普及，读干扰窗口期极剧缩短，传统的读刷新机制已成为制约SSD长尾延迟的关键瓶颈。本算法能有效抑制因频繁搬迁引发的I/O阻塞，在不增加硬件成本的前提下，显著提升存储设备的QoS稳定性与物理寿命。这对于构建高性能、高可靠的数据中心存储基石具有重要的参考价值。</w:t>
            </w:r>
          </w:p>
          <w:p w14:paraId="291631AF">
            <w:pPr>
              <w:numPr>
                <w:ilvl w:val="0"/>
                <w:numId w:val="1"/>
              </w:numPr>
              <w:bidi w:val="0"/>
              <w:jc w:val="both"/>
              <w:rPr>
                <w:rFonts w:hint="default" w:eastAsia="宋体"/>
                <w:lang w:val="en-US" w:eastAsia="zh-CN"/>
              </w:rPr>
            </w:pPr>
            <w:r>
              <w:rPr>
                <w:rFonts w:hint="eastAsia"/>
                <w:lang w:val="en-US" w:eastAsia="zh-CN"/>
              </w:rPr>
              <w:t>国内外研究现状</w:t>
            </w:r>
          </w:p>
          <w:p w14:paraId="1E53AD08">
            <w:pPr>
              <w:bidi w:val="0"/>
              <w:jc w:val="both"/>
            </w:pPr>
            <w:r>
              <w:rPr>
                <w:rFonts w:hint="default"/>
                <w:lang w:val="en-US" w:eastAsia="zh-CN"/>
              </w:rPr>
              <w:t xml:space="preserve">缓解闪存单元的读干扰有很多不同的方式，比如减弱读取时的电压、增强错误校验能力、改变数据分布方式、牺牲部分空间换取更大的读干扰容忍度等。以往的研究主要从修改固件行为、热读数据管理和缓存管理这三个方面着手解决读干扰问题，因此，接下来将着重从这三个方面来进行阐述。 </w:t>
            </w:r>
          </w:p>
          <w:p w14:paraId="3E5A91E3">
            <w:pPr>
              <w:bidi w:val="0"/>
              <w:jc w:val="both"/>
            </w:pPr>
            <w:r>
              <w:rPr>
                <w:rFonts w:hint="default"/>
                <w:lang w:val="en-US" w:eastAsia="zh-CN"/>
              </w:rPr>
              <w:t xml:space="preserve">(1)通过修改固件行为缓解读干扰 </w:t>
            </w:r>
          </w:p>
          <w:p w14:paraId="24753BFB">
            <w:pPr>
              <w:bidi w:val="0"/>
              <w:jc w:val="both"/>
            </w:pPr>
            <w:r>
              <w:rPr>
                <w:rFonts w:hint="default"/>
                <w:lang w:val="en-US" w:eastAsia="zh-CN"/>
              </w:rPr>
              <w:t>许多研究人员试图通过固件级别的内部校正来解决读干扰问题。Kang 等人</w:t>
            </w:r>
            <w:r>
              <w:rPr>
                <w:rFonts w:hint="default"/>
                <w:vertAlign w:val="superscript"/>
                <w:lang w:val="en-US" w:eastAsia="zh-CN"/>
              </w:rPr>
              <w:fldChar w:fldCharType="begin"/>
            </w:r>
            <w:r>
              <w:rPr>
                <w:rFonts w:hint="default"/>
                <w:vertAlign w:val="superscript"/>
                <w:lang w:val="en-US" w:eastAsia="zh-CN"/>
              </w:rPr>
              <w:instrText xml:space="preserve"> REF _Ref1772099497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lang w:val="en-US" w:eastAsia="zh-CN"/>
              </w:rPr>
              <w:t>通过在 NAND 单元串中增加一个额外的虚单元，可以有效减少读操作对电压产生的读扰动。Zambelli 等人</w:t>
            </w:r>
            <w:r>
              <w:rPr>
                <w:rFonts w:hint="default"/>
                <w:vertAlign w:val="superscript"/>
                <w:lang w:val="en-US" w:eastAsia="zh-CN"/>
              </w:rPr>
              <w:fldChar w:fldCharType="begin"/>
            </w:r>
            <w:r>
              <w:rPr>
                <w:rFonts w:hint="default"/>
                <w:vertAlign w:val="superscript"/>
                <w:lang w:val="en-US" w:eastAsia="zh-CN"/>
              </w:rPr>
              <w:instrText xml:space="preserve"> REF _Ref1777393702 \r \h </w:instrText>
            </w:r>
            <w:r>
              <w:rPr>
                <w:rFonts w:hint="default"/>
                <w:vertAlign w:val="superscript"/>
                <w:lang w:val="en-US" w:eastAsia="zh-CN"/>
              </w:rPr>
              <w:fldChar w:fldCharType="separate"/>
            </w:r>
            <w:r>
              <w:rPr>
                <w:rFonts w:hint="default"/>
                <w:vertAlign w:val="superscript"/>
                <w:lang w:val="en-US" w:eastAsia="zh-CN"/>
              </w:rPr>
              <w:t>[13]</w:t>
            </w:r>
            <w:r>
              <w:rPr>
                <w:rFonts w:hint="default"/>
                <w:vertAlign w:val="superscript"/>
                <w:lang w:val="en-US" w:eastAsia="zh-CN"/>
              </w:rPr>
              <w:fldChar w:fldCharType="end"/>
            </w:r>
            <w:r>
              <w:rPr>
                <w:rFonts w:hint="default"/>
                <w:lang w:val="en-US" w:eastAsia="zh-CN"/>
              </w:rPr>
              <w:t>分析了基于 TLC NAND 的闪存在均匀读干扰和集中读干扰两种条件下的不同行为，阐述了不同工作负载模型对企业级闪存可靠性的影响。Li 等人</w:t>
            </w:r>
            <w:r>
              <w:rPr>
                <w:rFonts w:hint="default"/>
                <w:vertAlign w:val="superscript"/>
                <w:lang w:val="en-US" w:eastAsia="zh-CN"/>
              </w:rPr>
              <w:fldChar w:fldCharType="begin"/>
            </w:r>
            <w:r>
              <w:rPr>
                <w:rFonts w:hint="default"/>
                <w:vertAlign w:val="superscript"/>
                <w:lang w:val="en-US" w:eastAsia="zh-CN"/>
              </w:rPr>
              <w:instrText xml:space="preserve"> REF _Ref1777595386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通过给不同闪存块设置不同的读取电压，并不断对这些闪存块进行读取操作，以此建立了一个模型来评估闪存块在不同读电压中的读干扰水平。Cai 等人</w:t>
            </w:r>
            <w:r>
              <w:rPr>
                <w:rFonts w:hint="default"/>
                <w:vertAlign w:val="superscript"/>
                <w:lang w:val="en-US" w:eastAsia="zh-CN"/>
              </w:rPr>
              <w:fldChar w:fldCharType="begin"/>
            </w:r>
            <w:r>
              <w:rPr>
                <w:rFonts w:hint="default"/>
                <w:vertAlign w:val="superscript"/>
                <w:lang w:val="en-US" w:eastAsia="zh-CN"/>
              </w:rPr>
              <w:instrText xml:space="preserve"> REF _Ref1777763456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lang w:val="en-US" w:eastAsia="zh-CN"/>
              </w:rPr>
              <w:t>进行了一系列固件级别的实验，表明读干扰效应对闪存擦除周期、数据保留时间、读响应时间等都有显著的不利影响。他们使用读重试技术</w:t>
            </w:r>
            <w:r>
              <w:rPr>
                <w:rFonts w:hint="default"/>
                <w:vertAlign w:val="superscript"/>
                <w:lang w:val="en-US" w:eastAsia="zh-CN"/>
              </w:rPr>
              <w:fldChar w:fldCharType="begin"/>
            </w:r>
            <w:r>
              <w:rPr>
                <w:rFonts w:hint="default"/>
                <w:vertAlign w:val="superscript"/>
                <w:lang w:val="en-US" w:eastAsia="zh-CN"/>
              </w:rPr>
              <w:instrText xml:space="preserve"> REF _Ref1778183631 \r \h </w:instrText>
            </w:r>
            <w:r>
              <w:rPr>
                <w:rFonts w:hint="default"/>
                <w:vertAlign w:val="superscript"/>
                <w:lang w:val="en-US" w:eastAsia="zh-CN"/>
              </w:rPr>
              <w:fldChar w:fldCharType="separate"/>
            </w:r>
            <w:r>
              <w:rPr>
                <w:rFonts w:hint="default"/>
                <w:vertAlign w:val="superscript"/>
                <w:lang w:val="en-US" w:eastAsia="zh-CN"/>
              </w:rPr>
              <w:t>[4]</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_Ref1778250859 \r \h </w:instrText>
            </w:r>
            <w:r>
              <w:rPr>
                <w:rFonts w:hint="default"/>
                <w:vertAlign w:val="superscript"/>
                <w:lang w:val="en-US" w:eastAsia="zh-CN"/>
              </w:rPr>
              <w:fldChar w:fldCharType="separate"/>
            </w:r>
            <w:r>
              <w:rPr>
                <w:rFonts w:hint="default"/>
                <w:vertAlign w:val="superscript"/>
                <w:lang w:val="en-US" w:eastAsia="zh-CN"/>
              </w:rPr>
              <w:t>[16]</w:t>
            </w:r>
            <w:r>
              <w:rPr>
                <w:rFonts w:hint="default"/>
                <w:vertAlign w:val="superscript"/>
                <w:lang w:val="en-US" w:eastAsia="zh-CN"/>
              </w:rPr>
              <w:fldChar w:fldCharType="end"/>
            </w:r>
            <w:r>
              <w:rPr>
                <w:rFonts w:hint="default"/>
                <w:lang w:val="en-US" w:eastAsia="zh-CN"/>
              </w:rPr>
              <w:t xml:space="preserve">，测量闪存块中所有闪存单元的初始阈值电压。然后，从闪存块中选择要读取的单个页面，对其执行 N 次重复读取操作，以此来量化读干扰对电压分布的影响。提出可以利用 ECC 的纠错能力降低读电压水平，这样的方法在大多数闪存单位都正常运转时可以很好的解决部分热读闪存块的读干扰问题。 </w:t>
            </w:r>
          </w:p>
          <w:p w14:paraId="735F1114">
            <w:pPr>
              <w:bidi w:val="0"/>
              <w:ind w:left="0" w:leftChars="0" w:firstLine="0" w:firstLineChars="0"/>
              <w:jc w:val="both"/>
            </w:pPr>
            <w:r>
              <w:rPr>
                <w:rFonts w:hint="default"/>
                <w:lang w:val="en-US" w:eastAsia="zh-CN"/>
              </w:rPr>
              <w:t>NAND 闪存通常使用 ECC 校验模块来纠正每个页面中一定数量的原始比特错误。只要错误总数不超过 ECC 的校正能力，就可以校正错误，成功读取数据。当数据的保留时 间较短时，闪存的整体原始比特误差率远低于保留时间较长的误差率，这也导致了对于许多闪存块而言，存在大量未使用的 ECC 校正能力</w:t>
            </w:r>
            <w:r>
              <w:rPr>
                <w:rFonts w:hint="default"/>
                <w:vertAlign w:val="superscript"/>
                <w:lang w:val="en-US" w:eastAsia="zh-CN"/>
              </w:rPr>
              <w:fldChar w:fldCharType="begin"/>
            </w:r>
            <w:r>
              <w:rPr>
                <w:rFonts w:hint="default"/>
                <w:vertAlign w:val="superscript"/>
                <w:lang w:val="en-US" w:eastAsia="zh-CN"/>
              </w:rPr>
              <w:instrText xml:space="preserve"> REF _Ref1777763456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lang w:val="en-US" w:eastAsia="zh-CN"/>
              </w:rPr>
              <w:t>。当数据刚进入闪存时，不存在保留错误或读干扰错误，因为数据刚刚被恢复。在这些情况下，强大的 ECC 校验能力允许设计一些读干扰缓解机制，比如降低读取电压。尽管这样的机制会提高闪存的原始比特错误率，但是不会超出 ECC 的校验能力范围，而且可以有效缓解读干扰。当被读取的数据的原始误码率超出 ECC 校验能力时，闪存并不会直接返回错误读取的结果，而是通过改变电压再次进行读取，称为读重试</w:t>
            </w:r>
            <w:r>
              <w:rPr>
                <w:rFonts w:hint="default"/>
                <w:vertAlign w:val="superscript"/>
                <w:lang w:val="en-US" w:eastAsia="zh-CN"/>
              </w:rPr>
              <w:fldChar w:fldCharType="begin"/>
            </w:r>
            <w:r>
              <w:rPr>
                <w:rFonts w:hint="default"/>
                <w:vertAlign w:val="superscript"/>
                <w:lang w:val="en-US" w:eastAsia="zh-CN"/>
              </w:rPr>
              <w:instrText xml:space="preserve"> REF _Ref1780939979 \r \h </w:instrText>
            </w:r>
            <w:r>
              <w:rPr>
                <w:rFonts w:hint="default"/>
                <w:vertAlign w:val="superscript"/>
                <w:lang w:val="en-US" w:eastAsia="zh-CN"/>
              </w:rPr>
              <w:fldChar w:fldCharType="separate"/>
            </w:r>
            <w:r>
              <w:rPr>
                <w:rFonts w:hint="default"/>
                <w:vertAlign w:val="superscript"/>
                <w:lang w:val="en-US" w:eastAsia="zh-CN"/>
              </w:rPr>
              <w:t>[17]</w:t>
            </w:r>
            <w:r>
              <w:rPr>
                <w:rFonts w:hint="default"/>
                <w:vertAlign w:val="superscript"/>
                <w:lang w:val="en-US" w:eastAsia="zh-CN"/>
              </w:rPr>
              <w:fldChar w:fldCharType="end"/>
            </w:r>
            <w:r>
              <w:rPr>
                <w:rFonts w:hint="default"/>
                <w:lang w:val="en-US" w:eastAsia="zh-CN"/>
              </w:rPr>
              <w:t>。读重试操作不仅会延长读反应时间，而且由于多次施加电压，同样也有带来额外的读干扰。Park 等人</w:t>
            </w:r>
            <w:r>
              <w:rPr>
                <w:rFonts w:hint="default"/>
                <w:vertAlign w:val="superscript"/>
                <w:lang w:val="en-US" w:eastAsia="zh-CN"/>
              </w:rPr>
              <w:fldChar w:fldCharType="begin"/>
            </w:r>
            <w:r>
              <w:rPr>
                <w:rFonts w:hint="default"/>
                <w:vertAlign w:val="superscript"/>
                <w:lang w:val="en-US" w:eastAsia="zh-CN"/>
              </w:rPr>
              <w:instrText xml:space="preserve"> REF _Ref1778839104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default"/>
                <w:lang w:val="en-US" w:eastAsia="zh-CN"/>
              </w:rPr>
              <w:t xml:space="preserve">提出可以通过预设最佳读取电压，将多个读重试操作缩短为一个最佳读操作，实现更好的读取效果。 </w:t>
            </w:r>
          </w:p>
          <w:p w14:paraId="026FCD46">
            <w:pPr>
              <w:bidi w:val="0"/>
              <w:jc w:val="both"/>
            </w:pPr>
            <w:r>
              <w:rPr>
                <w:rFonts w:hint="default"/>
                <w:lang w:val="en-US" w:eastAsia="zh-CN"/>
              </w:rPr>
              <w:t xml:space="preserve">(2)通过管理读热数据缓解读干扰 </w:t>
            </w:r>
          </w:p>
          <w:p w14:paraId="177BE514">
            <w:pPr>
              <w:bidi w:val="0"/>
              <w:jc w:val="both"/>
            </w:pPr>
            <w:r>
              <w:rPr>
                <w:rFonts w:hint="default"/>
                <w:lang w:val="en-US" w:eastAsia="zh-CN"/>
              </w:rPr>
              <w:t>固件级别的修正方法对闪存的其他方面可能会有一些负面影响，因此一些研究人员提出可以结合一些冷热数据管理技术来减少触发读重写操作的次数，比如可以利用闪存控制器，通过缓存最近的读数据来避免读操作。Ha等人</w:t>
            </w:r>
            <w:r>
              <w:rPr>
                <w:rFonts w:hint="default"/>
                <w:vertAlign w:val="superscript"/>
                <w:lang w:val="en-US" w:eastAsia="zh-CN"/>
              </w:rPr>
              <w:fldChar w:fldCharType="begin"/>
            </w:r>
            <w:r>
              <w:rPr>
                <w:rFonts w:hint="default"/>
                <w:vertAlign w:val="superscript"/>
                <w:lang w:val="en-US" w:eastAsia="zh-CN"/>
              </w:rPr>
              <w:instrText xml:space="preserve"> REF _Ref1781108049 \r \h </w:instrText>
            </w:r>
            <w:r>
              <w:rPr>
                <w:rFonts w:hint="default"/>
                <w:vertAlign w:val="superscript"/>
                <w:lang w:val="en-US" w:eastAsia="zh-CN"/>
              </w:rPr>
              <w:fldChar w:fldCharType="separate"/>
            </w:r>
            <w:r>
              <w:rPr>
                <w:rFonts w:hint="default"/>
                <w:vertAlign w:val="superscript"/>
                <w:lang w:val="en-US" w:eastAsia="zh-CN"/>
              </w:rPr>
              <w:t>[18]</w:t>
            </w:r>
            <w:r>
              <w:rPr>
                <w:rFonts w:hint="default"/>
                <w:vertAlign w:val="superscript"/>
                <w:lang w:val="en-US" w:eastAsia="zh-CN"/>
              </w:rPr>
              <w:fldChar w:fldCharType="end"/>
            </w:r>
            <w:r>
              <w:rPr>
                <w:rFonts w:hint="default"/>
                <w:lang w:val="en-US" w:eastAsia="zh-CN"/>
              </w:rPr>
              <w:t>则提出可以通过维护每个闪存块的累计读计数器，并在计数器超过预定阈值时重写闪存块的内容。Kang 等人</w:t>
            </w:r>
            <w:r>
              <w:rPr>
                <w:rFonts w:hint="default"/>
                <w:vertAlign w:val="superscript"/>
                <w:lang w:val="en-US" w:eastAsia="zh-CN"/>
              </w:rPr>
              <w:fldChar w:fldCharType="begin"/>
            </w:r>
            <w:r>
              <w:rPr>
                <w:rFonts w:hint="default"/>
                <w:vertAlign w:val="superscript"/>
                <w:lang w:val="en-US" w:eastAsia="zh-CN"/>
              </w:rPr>
              <w:instrText xml:space="preserve"> REF _Ref1781326540 \r \h </w:instrText>
            </w:r>
            <w:r>
              <w:rPr>
                <w:rFonts w:hint="default"/>
                <w:vertAlign w:val="superscript"/>
                <w:lang w:val="en-US" w:eastAsia="zh-CN"/>
              </w:rPr>
              <w:fldChar w:fldCharType="separate"/>
            </w:r>
            <w:r>
              <w:rPr>
                <w:rFonts w:hint="default"/>
                <w:vertAlign w:val="superscript"/>
                <w:lang w:val="en-US" w:eastAsia="zh-CN"/>
              </w:rPr>
              <w:t>[19]</w:t>
            </w:r>
            <w:r>
              <w:rPr>
                <w:rFonts w:hint="default"/>
                <w:vertAlign w:val="superscript"/>
                <w:lang w:val="en-US" w:eastAsia="zh-CN"/>
              </w:rPr>
              <w:fldChar w:fldCharType="end"/>
            </w:r>
            <w:r>
              <w:rPr>
                <w:rFonts w:hint="default"/>
                <w:lang w:val="en-US" w:eastAsia="zh-CN"/>
              </w:rPr>
              <w:t>将强化学习引入到读重写和垃圾回收调度中，希望在不同的读写场景中找到执行数据移动和擦除操作的恰当时机。读干扰数据管理主要可以分为两个相互独立的步骤，第一个是将热数据分散到多个不同的闪存块中，第二个是在闪存块中调整冷热数据的位置。Zhao 等人</w:t>
            </w:r>
            <w:r>
              <w:rPr>
                <w:rFonts w:hint="default"/>
                <w:vertAlign w:val="superscript"/>
                <w:lang w:val="en-US" w:eastAsia="zh-CN"/>
              </w:rPr>
              <w:fldChar w:fldCharType="begin"/>
            </w:r>
            <w:r>
              <w:rPr>
                <w:rFonts w:hint="default"/>
                <w:vertAlign w:val="superscript"/>
                <w:lang w:val="en-US" w:eastAsia="zh-CN"/>
              </w:rPr>
              <w:instrText xml:space="preserve"> REF _Ref1781477803 \r \h </w:instrText>
            </w:r>
            <w:r>
              <w:rPr>
                <w:rFonts w:hint="default"/>
                <w:vertAlign w:val="superscript"/>
                <w:lang w:val="en-US" w:eastAsia="zh-CN"/>
              </w:rPr>
              <w:fldChar w:fldCharType="separate"/>
            </w:r>
            <w:r>
              <w:rPr>
                <w:rFonts w:hint="default"/>
                <w:vertAlign w:val="superscript"/>
                <w:lang w:val="en-US" w:eastAsia="zh-CN"/>
              </w:rPr>
              <w:t>[20]</w:t>
            </w:r>
            <w:r>
              <w:rPr>
                <w:rFonts w:hint="default"/>
                <w:vertAlign w:val="superscript"/>
                <w:lang w:val="en-US" w:eastAsia="zh-CN"/>
              </w:rPr>
              <w:fldChar w:fldCharType="end"/>
            </w:r>
            <w:r>
              <w:rPr>
                <w:rFonts w:hint="default"/>
                <w:lang w:val="en-US" w:eastAsia="zh-CN"/>
              </w:rPr>
              <w:t>提出了一种数据重分配方案，指出可以将读重写闪存块中的数据分布到不同的闪存块上，从而减少读重写操作和原始误码率。这样做的原理主要是希望通过综合考虑擦除周期和闪存块的读次数两个因素，使每个闪存块可以达到自己的最大读取次数。 Liu 等人</w:t>
            </w:r>
            <w:r>
              <w:rPr>
                <w:rFonts w:hint="default"/>
                <w:vertAlign w:val="superscript"/>
                <w:lang w:val="en-US" w:eastAsia="zh-CN"/>
              </w:rPr>
              <w:fldChar w:fldCharType="begin"/>
            </w:r>
            <w:r>
              <w:rPr>
                <w:rFonts w:hint="default"/>
                <w:vertAlign w:val="superscript"/>
                <w:lang w:val="en-US" w:eastAsia="zh-CN"/>
              </w:rPr>
              <w:instrText xml:space="preserve"> REF _Ref1781662680 \r \h </w:instrText>
            </w:r>
            <w:r>
              <w:rPr>
                <w:rFonts w:hint="default"/>
                <w:vertAlign w:val="superscript"/>
                <w:lang w:val="en-US" w:eastAsia="zh-CN"/>
              </w:rPr>
              <w:fldChar w:fldCharType="separate"/>
            </w:r>
            <w:r>
              <w:rPr>
                <w:rFonts w:hint="default"/>
                <w:vertAlign w:val="superscript"/>
                <w:lang w:val="en-US" w:eastAsia="zh-CN"/>
              </w:rPr>
              <w:t>[21]</w:t>
            </w:r>
            <w:r>
              <w:rPr>
                <w:rFonts w:hint="default"/>
                <w:vertAlign w:val="superscript"/>
                <w:lang w:val="en-US" w:eastAsia="zh-CN"/>
              </w:rPr>
              <w:fldChar w:fldCharType="end"/>
            </w:r>
            <w:r>
              <w:rPr>
                <w:rFonts w:hint="default"/>
                <w:lang w:val="en-US" w:eastAsia="zh-CN"/>
              </w:rPr>
              <w:t>提出了一种去中心化的读干扰数据管理方法，将读重写的回写数据分布到不同的闪存块中，力求防止所有热读页面被回写到同一个闪存块中。但是这个方法没有考虑来自其他闪存块的热读页面，所以热读页面聚集的可能性仍然很高。Ha 等人</w:t>
            </w:r>
            <w:r>
              <w:rPr>
                <w:rFonts w:hint="default"/>
                <w:vertAlign w:val="superscript"/>
                <w:lang w:val="en-US" w:eastAsia="zh-CN"/>
              </w:rPr>
              <w:fldChar w:fldCharType="begin"/>
            </w:r>
            <w:r>
              <w:rPr>
                <w:rFonts w:hint="default"/>
                <w:vertAlign w:val="superscript"/>
                <w:lang w:val="en-US" w:eastAsia="zh-CN"/>
              </w:rPr>
              <w:instrText xml:space="preserve"> REF _Ref1781108049 \r \h </w:instrText>
            </w:r>
            <w:r>
              <w:rPr>
                <w:rFonts w:hint="default"/>
                <w:vertAlign w:val="superscript"/>
                <w:lang w:val="en-US" w:eastAsia="zh-CN"/>
              </w:rPr>
              <w:fldChar w:fldCharType="separate"/>
            </w:r>
            <w:r>
              <w:rPr>
                <w:rFonts w:hint="default"/>
                <w:vertAlign w:val="superscript"/>
                <w:lang w:val="en-US" w:eastAsia="zh-CN"/>
              </w:rPr>
              <w:t>[18]</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_Ref1782906398 \r \h </w:instrText>
            </w:r>
            <w:r>
              <w:rPr>
                <w:rFonts w:hint="default"/>
                <w:vertAlign w:val="superscript"/>
                <w:lang w:val="en-US" w:eastAsia="zh-CN"/>
              </w:rPr>
              <w:fldChar w:fldCharType="separate"/>
            </w:r>
            <w:r>
              <w:rPr>
                <w:rFonts w:hint="default"/>
                <w:vertAlign w:val="superscript"/>
                <w:lang w:val="en-US" w:eastAsia="zh-CN"/>
              </w:rPr>
              <w:t>[22]</w:t>
            </w:r>
            <w:r>
              <w:rPr>
                <w:rFonts w:hint="default"/>
                <w:vertAlign w:val="superscript"/>
                <w:lang w:val="en-US" w:eastAsia="zh-CN"/>
              </w:rPr>
              <w:fldChar w:fldCharType="end"/>
            </w:r>
            <w:r>
              <w:rPr>
                <w:rFonts w:hint="default"/>
                <w:lang w:val="en-US" w:eastAsia="zh-CN"/>
              </w:rPr>
              <w:t>开发了一种名为 redFTL 的读干扰管理技术，该技术通过减弱读电压来提高部分闪存块的读干扰容忍性，然后将读重写操作的回写数据写入到这些闪存块中。Wu 等人</w:t>
            </w:r>
            <w:r>
              <w:rPr>
                <w:rFonts w:hint="default"/>
                <w:vertAlign w:val="superscript"/>
                <w:lang w:val="en-US" w:eastAsia="zh-CN"/>
              </w:rPr>
              <w:fldChar w:fldCharType="begin"/>
            </w:r>
            <w:r>
              <w:rPr>
                <w:rFonts w:hint="default"/>
                <w:vertAlign w:val="superscript"/>
                <w:lang w:val="en-US" w:eastAsia="zh-CN"/>
              </w:rPr>
              <w:instrText xml:space="preserve"> REF _Ref1783965239 \r \h </w:instrText>
            </w:r>
            <w:r>
              <w:rPr>
                <w:rFonts w:hint="default"/>
                <w:vertAlign w:val="superscript"/>
                <w:lang w:val="en-US" w:eastAsia="zh-CN"/>
              </w:rPr>
              <w:fldChar w:fldCharType="separate"/>
            </w:r>
            <w:r>
              <w:rPr>
                <w:rFonts w:hint="default"/>
                <w:vertAlign w:val="superscript"/>
                <w:lang w:val="en-US" w:eastAsia="zh-CN"/>
              </w:rPr>
              <w:t>[23]</w:t>
            </w:r>
            <w:r>
              <w:rPr>
                <w:rFonts w:hint="default"/>
                <w:vertAlign w:val="superscript"/>
                <w:lang w:val="en-US" w:eastAsia="zh-CN"/>
              </w:rPr>
              <w:fldChar w:fldCharType="end"/>
            </w:r>
            <w:r>
              <w:rPr>
                <w:rFonts w:hint="default"/>
                <w:lang w:val="en-US" w:eastAsia="zh-CN"/>
              </w:rPr>
              <w:t xml:space="preserve">提出的名为 IPR 的读干扰管理方法则是通过牺牲部分闪存块的空间来提高部分闪存块的读干扰容忍性。IPR不将读重写产生的回写数据直接写入读干扰容忍性更高的闪存块中，而是先将其写入一部分监视块中，并计算每个页面的读取频率，在第二次读重写时才将读计数相对较多的页面写入读干扰容忍性更高的闪存块中，读计数相对较少的页面则写回到普通闪存块中。 </w:t>
            </w:r>
          </w:p>
          <w:p w14:paraId="5E51992C">
            <w:pPr>
              <w:bidi w:val="0"/>
              <w:jc w:val="both"/>
            </w:pPr>
            <w:r>
              <w:rPr>
                <w:rFonts w:hint="default"/>
                <w:lang w:val="en-US" w:eastAsia="zh-CN"/>
              </w:rPr>
              <w:t>以 TLC 闪存为例，一个字线上有三个页面，分别称为低页、中页、高页。读取低页只需施加一次电压，读取中页需要施加两次电压，读取高页需要施加三次电压。相应的，它们也会有不同的读写延迟和产生不同的读干扰。大多数相关工作</w:t>
            </w:r>
            <w:r>
              <w:rPr>
                <w:rFonts w:hint="default"/>
                <w:vertAlign w:val="superscript"/>
                <w:lang w:val="en-US" w:eastAsia="zh-CN"/>
              </w:rPr>
              <w:fldChar w:fldCharType="begin"/>
            </w:r>
            <w:r>
              <w:rPr>
                <w:rFonts w:hint="default"/>
                <w:vertAlign w:val="superscript"/>
                <w:lang w:val="en-US" w:eastAsia="zh-CN"/>
              </w:rPr>
              <w:instrText xml:space="preserve"> REF _Ref1784234151 \r \h </w:instrText>
            </w:r>
            <w:r>
              <w:rPr>
                <w:rFonts w:hint="default"/>
                <w:vertAlign w:val="superscript"/>
                <w:lang w:val="en-US" w:eastAsia="zh-CN"/>
              </w:rPr>
              <w:fldChar w:fldCharType="separate"/>
            </w:r>
            <w:r>
              <w:rPr>
                <w:rFonts w:hint="default"/>
                <w:vertAlign w:val="superscript"/>
                <w:lang w:val="en-US" w:eastAsia="zh-CN"/>
              </w:rPr>
              <w:t>[24]</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_Ref1784267765 \r \h </w:instrText>
            </w:r>
            <w:r>
              <w:rPr>
                <w:rFonts w:hint="default"/>
                <w:vertAlign w:val="superscript"/>
                <w:lang w:val="en-US" w:eastAsia="zh-CN"/>
              </w:rPr>
              <w:fldChar w:fldCharType="separate"/>
            </w:r>
            <w:r>
              <w:rPr>
                <w:rFonts w:hint="default"/>
                <w:vertAlign w:val="superscript"/>
                <w:lang w:val="en-US" w:eastAsia="zh-CN"/>
              </w:rPr>
              <w:t>[25]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_Ref1784301379 \r \h </w:instrText>
            </w:r>
            <w:r>
              <w:rPr>
                <w:rFonts w:hint="default"/>
                <w:vertAlign w:val="superscript"/>
                <w:lang w:val="en-US" w:eastAsia="zh-CN"/>
              </w:rPr>
              <w:fldChar w:fldCharType="separate"/>
            </w:r>
            <w:r>
              <w:rPr>
                <w:rFonts w:hint="default"/>
                <w:vertAlign w:val="superscript"/>
                <w:lang w:val="en-US" w:eastAsia="zh-CN"/>
              </w:rPr>
              <w:t>[26]</w:t>
            </w:r>
            <w:r>
              <w:rPr>
                <w:rFonts w:hint="default"/>
                <w:vertAlign w:val="superscript"/>
                <w:lang w:val="en-US" w:eastAsia="zh-CN"/>
              </w:rPr>
              <w:fldChar w:fldCharType="end"/>
            </w:r>
            <w:r>
              <w:rPr>
                <w:rFonts w:hint="default"/>
                <w:lang w:val="en-US" w:eastAsia="zh-CN"/>
              </w:rPr>
              <w:t>提出可以将读密集型数 据放置到低页（更快的页面）上来提高读性能。然而，闪存中的低页页面数量是有限的。如果所有读密集型的数据都分配给低页，那么中页和高页（慢速页面）在这样的负载中就没有得到充分使用，导致了极大的空间浪费。为了提高慢速页面的性能，Choi 等人</w:t>
            </w:r>
            <w:r>
              <w:rPr>
                <w:rFonts w:hint="default"/>
                <w:vertAlign w:val="superscript"/>
                <w:lang w:val="en-US" w:eastAsia="zh-CN"/>
              </w:rPr>
              <w:fldChar w:fldCharType="begin"/>
            </w:r>
            <w:r>
              <w:rPr>
                <w:rFonts w:hint="default"/>
                <w:vertAlign w:val="superscript"/>
                <w:lang w:val="en-US" w:eastAsia="zh-CN"/>
              </w:rPr>
              <w:instrText xml:space="preserve"> REF _Ref1784771975 \r \h </w:instrText>
            </w:r>
            <w:r>
              <w:rPr>
                <w:rFonts w:hint="default"/>
                <w:vertAlign w:val="superscript"/>
                <w:lang w:val="en-US" w:eastAsia="zh-CN"/>
              </w:rPr>
              <w:fldChar w:fldCharType="separate"/>
            </w:r>
            <w:r>
              <w:rPr>
                <w:rFonts w:hint="default"/>
                <w:vertAlign w:val="superscript"/>
                <w:lang w:val="en-US" w:eastAsia="zh-CN"/>
              </w:rPr>
              <w:t>[27]</w:t>
            </w:r>
            <w:r>
              <w:rPr>
                <w:rFonts w:hint="default"/>
                <w:vertAlign w:val="superscript"/>
                <w:lang w:val="en-US" w:eastAsia="zh-CN"/>
              </w:rPr>
              <w:fldChar w:fldCharType="end"/>
            </w:r>
            <w:r>
              <w:rPr>
                <w:rFonts w:hint="default"/>
                <w:lang w:val="en-US" w:eastAsia="zh-CN"/>
              </w:rPr>
              <w:t>利用重编程技术使慢速页面可以获得与快速页面相同的低读延迟。重编程技术的原理是闪存单元中的电子可以持续增加而不能减少，重编程技术将电压从低电平增加到高电平。因此，一个闪存单元可以在被擦除前编程多次，只要它的电压不断增加。Long 等人</w:t>
            </w:r>
            <w:r>
              <w:rPr>
                <w:rFonts w:hint="default"/>
                <w:vertAlign w:val="superscript"/>
                <w:lang w:val="en-US" w:eastAsia="zh-CN"/>
              </w:rPr>
              <w:fldChar w:fldCharType="begin"/>
            </w:r>
            <w:r>
              <w:rPr>
                <w:rFonts w:hint="default"/>
                <w:vertAlign w:val="superscript"/>
                <w:lang w:val="en-US" w:eastAsia="zh-CN"/>
              </w:rPr>
              <w:instrText xml:space="preserve"> REF _Ref1784990466 \r \h </w:instrText>
            </w:r>
            <w:r>
              <w:rPr>
                <w:rFonts w:hint="default"/>
                <w:vertAlign w:val="superscript"/>
                <w:lang w:val="en-US" w:eastAsia="zh-CN"/>
              </w:rPr>
              <w:fldChar w:fldCharType="separate"/>
            </w:r>
            <w:r>
              <w:rPr>
                <w:rFonts w:hint="default"/>
                <w:vertAlign w:val="superscript"/>
                <w:lang w:val="en-US" w:eastAsia="zh-CN"/>
              </w:rPr>
              <w:t>[28]</w:t>
            </w:r>
            <w:r>
              <w:rPr>
                <w:rFonts w:hint="default"/>
                <w:vertAlign w:val="superscript"/>
                <w:lang w:val="en-US" w:eastAsia="zh-CN"/>
              </w:rPr>
              <w:fldChar w:fldCharType="end"/>
            </w:r>
            <w:r>
              <w:rPr>
                <w:rFonts w:hint="default"/>
                <w:lang w:val="en-US" w:eastAsia="zh-CN"/>
              </w:rPr>
              <w:t xml:space="preserve">提出了一种新型的冷热数据分类算法，该算法通过感知数据失效时间来识别热只写数据、热只读数据、冷只写数据和冷只热数据。并且提出可以先将低延迟的低页和中页分配给热读数据，已经分配到高页上的热读数据在恰当的时机重编程到低页或中页上，以此来降低读干扰，提高读性能。 </w:t>
            </w:r>
          </w:p>
          <w:p w14:paraId="1EEE6EED">
            <w:pPr>
              <w:bidi w:val="0"/>
              <w:jc w:val="both"/>
            </w:pPr>
            <w:r>
              <w:rPr>
                <w:rFonts w:hint="default"/>
                <w:lang w:val="en-US" w:eastAsia="zh-CN"/>
              </w:rPr>
              <w:t xml:space="preserve">(3)通过缓存管理缓解读干扰 </w:t>
            </w:r>
          </w:p>
          <w:p w14:paraId="4967B8C0">
            <w:pPr>
              <w:bidi w:val="0"/>
              <w:jc w:val="both"/>
            </w:pPr>
            <w:r>
              <w:rPr>
                <w:rFonts w:hint="default"/>
                <w:lang w:val="en-US" w:eastAsia="zh-CN"/>
              </w:rPr>
              <w:t>热数据管理的技术大多是在读重写发生之后对重写数据进行特殊放置，避免第二次读重写发生。但是这些方法都对热数据的到来缺少应对措施，即当读重写发生后才进行解决。直观上来讲，如果可以用闪存系统中的 DRAM 缓存一部分热读数据，则自然就可以减少闪存器件的读干扰。Shim 等人</w:t>
            </w:r>
            <w:r>
              <w:rPr>
                <w:rFonts w:hint="default"/>
                <w:vertAlign w:val="superscript"/>
                <w:lang w:val="en-US" w:eastAsia="zh-CN"/>
              </w:rPr>
              <w:fldChar w:fldCharType="begin"/>
            </w:r>
            <w:r>
              <w:rPr>
                <w:rFonts w:hint="default"/>
                <w:vertAlign w:val="superscript"/>
                <w:lang w:val="en-US" w:eastAsia="zh-CN"/>
              </w:rPr>
              <w:instrText xml:space="preserve"> REF _Ref1785208957 \r \h </w:instrText>
            </w:r>
            <w:r>
              <w:rPr>
                <w:rFonts w:hint="default"/>
                <w:vertAlign w:val="superscript"/>
                <w:lang w:val="en-US" w:eastAsia="zh-CN"/>
              </w:rPr>
              <w:fldChar w:fldCharType="separate"/>
            </w:r>
            <w:r>
              <w:rPr>
                <w:rFonts w:hint="default"/>
                <w:vertAlign w:val="superscript"/>
                <w:lang w:val="en-US" w:eastAsia="zh-CN"/>
              </w:rPr>
              <w:t>[29]</w:t>
            </w:r>
            <w:r>
              <w:rPr>
                <w:rFonts w:hint="default"/>
                <w:vertAlign w:val="superscript"/>
                <w:lang w:val="en-US" w:eastAsia="zh-CN"/>
              </w:rPr>
              <w:fldChar w:fldCharType="end"/>
            </w:r>
            <w:r>
              <w:rPr>
                <w:rFonts w:hint="default"/>
                <w:lang w:val="en-US" w:eastAsia="zh-CN"/>
              </w:rPr>
              <w:t>提出可以根据工作负载的状态动态改变地址映射表和读写缓存的比例大小，适当分区来达到更好的缓存目的。Hu 等人</w:t>
            </w:r>
            <w:r>
              <w:rPr>
                <w:rFonts w:hint="default"/>
                <w:vertAlign w:val="superscript"/>
                <w:lang w:val="en-US" w:eastAsia="zh-CN"/>
              </w:rPr>
              <w:fldChar w:fldCharType="begin"/>
            </w:r>
            <w:r>
              <w:rPr>
                <w:rFonts w:hint="default"/>
                <w:vertAlign w:val="superscript"/>
                <w:lang w:val="en-US" w:eastAsia="zh-CN"/>
              </w:rPr>
              <w:instrText xml:space="preserve"> REF _Ref1785377027 \r \h </w:instrText>
            </w:r>
            <w:r>
              <w:rPr>
                <w:rFonts w:hint="default"/>
                <w:vertAlign w:val="superscript"/>
                <w:lang w:val="en-US" w:eastAsia="zh-CN"/>
              </w:rPr>
              <w:fldChar w:fldCharType="separate"/>
            </w:r>
            <w:r>
              <w:rPr>
                <w:rFonts w:hint="default"/>
                <w:vertAlign w:val="superscript"/>
                <w:lang w:val="en-US" w:eastAsia="zh-CN"/>
              </w:rPr>
              <w:t>[30]</w:t>
            </w:r>
            <w:r>
              <w:rPr>
                <w:rFonts w:hint="default"/>
                <w:vertAlign w:val="superscript"/>
                <w:lang w:val="en-US" w:eastAsia="zh-CN"/>
              </w:rPr>
              <w:fldChar w:fldCharType="end"/>
            </w:r>
            <w:r>
              <w:rPr>
                <w:rFonts w:hint="default"/>
                <w:lang w:val="en-US" w:eastAsia="zh-CN"/>
              </w:rPr>
              <w:t>提出可以利用闪存内部的芯片级和通道级并行性，在预期流量爆发时明智和主动地清除脏缓冲数据，在缓存命中率和响应时间方面实现更好的性能。Yeh 等人</w:t>
            </w:r>
            <w:r>
              <w:rPr>
                <w:rFonts w:hint="default"/>
                <w:vertAlign w:val="superscript"/>
                <w:lang w:val="en-US" w:eastAsia="zh-CN"/>
              </w:rPr>
              <w:fldChar w:fldCharType="begin"/>
            </w:r>
            <w:r>
              <w:rPr>
                <w:rFonts w:hint="default"/>
                <w:vertAlign w:val="superscript"/>
                <w:lang w:val="en-US" w:eastAsia="zh-CN"/>
              </w:rPr>
              <w:instrText xml:space="preserve"> REF _Ref1785511483 \r \h </w:instrText>
            </w:r>
            <w:r>
              <w:rPr>
                <w:rFonts w:hint="default"/>
                <w:vertAlign w:val="superscript"/>
                <w:lang w:val="en-US" w:eastAsia="zh-CN"/>
              </w:rPr>
              <w:fldChar w:fldCharType="separate"/>
            </w:r>
            <w:r>
              <w:rPr>
                <w:rFonts w:hint="default"/>
                <w:vertAlign w:val="superscript"/>
                <w:lang w:val="en-US" w:eastAsia="zh-CN"/>
              </w:rPr>
              <w:t>[31]</w:t>
            </w:r>
            <w:r>
              <w:rPr>
                <w:rFonts w:hint="default"/>
                <w:vertAlign w:val="superscript"/>
                <w:lang w:val="en-US" w:eastAsia="zh-CN"/>
              </w:rPr>
              <w:fldChar w:fldCharType="end"/>
            </w:r>
            <w:r>
              <w:rPr>
                <w:rFonts w:hint="default"/>
                <w:lang w:val="en-US" w:eastAsia="zh-CN"/>
              </w:rPr>
              <w:t xml:space="preserve">则提出可以通过建立 NAND 闪存写期望最小值的统计模型，计算出适合写缓冲区和写映射缓存的 DRAM 分配策略，并采用成本效益策略，将适当的 DRAM 空间分别从写缓冲区和写映射缓存重新分配给读缓冲区和读映射缓存，从而在 NAND 闪存中减少更多的读/写，提高响应时间。 </w:t>
            </w:r>
          </w:p>
          <w:p w14:paraId="58AF8404">
            <w:pPr>
              <w:bidi w:val="0"/>
              <w:ind w:left="0" w:leftChars="0" w:firstLine="0" w:firstLineChars="0"/>
              <w:jc w:val="both"/>
            </w:pPr>
            <w:r>
              <w:rPr>
                <w:rFonts w:hint="default"/>
                <w:lang w:val="en-US" w:eastAsia="zh-CN"/>
              </w:rPr>
              <w:t>在缓存替换策略方面，除了传统的 LRU、LFU、ARC</w:t>
            </w:r>
            <w:r>
              <w:rPr>
                <w:rFonts w:hint="default"/>
                <w:lang w:val="en-US" w:eastAsia="zh-CN"/>
              </w:rPr>
              <w:fldChar w:fldCharType="begin"/>
            </w:r>
            <w:r>
              <w:rPr>
                <w:rFonts w:hint="default"/>
                <w:lang w:val="en-US" w:eastAsia="zh-CN"/>
              </w:rPr>
              <w:instrText xml:space="preserve"> REF _Ref1785696360 \r \h </w:instrText>
            </w:r>
            <w:r>
              <w:rPr>
                <w:rFonts w:hint="default"/>
                <w:lang w:val="en-US" w:eastAsia="zh-CN"/>
              </w:rPr>
              <w:fldChar w:fldCharType="separate"/>
            </w:r>
            <w:r>
              <w:rPr>
                <w:rFonts w:hint="default"/>
                <w:lang w:val="en-US" w:eastAsia="zh-CN"/>
              </w:rPr>
              <w:t>[32]</w:t>
            </w:r>
            <w:r>
              <w:rPr>
                <w:rFonts w:hint="default"/>
                <w:lang w:val="en-US" w:eastAsia="zh-CN"/>
              </w:rPr>
              <w:fldChar w:fldCharType="end"/>
            </w:r>
            <w:r>
              <w:rPr>
                <w:rFonts w:hint="default"/>
                <w:lang w:val="en-US" w:eastAsia="zh-CN"/>
              </w:rPr>
              <w:t>和 LIRS</w:t>
            </w:r>
            <w:r>
              <w:rPr>
                <w:rFonts w:hint="default"/>
                <w:vertAlign w:val="superscript"/>
                <w:lang w:val="en-US" w:eastAsia="zh-CN"/>
              </w:rPr>
              <w:fldChar w:fldCharType="begin"/>
            </w:r>
            <w:r>
              <w:rPr>
                <w:rFonts w:hint="default"/>
                <w:vertAlign w:val="superscript"/>
                <w:lang w:val="en-US" w:eastAsia="zh-CN"/>
              </w:rPr>
              <w:instrText xml:space="preserve"> REF _Ref1785847623 \r \h </w:instrText>
            </w:r>
            <w:r>
              <w:rPr>
                <w:rFonts w:hint="default"/>
                <w:vertAlign w:val="superscript"/>
                <w:lang w:val="en-US" w:eastAsia="zh-CN"/>
              </w:rPr>
              <w:fldChar w:fldCharType="separate"/>
            </w:r>
            <w:r>
              <w:rPr>
                <w:rFonts w:hint="default"/>
                <w:vertAlign w:val="superscript"/>
                <w:lang w:val="en-US" w:eastAsia="zh-CN"/>
              </w:rPr>
              <w:t>[33]</w:t>
            </w:r>
            <w:r>
              <w:rPr>
                <w:rFonts w:hint="default"/>
                <w:vertAlign w:val="superscript"/>
                <w:lang w:val="en-US" w:eastAsia="zh-CN"/>
              </w:rPr>
              <w:fldChar w:fldCharType="end"/>
            </w:r>
            <w:r>
              <w:rPr>
                <w:rFonts w:hint="default"/>
                <w:lang w:val="en-US" w:eastAsia="zh-CN"/>
              </w:rPr>
              <w:t>等策略之外，NAND闪存中还存在一些基于闪存物理特性的缓存替换策略。Kim 等人</w:t>
            </w:r>
            <w:r>
              <w:rPr>
                <w:rFonts w:hint="default"/>
                <w:vertAlign w:val="superscript"/>
                <w:lang w:val="en-US" w:eastAsia="zh-CN"/>
              </w:rPr>
              <w:fldChar w:fldCharType="begin"/>
            </w:r>
            <w:r>
              <w:rPr>
                <w:rFonts w:hint="default"/>
                <w:vertAlign w:val="superscript"/>
                <w:lang w:val="en-US" w:eastAsia="zh-CN"/>
              </w:rPr>
              <w:instrText xml:space="preserve"> REF _Ref1786032500 \r \h </w:instrText>
            </w:r>
            <w:r>
              <w:rPr>
                <w:rFonts w:hint="default"/>
                <w:vertAlign w:val="superscript"/>
                <w:lang w:val="en-US" w:eastAsia="zh-CN"/>
              </w:rPr>
              <w:fldChar w:fldCharType="separate"/>
            </w:r>
            <w:r>
              <w:rPr>
                <w:rFonts w:hint="default"/>
                <w:vertAlign w:val="superscript"/>
                <w:lang w:val="en-US" w:eastAsia="zh-CN"/>
              </w:rPr>
              <w:t>[34]</w:t>
            </w:r>
            <w:r>
              <w:rPr>
                <w:rFonts w:hint="default"/>
                <w:vertAlign w:val="superscript"/>
                <w:lang w:val="en-US" w:eastAsia="zh-CN"/>
              </w:rPr>
              <w:fldChar w:fldCharType="end"/>
            </w:r>
            <w:r>
              <w:rPr>
                <w:rFonts w:hint="default"/>
                <w:lang w:val="en-US" w:eastAsia="zh-CN"/>
              </w:rPr>
              <w:t>提出一种称为 BPLRU的缓存替换策略，他们提出可以以闪存块为单位，位于同一闪存块中的数据在缓存中聚集在一起进行移动，需要替换时同一闪存块中的数据一起移出缓存，通过利用冷热数据聚集的特点在某些特定负载中实现更好的缓存效果。Wu 等人</w:t>
            </w:r>
            <w:r>
              <w:rPr>
                <w:rFonts w:hint="default"/>
                <w:vertAlign w:val="superscript"/>
                <w:lang w:val="en-US" w:eastAsia="zh-CN"/>
              </w:rPr>
              <w:fldChar w:fldCharType="begin"/>
            </w:r>
            <w:r>
              <w:rPr>
                <w:rFonts w:hint="default"/>
                <w:vertAlign w:val="superscript"/>
                <w:lang w:val="en-US" w:eastAsia="zh-CN"/>
              </w:rPr>
              <w:instrText xml:space="preserve"> REF _Ref1786183763 \r \h </w:instrText>
            </w:r>
            <w:r>
              <w:rPr>
                <w:rFonts w:hint="default"/>
                <w:vertAlign w:val="superscript"/>
                <w:lang w:val="en-US" w:eastAsia="zh-CN"/>
              </w:rPr>
              <w:fldChar w:fldCharType="separate"/>
            </w:r>
            <w:r>
              <w:rPr>
                <w:rFonts w:hint="default"/>
                <w:vertAlign w:val="superscript"/>
                <w:lang w:val="en-US" w:eastAsia="zh-CN"/>
              </w:rPr>
              <w:t>[35]</w:t>
            </w:r>
            <w:r>
              <w:rPr>
                <w:rFonts w:hint="default"/>
                <w:vertAlign w:val="superscript"/>
                <w:lang w:val="en-US" w:eastAsia="zh-CN"/>
              </w:rPr>
              <w:fldChar w:fldCharType="end"/>
            </w:r>
            <w:r>
              <w:rPr>
                <w:rFonts w:hint="default"/>
                <w:lang w:val="en-US" w:eastAsia="zh-CN"/>
              </w:rPr>
              <w:t>提出一种称为 GCaR 的支持垃圾回收感知的替换策略，其基本思想是在缓存时为处于 GC 状态的闪存芯片的闪存块提供更高的优先级，通过这种方式可以在一定程度上减少闪存系统的写放大。Wu 等人</w:t>
            </w:r>
            <w:r>
              <w:rPr>
                <w:rFonts w:hint="default"/>
                <w:vertAlign w:val="superscript"/>
                <w:lang w:val="en-US" w:eastAsia="zh-CN"/>
              </w:rPr>
              <w:fldChar w:fldCharType="begin"/>
            </w:r>
            <w:r>
              <w:rPr>
                <w:rFonts w:hint="default"/>
                <w:vertAlign w:val="superscript"/>
                <w:lang w:val="en-US" w:eastAsia="zh-CN"/>
              </w:rPr>
              <w:instrText xml:space="preserve"> REF _Ref1794604070 \r \h </w:instrText>
            </w:r>
            <w:r>
              <w:rPr>
                <w:rFonts w:hint="default"/>
                <w:vertAlign w:val="superscript"/>
                <w:lang w:val="en-US" w:eastAsia="zh-CN"/>
              </w:rPr>
              <w:fldChar w:fldCharType="separate"/>
            </w:r>
            <w:r>
              <w:rPr>
                <w:rFonts w:hint="default"/>
                <w:vertAlign w:val="superscript"/>
                <w:lang w:val="en-US" w:eastAsia="zh-CN"/>
              </w:rPr>
              <w:t>[36]</w:t>
            </w:r>
            <w:r>
              <w:rPr>
                <w:rFonts w:hint="default"/>
                <w:vertAlign w:val="superscript"/>
                <w:lang w:val="en-US" w:eastAsia="zh-CN"/>
              </w:rPr>
              <w:fldChar w:fldCharType="end"/>
            </w:r>
            <w:r>
              <w:rPr>
                <w:rFonts w:hint="default"/>
                <w:lang w:val="en-US" w:eastAsia="zh-CN"/>
              </w:rPr>
              <w:t xml:space="preserve">提出 </w:t>
            </w:r>
          </w:p>
          <w:p w14:paraId="4FF10A1A">
            <w:pPr>
              <w:bidi w:val="0"/>
              <w:ind w:left="0" w:leftChars="0" w:firstLine="0" w:firstLineChars="0"/>
              <w:jc w:val="both"/>
              <w:rPr>
                <w:rFonts w:hint="eastAsia" w:ascii="宋体" w:hAnsi="宋体"/>
                <w:sz w:val="24"/>
                <w:szCs w:val="24"/>
                <w:lang w:eastAsia="zh-CN"/>
              </w:rPr>
            </w:pPr>
            <w:r>
              <w:rPr>
                <w:rFonts w:hint="default"/>
                <w:lang w:val="en-US" w:eastAsia="zh-CN"/>
              </w:rPr>
              <w:t>还可以利用集群的空间局部性，构造一种具有粒度差异的混合页面/闪存块的缓存架构，实现更好的缓存效果</w:t>
            </w:r>
            <w:r>
              <w:rPr>
                <w:rFonts w:hint="eastAsia"/>
                <w:lang w:val="en-US" w:eastAsia="zh-CN"/>
              </w:rPr>
              <w:t>。</w:t>
            </w:r>
          </w:p>
        </w:tc>
      </w:tr>
      <w:tr w14:paraId="6D85D53B">
        <w:trPr>
          <w:trHeight w:val="90" w:hRule="atLeast"/>
        </w:trPr>
        <w:tc>
          <w:tcPr>
            <w:tcW w:w="8522" w:type="dxa"/>
          </w:tcPr>
          <w:p w14:paraId="74F9CF2B">
            <w:pPr>
              <w:numPr>
                <w:ilvl w:val="0"/>
                <w:numId w:val="2"/>
              </w:numPr>
              <w:bidi w:val="0"/>
              <w:ind w:left="0" w:leftChars="0" w:firstLine="0" w:firstLineChars="0"/>
              <w:jc w:val="both"/>
              <w:rPr>
                <w:rFonts w:hint="eastAsia" w:ascii="宋体" w:hAnsi="宋体"/>
                <w:sz w:val="24"/>
                <w:szCs w:val="24"/>
              </w:rPr>
            </w:pPr>
            <w:r>
              <w:rPr>
                <w:rFonts w:hint="eastAsia" w:ascii="宋体" w:hAnsi="宋体"/>
                <w:sz w:val="24"/>
                <w:szCs w:val="24"/>
              </w:rPr>
              <w:t>研究内容（说明课题的具体研究内容，重点解决的问题）：</w:t>
            </w:r>
          </w:p>
          <w:p w14:paraId="76F86592">
            <w:pPr>
              <w:bidi w:val="0"/>
              <w:jc w:val="both"/>
            </w:pPr>
            <w:r>
              <w:rPr>
                <w:rFonts w:hint="default"/>
              </w:rPr>
              <w:t>本研究旨在解决闪存系统中读干扰迁移开销过大的问题，通过探索</w:t>
            </w:r>
            <w:r>
              <w:rPr>
                <w:rFonts w:hint="eastAsia"/>
                <w:lang w:val="en-US" w:eastAsia="zh-CN"/>
              </w:rPr>
              <w:t>读干扰和垃圾回收</w:t>
            </w:r>
            <w:r>
              <w:rPr>
                <w:rFonts w:hint="default"/>
              </w:rPr>
              <w:t>的互补特性，设计并实现一套高效的数据放置策略。具体研究内容涵盖以下三个方面：</w:t>
            </w:r>
          </w:p>
          <w:p w14:paraId="52562D65">
            <w:pPr>
              <w:bidi w:val="0"/>
              <w:jc w:val="both"/>
              <w:rPr>
                <w:rFonts w:hint="default"/>
              </w:rPr>
            </w:pPr>
            <w:r>
              <w:rPr>
                <w:rFonts w:hint="default"/>
              </w:rPr>
              <w:t>1. 读写热度时间关联模型的构建</w:t>
            </w:r>
          </w:p>
          <w:p w14:paraId="09419FE1">
            <w:pPr>
              <w:bidi w:val="0"/>
              <w:jc w:val="both"/>
              <w:rPr>
                <w:rFonts w:hint="default"/>
              </w:rPr>
            </w:pPr>
            <w:r>
              <w:rPr>
                <w:rFonts w:hint="default"/>
              </w:rPr>
              <w:t>首先，深入分析不同应用负载（如键值存储、文件系统等）下数据访问的时空相关性。建立数学模型量化预测两个关键时间指标：一是基于累积读取计数和误码率增长模型预测的“读干扰临界时间” $T_{rd}$；二是基于数据更新频率预测的“块失效时间” $T_{we}$。研究如何通过轻量级在线统计方法，实时捕捉数据流中的读热度与写热度特征，为后续的放置决策提供精准的预测数据。</w:t>
            </w:r>
          </w:p>
          <w:p w14:paraId="2EB79896">
            <w:pPr>
              <w:bidi w:val="0"/>
              <w:jc w:val="both"/>
              <w:rPr>
                <w:rFonts w:hint="default"/>
              </w:rPr>
            </w:pPr>
            <w:r>
              <w:rPr>
                <w:rFonts w:hint="default"/>
              </w:rPr>
              <w:t>2. 基于频率互补性的数据放置策略（RC-DP）设计</w:t>
            </w:r>
          </w:p>
          <w:p w14:paraId="7EF215CE">
            <w:pPr>
              <w:bidi w:val="0"/>
              <w:jc w:val="both"/>
              <w:rPr>
                <w:rFonts w:hint="default"/>
              </w:rPr>
            </w:pPr>
            <w:r>
              <w:rPr>
                <w:rFonts w:hint="default"/>
              </w:rPr>
              <w:t>算法将突破传统的冷热数据物理隔离准则，转而寻求“以写避读”的布局优化。研究重点在于设计一种互补匹配机制：将识别出的高频读数据页（High Read-Disturb Risk）分配至包含高频写数据（High Invalidation Rate）的物理块中。通过这种布局，目标块会因内部写热数据的快速失效而提前进入垃圾回收周期，从而在读干扰达到错误阈值之前，利用块的自然擦除“顺带”完成对读热数据的回收，消除显性的读刷新迁移开销。</w:t>
            </w:r>
          </w:p>
          <w:p w14:paraId="2126E707">
            <w:pPr>
              <w:bidi w:val="0"/>
              <w:jc w:val="both"/>
              <w:rPr>
                <w:rFonts w:hint="default"/>
              </w:rPr>
            </w:pPr>
            <w:r>
              <w:rPr>
                <w:rFonts w:hint="default"/>
              </w:rPr>
              <w:t>3. 动态调整与算法稳定性验证机制</w:t>
            </w:r>
          </w:p>
          <w:p w14:paraId="49236565">
            <w:pPr>
              <w:bidi w:val="0"/>
              <w:jc w:val="both"/>
              <w:rPr>
                <w:rFonts w:hint="default"/>
              </w:rPr>
            </w:pPr>
            <w:r>
              <w:rPr>
                <w:rFonts w:hint="default"/>
              </w:rPr>
              <w:t>由于应用负载具有动态波动的特性，研究将引入反馈调节机制，监控互补放置后的实际效果。若写热数据的更新频率在预设时间内发生骤减，导致 $T_{we}$ 远大于 $T_{rd}$，算法需具备动态调整能力，及时通过小规模的主动搬迁规避数据丢失风险。同时，在模拟环境下验证算法在不同读写比例下的鲁棒性，确保系统在极端高并发读取场景下依然能保持极低的写放大因子和稳定的响应延迟。</w:t>
            </w:r>
          </w:p>
          <w:p w14:paraId="799DCF4F">
            <w:pPr>
              <w:pStyle w:val="3"/>
              <w:bidi w:val="0"/>
              <w:ind w:firstLine="3524" w:firstLineChars="1100"/>
              <w:jc w:val="both"/>
              <w:rPr>
                <w:rFonts w:hint="default"/>
                <w:lang w:val="en-US" w:eastAsia="zh-CN"/>
              </w:rPr>
            </w:pPr>
            <w:r>
              <w:rPr>
                <w:rFonts w:hint="eastAsia"/>
                <w:lang w:val="en-US" w:eastAsia="zh-CN"/>
              </w:rPr>
              <w:t>参考文献</w:t>
            </w:r>
          </w:p>
          <w:p w14:paraId="27B0BD5F">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ind w:left="480" w:leftChars="0" w:hanging="480" w:hangingChars="200"/>
              <w:jc w:val="left"/>
              <w:textAlignment w:val="auto"/>
            </w:pPr>
            <w:r>
              <w:rPr>
                <w:rFonts w:hint="default" w:ascii="Times New Roman" w:hAnsi="Times New Roman" w:eastAsia="宋体" w:cs="Times New Roman"/>
                <w:color w:val="000000"/>
                <w:kern w:val="0"/>
                <w:sz w:val="24"/>
                <w:szCs w:val="24"/>
                <w:lang w:val="en-US" w:eastAsia="zh-CN" w:bidi="ar"/>
              </w:rPr>
              <w:t xml:space="preserve">Masuoka F, Momodomi M, Iwata Y, et al. New ultra high density EPROM and flash EEPROM with NAND structure cell[C]. 1987 International Electron Devices Meeting. 1987: 552-555. </w:t>
            </w:r>
          </w:p>
          <w:p w14:paraId="073A4044">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ind w:left="480" w:leftChars="0" w:hanging="480" w:hangingChars="200"/>
              <w:jc w:val="left"/>
              <w:textAlignment w:val="auto"/>
            </w:pPr>
            <w:bookmarkStart w:id="0" w:name="_Ref1776738229"/>
            <w:r>
              <w:rPr>
                <w:rFonts w:hint="default" w:ascii="Times New Roman" w:hAnsi="Times New Roman" w:eastAsia="宋体" w:cs="Times New Roman"/>
                <w:color w:val="000000"/>
                <w:kern w:val="0"/>
                <w:sz w:val="24"/>
                <w:szCs w:val="24"/>
                <w:lang w:val="en-US" w:eastAsia="zh-CN" w:bidi="ar"/>
              </w:rPr>
              <w:t xml:space="preserve">Haratsch E F. Media management for high density NAND flash memories[J]. Flash Memory Summit, 2016, 3(3): 2-7. </w:t>
            </w:r>
            <w:bookmarkEnd w:id="0"/>
          </w:p>
          <w:p w14:paraId="3AB0C622">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ind w:left="480" w:leftChars="0" w:hanging="480" w:hangingChars="200"/>
              <w:jc w:val="left"/>
              <w:textAlignment w:val="auto"/>
            </w:pPr>
            <w:r>
              <w:rPr>
                <w:rFonts w:hint="default" w:ascii="NotoSerifCJKjp" w:hAnsi="NotoSerifCJKjp" w:eastAsia="NotoSerifCJKjp" w:cs="NotoSerifCJKjp"/>
                <w:color w:val="000000"/>
                <w:kern w:val="0"/>
                <w:sz w:val="24"/>
                <w:szCs w:val="24"/>
                <w:lang w:val="en-US" w:eastAsia="zh-CN" w:bidi="ar"/>
              </w:rPr>
              <w:t>陆游游</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杨者</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舒继武</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闪存存储的重构与系统构建技术</w:t>
            </w:r>
            <w:r>
              <w:rPr>
                <w:rFonts w:hint="default" w:ascii="Times New Roman" w:hAnsi="Times New Roman" w:eastAsia="宋体" w:cs="Times New Roman"/>
                <w:color w:val="000000"/>
                <w:kern w:val="0"/>
                <w:sz w:val="24"/>
                <w:szCs w:val="24"/>
                <w:lang w:val="en-US" w:eastAsia="zh-CN" w:bidi="ar"/>
              </w:rPr>
              <w:t xml:space="preserve">[J]. </w:t>
            </w:r>
            <w:r>
              <w:rPr>
                <w:rFonts w:hint="default" w:ascii="NotoSerifCJKjp" w:hAnsi="NotoSerifCJKjp" w:eastAsia="NotoSerifCJKjp" w:cs="NotoSerifCJKjp"/>
                <w:color w:val="000000"/>
                <w:kern w:val="0"/>
                <w:sz w:val="24"/>
                <w:szCs w:val="24"/>
                <w:lang w:val="en-US" w:eastAsia="zh-CN" w:bidi="ar"/>
              </w:rPr>
              <w:t>计算机研究与发展</w:t>
            </w:r>
            <w:r>
              <w:rPr>
                <w:rFonts w:hint="default" w:ascii="Times New Roman" w:hAnsi="Times New Roman" w:eastAsia="宋体" w:cs="Times New Roman"/>
                <w:color w:val="000000"/>
                <w:kern w:val="0"/>
                <w:sz w:val="24"/>
                <w:szCs w:val="24"/>
                <w:lang w:val="en-US" w:eastAsia="zh-CN" w:bidi="ar"/>
              </w:rPr>
              <w:t xml:space="preserve">, 2019, 56(1): 12. </w:t>
            </w:r>
          </w:p>
          <w:p w14:paraId="1AF3F30A">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ind w:left="480" w:leftChars="0" w:hanging="480" w:hangingChars="200"/>
              <w:jc w:val="left"/>
              <w:textAlignment w:val="auto"/>
            </w:pPr>
            <w:bookmarkStart w:id="1" w:name="_Ref1778183631"/>
            <w:r>
              <w:rPr>
                <w:rFonts w:hint="default" w:ascii="Times New Roman" w:hAnsi="Times New Roman" w:eastAsia="宋体" w:cs="Times New Roman"/>
                <w:color w:val="000000"/>
                <w:kern w:val="0"/>
                <w:sz w:val="24"/>
                <w:szCs w:val="24"/>
                <w:lang w:val="en-US" w:eastAsia="zh-CN" w:bidi="ar"/>
              </w:rPr>
              <w:t xml:space="preserve">Cai Y, Haratsch E F, Mutlu O, et al. Threshold voltage distribution in MLC NAND flash memory: Characterization, analysis, and modeling[C]. 2013 Design, Automation &amp; Test in Europe Conference &amp; Exhibition (DATE). 2013: 1285-1290. </w:t>
            </w:r>
            <w:bookmarkEnd w:id="1"/>
          </w:p>
          <w:p w14:paraId="77C856DF">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ind w:left="480" w:leftChars="0" w:hanging="480" w:hangingChars="200"/>
              <w:jc w:val="left"/>
              <w:textAlignment w:val="auto"/>
            </w:pPr>
            <w:r>
              <w:rPr>
                <w:rFonts w:hint="default" w:ascii="NotoSerifCJKjp" w:hAnsi="NotoSerifCJKjp" w:eastAsia="NotoSerifCJKjp" w:cs="NotoSerifCJKjp"/>
                <w:color w:val="000000"/>
                <w:kern w:val="0"/>
                <w:sz w:val="24"/>
                <w:szCs w:val="24"/>
                <w:lang w:val="en-US" w:eastAsia="zh-CN" w:bidi="ar"/>
              </w:rPr>
              <w:t>陆游游</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舒继武</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闪存存储系统综述</w:t>
            </w:r>
            <w:r>
              <w:rPr>
                <w:rFonts w:hint="default" w:ascii="Times New Roman" w:hAnsi="Times New Roman" w:eastAsia="宋体" w:cs="Times New Roman"/>
                <w:color w:val="000000"/>
                <w:kern w:val="0"/>
                <w:sz w:val="24"/>
                <w:szCs w:val="24"/>
                <w:lang w:val="en-US" w:eastAsia="zh-CN" w:bidi="ar"/>
              </w:rPr>
              <w:t xml:space="preserve">[J]. </w:t>
            </w:r>
            <w:r>
              <w:rPr>
                <w:rFonts w:hint="default" w:ascii="NotoSerifCJKjp" w:hAnsi="NotoSerifCJKjp" w:eastAsia="NotoSerifCJKjp" w:cs="NotoSerifCJKjp"/>
                <w:color w:val="000000"/>
                <w:kern w:val="0"/>
                <w:sz w:val="24"/>
                <w:szCs w:val="24"/>
                <w:lang w:val="en-US" w:eastAsia="zh-CN" w:bidi="ar"/>
              </w:rPr>
              <w:t>计算机研究与发展</w:t>
            </w:r>
            <w:r>
              <w:rPr>
                <w:rFonts w:hint="default" w:ascii="Times New Roman" w:hAnsi="Times New Roman" w:eastAsia="宋体" w:cs="Times New Roman"/>
                <w:color w:val="000000"/>
                <w:kern w:val="0"/>
                <w:sz w:val="24"/>
                <w:szCs w:val="24"/>
                <w:lang w:val="en-US" w:eastAsia="zh-CN" w:bidi="ar"/>
              </w:rPr>
              <w:t xml:space="preserve">, 2013, 50(1): 11. </w:t>
            </w:r>
          </w:p>
          <w:p w14:paraId="53E5E65B">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ind w:left="480" w:leftChars="0" w:hanging="480" w:hangingChars="200"/>
              <w:jc w:val="left"/>
              <w:textAlignment w:val="auto"/>
            </w:pPr>
            <w:r>
              <w:rPr>
                <w:rFonts w:hint="default" w:ascii="Times New Roman" w:hAnsi="Times New Roman" w:eastAsia="宋体" w:cs="Times New Roman"/>
                <w:color w:val="000000"/>
                <w:kern w:val="0"/>
                <w:sz w:val="24"/>
                <w:szCs w:val="24"/>
                <w:lang w:val="en-US" w:eastAsia="zh-CN" w:bidi="ar"/>
              </w:rPr>
              <w:t xml:space="preserve">Jaffer S, Mahdaviani K, Schroeder B. Improving the Reliability of Next Generation SSDs using WOM-v Codes[C]. 20th USENIX Conference on File and Storage Technologies (FAST 22). 2022: 117-132. </w:t>
            </w:r>
          </w:p>
          <w:p w14:paraId="51846560">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ind w:left="480" w:leftChars="0" w:hanging="480" w:hangingChars="200"/>
              <w:jc w:val="left"/>
              <w:textAlignment w:val="auto"/>
            </w:pPr>
            <w:bookmarkStart w:id="2" w:name="_Ref1778839104"/>
            <w:r>
              <w:rPr>
                <w:rFonts w:hint="default" w:ascii="Times New Roman" w:hAnsi="Times New Roman" w:eastAsia="宋体" w:cs="Times New Roman"/>
                <w:color w:val="000000"/>
                <w:kern w:val="0"/>
                <w:sz w:val="24"/>
                <w:szCs w:val="24"/>
                <w:lang w:val="en-US" w:eastAsia="zh-CN" w:bidi="ar"/>
              </w:rPr>
              <w:t>Park J, Kim M, Chun M, et al. Reducing solid-state drive read latency by optimizing read</w:t>
            </w:r>
            <w:r>
              <w:rPr>
                <w:rFonts w:hint="default" w:ascii="Times New Roman" w:hAnsi="Times New Roman" w:eastAsia="宋体" w:cs="Times New Roman"/>
                <w:color w:val="000000"/>
                <w:kern w:val="0"/>
                <w:sz w:val="24"/>
                <w:szCs w:val="24"/>
                <w:lang w:val="en-US" w:eastAsia="zh-CN" w:bidi="ar"/>
              </w:rPr>
              <w:t/>
            </w:r>
            <w:r>
              <w:rPr>
                <w:rFonts w:hint="default" w:ascii="Times New Roman" w:hAnsi="Times New Roman" w:eastAsia="宋体" w:cs="Times New Roman"/>
                <w:color w:val="000000"/>
                <w:kern w:val="0"/>
                <w:sz w:val="24"/>
                <w:szCs w:val="24"/>
                <w:lang w:val="en-US" w:eastAsia="zh-CN" w:bidi="ar"/>
              </w:rPr>
              <w:t xml:space="preserve">retry[C]. Proceedings of the 26th ACM International Conference on Architectural Support for Programming Languages and Operating Systems. 2021: 702-716. </w:t>
            </w:r>
            <w:bookmarkEnd w:id="2"/>
          </w:p>
          <w:p w14:paraId="632817C3">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ind w:left="480" w:leftChars="0" w:hanging="480" w:hangingChars="200"/>
              <w:jc w:val="left"/>
              <w:textAlignment w:val="auto"/>
            </w:pPr>
            <w:r>
              <w:rPr>
                <w:rFonts w:hint="default" w:ascii="NotoSerifCJKjp" w:hAnsi="NotoSerifCJKjp" w:eastAsia="NotoSerifCJKjp" w:cs="NotoSerifCJKjp"/>
                <w:color w:val="000000"/>
                <w:kern w:val="0"/>
                <w:sz w:val="24"/>
                <w:szCs w:val="24"/>
                <w:lang w:val="en-US" w:eastAsia="zh-CN" w:bidi="ar"/>
              </w:rPr>
              <w:t>高聪明</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石亮</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刘凯</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等</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闪存固态硬盘系统结构与技术</w:t>
            </w:r>
            <w:r>
              <w:rPr>
                <w:rFonts w:hint="default" w:ascii="Times New Roman" w:hAnsi="Times New Roman" w:eastAsia="宋体" w:cs="Times New Roman"/>
                <w:color w:val="000000"/>
                <w:kern w:val="0"/>
                <w:sz w:val="24"/>
                <w:szCs w:val="24"/>
                <w:lang w:val="en-US" w:eastAsia="zh-CN" w:bidi="ar"/>
              </w:rPr>
              <w:t xml:space="preserve">[J]. </w:t>
            </w:r>
            <w:r>
              <w:rPr>
                <w:rFonts w:hint="default" w:ascii="NotoSerifCJKjp" w:hAnsi="NotoSerifCJKjp" w:eastAsia="NotoSerifCJKjp" w:cs="NotoSerifCJKjp"/>
                <w:color w:val="000000"/>
                <w:kern w:val="0"/>
                <w:sz w:val="24"/>
                <w:szCs w:val="24"/>
                <w:lang w:val="en-US" w:eastAsia="zh-CN" w:bidi="ar"/>
              </w:rPr>
              <w:t>计算机研究与发展</w:t>
            </w:r>
            <w:r>
              <w:rPr>
                <w:rFonts w:hint="default" w:ascii="Times New Roman" w:hAnsi="Times New Roman" w:eastAsia="宋体" w:cs="Times New Roman"/>
                <w:color w:val="000000"/>
                <w:kern w:val="0"/>
                <w:sz w:val="24"/>
                <w:szCs w:val="24"/>
                <w:lang w:val="en-US" w:eastAsia="zh-CN" w:bidi="ar"/>
              </w:rPr>
              <w:t xml:space="preserve">, 2021, 58(7): 15. </w:t>
            </w:r>
          </w:p>
          <w:p w14:paraId="7428934F">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ind w:left="480" w:leftChars="0" w:hanging="480" w:hangingChars="200"/>
              <w:jc w:val="left"/>
              <w:textAlignment w:val="auto"/>
            </w:pPr>
            <w:r>
              <w:rPr>
                <w:rFonts w:hint="default" w:ascii="Times New Roman" w:hAnsi="Times New Roman" w:eastAsia="宋体" w:cs="Times New Roman"/>
                <w:color w:val="000000"/>
                <w:kern w:val="0"/>
                <w:sz w:val="24"/>
                <w:szCs w:val="24"/>
                <w:lang w:val="en-US" w:eastAsia="zh-CN" w:bidi="ar"/>
              </w:rPr>
              <w:t xml:space="preserve">Wu S, Zhu W, Han Y, et al. GC-Steering: GC-Aware Request Steering and Parallel Reconstruction Optimizations for SSD-Based RAIDs[J]. IEEE Transactions on Computer-Aided Design of Integrated Circuits and Systems, 2020, 39(12): 4587-4600. </w:t>
            </w:r>
          </w:p>
          <w:p w14:paraId="23621B5F">
            <w:pPr>
              <w:keepNext w:val="0"/>
              <w:keepLines w:val="0"/>
              <w:pageBreakBefore w:val="0"/>
              <w:widowControl/>
              <w:numPr>
                <w:ilvl w:val="0"/>
                <w:numId w:val="3"/>
              </w:numPr>
              <w:suppressLineNumbers w:val="0"/>
              <w:kinsoku/>
              <w:wordWrap/>
              <w:overflowPunct/>
              <w:topLinePunct w:val="0"/>
              <w:autoSpaceDE w:val="0"/>
              <w:autoSpaceDN w:val="0"/>
              <w:bidi w:val="0"/>
              <w:adjustRightInd w:val="0"/>
              <w:snapToGrid/>
              <w:ind w:left="480" w:leftChars="0" w:hanging="480" w:hangingChars="200"/>
              <w:jc w:val="left"/>
              <w:textAlignment w:val="auto"/>
            </w:pPr>
            <w:r>
              <w:rPr>
                <w:rFonts w:hint="default" w:ascii="NotoSerifCJKjp" w:hAnsi="NotoSerifCJKjp" w:eastAsia="NotoSerifCJKjp" w:cs="NotoSerifCJKjp"/>
                <w:color w:val="000000"/>
                <w:kern w:val="0"/>
                <w:sz w:val="24"/>
                <w:szCs w:val="24"/>
                <w:lang w:val="en-US" w:eastAsia="zh-CN" w:bidi="ar"/>
              </w:rPr>
              <w:t>吴素贞</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陈晓熹</w:t>
            </w:r>
            <w:r>
              <w:rPr>
                <w:rFonts w:hint="default" w:ascii="Times New Roman" w:hAnsi="Times New Roman" w:eastAsia="宋体" w:cs="Times New Roman"/>
                <w:color w:val="000000"/>
                <w:kern w:val="0"/>
                <w:sz w:val="24"/>
                <w:szCs w:val="24"/>
                <w:lang w:val="en-US" w:eastAsia="zh-CN" w:bidi="ar"/>
              </w:rPr>
              <w:t xml:space="preserve">, </w:t>
            </w:r>
            <w:r>
              <w:rPr>
                <w:rFonts w:hint="default" w:ascii="NotoSerifCJKjp" w:hAnsi="NotoSerifCJKjp" w:eastAsia="NotoSerifCJKjp" w:cs="NotoSerifCJKjp"/>
                <w:color w:val="000000"/>
                <w:kern w:val="0"/>
                <w:sz w:val="24"/>
                <w:szCs w:val="24"/>
                <w:lang w:val="en-US" w:eastAsia="zh-CN" w:bidi="ar"/>
              </w:rPr>
              <w:t>毛波</w:t>
            </w:r>
            <w:r>
              <w:rPr>
                <w:rFonts w:hint="default" w:ascii="Times New Roman" w:hAnsi="Times New Roman" w:eastAsia="宋体" w:cs="Times New Roman"/>
                <w:color w:val="000000"/>
                <w:kern w:val="0"/>
                <w:sz w:val="24"/>
                <w:szCs w:val="24"/>
                <w:lang w:val="en-US" w:eastAsia="zh-CN" w:bidi="ar"/>
              </w:rPr>
              <w:t xml:space="preserve">. GC-RAIS: </w:t>
            </w:r>
            <w:r>
              <w:rPr>
                <w:rFonts w:hint="default" w:ascii="NotoSerifCJKjp" w:hAnsi="NotoSerifCJKjp" w:eastAsia="NotoSerifCJKjp" w:cs="NotoSerifCJKjp"/>
                <w:color w:val="000000"/>
                <w:kern w:val="0"/>
                <w:sz w:val="24"/>
                <w:szCs w:val="24"/>
                <w:lang w:val="en-US" w:eastAsia="zh-CN" w:bidi="ar"/>
              </w:rPr>
              <w:t>一种基于垃圾回收感知的固态盘阵列</w:t>
            </w:r>
            <w:r>
              <w:rPr>
                <w:rFonts w:hint="default" w:ascii="Times New Roman" w:hAnsi="Times New Roman" w:eastAsia="宋体" w:cs="Times New Roman"/>
                <w:color w:val="000000"/>
                <w:kern w:val="0"/>
                <w:sz w:val="24"/>
                <w:szCs w:val="24"/>
                <w:lang w:val="en-US" w:eastAsia="zh-CN" w:bidi="ar"/>
              </w:rPr>
              <w:t xml:space="preserve">[J]. </w:t>
            </w:r>
            <w:r>
              <w:rPr>
                <w:rFonts w:hint="default" w:ascii="NotoSerifCJKjp" w:hAnsi="NotoSerifCJKjp" w:eastAsia="NotoSerifCJKjp" w:cs="NotoSerifCJKjp"/>
                <w:color w:val="000000"/>
                <w:kern w:val="0"/>
                <w:sz w:val="24"/>
                <w:szCs w:val="24"/>
                <w:lang w:val="en-US" w:eastAsia="zh-CN" w:bidi="ar"/>
              </w:rPr>
              <w:t>计算机研究与发展</w:t>
            </w:r>
            <w:r>
              <w:rPr>
                <w:rFonts w:hint="default" w:ascii="Times New Roman" w:hAnsi="Times New Roman" w:eastAsia="宋体" w:cs="Times New Roman"/>
                <w:color w:val="000000"/>
                <w:kern w:val="0"/>
                <w:sz w:val="24"/>
                <w:szCs w:val="24"/>
                <w:lang w:val="en-US" w:eastAsia="zh-CN" w:bidi="ar"/>
              </w:rPr>
              <w:t xml:space="preserve">, 2013, 50(1): 9.  </w:t>
            </w:r>
          </w:p>
          <w:p w14:paraId="55007DCF">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r>
              <w:rPr>
                <w:rFonts w:hint="default" w:ascii="Times New Roman" w:hAnsi="Times New Roman" w:eastAsia="宋体" w:cs="Times New Roman"/>
                <w:color w:val="000000"/>
                <w:kern w:val="0"/>
                <w:sz w:val="24"/>
                <w:szCs w:val="24"/>
                <w:lang w:val="en-US" w:eastAsia="zh-CN" w:bidi="ar"/>
              </w:rPr>
              <w:t xml:space="preserve">Liu C Y, Lee Y, Jung M, et al. Prolonging 3D NAND SSD lifetime via read latency relaxation[C]. Proceedings of the 26th ACM International Conference on Architectural Support for Programming Languages and Operating Systems. 2021: 730-742. </w:t>
            </w:r>
          </w:p>
          <w:p w14:paraId="02184D13">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3" w:name="_Ref1772099497"/>
            <w:r>
              <w:rPr>
                <w:rFonts w:hint="default" w:ascii="Times New Roman" w:hAnsi="Times New Roman" w:eastAsia="宋体" w:cs="Times New Roman"/>
                <w:color w:val="000000"/>
                <w:kern w:val="0"/>
                <w:sz w:val="24"/>
                <w:szCs w:val="24"/>
                <w:lang w:val="en-US" w:eastAsia="zh-CN" w:bidi="ar"/>
              </w:rPr>
              <w:t xml:space="preserve">Kang M, Park K T, Song Y, et al. Improving read disturb characteristics by self-boosting read scheme for multilevel NAND Flash memories[J]. Japanese Journal of Applied Physics, 2009, 48(4): 76-98. </w:t>
            </w:r>
            <w:bookmarkEnd w:id="3"/>
          </w:p>
          <w:p w14:paraId="73236406">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4" w:name="_Ref1777393702"/>
            <w:r>
              <w:rPr>
                <w:rFonts w:hint="default" w:ascii="Times New Roman" w:hAnsi="Times New Roman" w:eastAsia="宋体" w:cs="Times New Roman"/>
                <w:color w:val="000000"/>
                <w:kern w:val="0"/>
                <w:sz w:val="24"/>
                <w:szCs w:val="24"/>
                <w:lang w:val="en-US" w:eastAsia="zh-CN" w:bidi="ar"/>
              </w:rPr>
              <w:t xml:space="preserve">Zambelli C, Olivo P, Crippa L, et al. Uniform and concentrated read disturb effects in mid- 1X TLC NAND flash memories for enterprise solid state drives[C]. Proceedings of 2017 IEEE International Reliability Physics Symposium (IRPS). 2017: 5. </w:t>
            </w:r>
            <w:bookmarkEnd w:id="4"/>
          </w:p>
          <w:p w14:paraId="6916EF55">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5" w:name="_Ref1777595386"/>
            <w:r>
              <w:rPr>
                <w:rFonts w:hint="default" w:ascii="Times New Roman" w:hAnsi="Times New Roman" w:eastAsia="宋体" w:cs="Times New Roman"/>
                <w:color w:val="000000"/>
                <w:kern w:val="0"/>
                <w:sz w:val="24"/>
                <w:szCs w:val="24"/>
                <w:lang w:val="en-US" w:eastAsia="zh-CN" w:bidi="ar"/>
              </w:rPr>
              <w:t xml:space="preserve">Li J, Huang B, Sha Z, et al. Mitigating negative impacts of read disturb in SSDs[J]. ACM Transactions on Design Automation of Electronic Systems (TODAES), 2020, 26(1): 1-24. </w:t>
            </w:r>
            <w:bookmarkEnd w:id="5"/>
          </w:p>
          <w:p w14:paraId="2EBAF687">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6" w:name="_Ref1777763456"/>
            <w:r>
              <w:rPr>
                <w:rFonts w:hint="default" w:ascii="Times New Roman" w:hAnsi="Times New Roman" w:eastAsia="宋体" w:cs="Times New Roman"/>
                <w:color w:val="000000"/>
                <w:kern w:val="0"/>
                <w:sz w:val="24"/>
                <w:szCs w:val="24"/>
                <w:lang w:val="en-US" w:eastAsia="zh-CN" w:bidi="ar"/>
              </w:rPr>
              <w:t xml:space="preserve">Cai Y, Luo Y, Ghose S, et al. Read disturb errors in MLC NAND flash memory: Characterization, mitigation, and recovery[C]. 2015 45th Annual IEEE/IFIP International Conference on Dependable Systems and Networks. 2015: 438-449. </w:t>
            </w:r>
            <w:bookmarkEnd w:id="6"/>
          </w:p>
          <w:p w14:paraId="55EC0DE7">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7" w:name="_Ref1778250859"/>
            <w:r>
              <w:rPr>
                <w:rFonts w:hint="default" w:ascii="Times New Roman" w:hAnsi="Times New Roman" w:eastAsia="宋体" w:cs="Times New Roman"/>
                <w:color w:val="000000"/>
                <w:kern w:val="0"/>
                <w:sz w:val="24"/>
                <w:szCs w:val="24"/>
                <w:lang w:val="en-US" w:eastAsia="zh-CN" w:bidi="ar"/>
              </w:rPr>
              <w:t xml:space="preserve">Park K T, Kwon O, Yoon S, et al. A 7MB/s 64Gb 3-bit/cell DDR NAND flash memory in 20nm-node technology[C]. 2011 IEEE International Solid-State Circuits Conference. 2011: 212-213. </w:t>
            </w:r>
            <w:bookmarkEnd w:id="7"/>
          </w:p>
          <w:p w14:paraId="1F9535F4">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8" w:name="_Ref1780939979"/>
            <w:r>
              <w:rPr>
                <w:rFonts w:hint="default" w:ascii="Times New Roman" w:hAnsi="Times New Roman" w:eastAsia="宋体" w:cs="Times New Roman"/>
                <w:color w:val="000000"/>
                <w:kern w:val="0"/>
                <w:sz w:val="24"/>
                <w:szCs w:val="24"/>
                <w:lang w:val="en-US" w:eastAsia="zh-CN" w:bidi="ar"/>
              </w:rPr>
              <w:t>Shim Y, Kim M, Chun M, et al. Exploiting process similarity of 3D flash memory for high performance SSDs[C]. Proceedings of the 52nd Annual IEEE/ACM International Symposium on Micro</w:t>
            </w:r>
            <w:r>
              <w:rPr>
                <w:rFonts w:hint="eastAsia" w:ascii="Times New Roman" w:hAnsi="Times New Roman" w:eastAsia="宋体" w:cs="Times New Roman"/>
                <w:color w:val="000000"/>
                <w:kern w:val="0"/>
                <w:sz w:val="24"/>
                <w:szCs w:val="24"/>
                <w:lang w:val="en-US" w:eastAsia="zh-CN" w:bidi="ar"/>
              </w:rPr>
              <w:t xml:space="preserve"> </w:t>
            </w:r>
            <w:bookmarkStart w:id="28" w:name="_GoBack"/>
            <w:bookmarkEnd w:id="28"/>
            <w:r>
              <w:rPr>
                <w:rFonts w:hint="default" w:ascii="Times New Roman" w:hAnsi="Times New Roman" w:eastAsia="宋体" w:cs="Times New Roman"/>
                <w:color w:val="000000"/>
                <w:kern w:val="0"/>
                <w:sz w:val="24"/>
                <w:szCs w:val="24"/>
                <w:lang w:val="en-US" w:eastAsia="zh-CN" w:bidi="ar"/>
              </w:rPr>
              <w:t xml:space="preserve">architecture. 2019: 211-223. </w:t>
            </w:r>
            <w:bookmarkEnd w:id="8"/>
          </w:p>
          <w:p w14:paraId="280CE712">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9" w:name="_Ref1781108049"/>
            <w:r>
              <w:rPr>
                <w:rFonts w:hint="default" w:ascii="Times New Roman" w:hAnsi="Times New Roman" w:eastAsia="宋体" w:cs="Times New Roman"/>
                <w:color w:val="000000"/>
                <w:kern w:val="0"/>
                <w:sz w:val="24"/>
                <w:szCs w:val="24"/>
                <w:lang w:val="en-US" w:eastAsia="zh-CN" w:bidi="ar"/>
              </w:rPr>
              <w:t xml:space="preserve">Ha K, Jeong J, Kim J. An integrated approach for managing read disturbs in high-density NAND flash memory[J]. IEEE Transactions on Computer-Aided Design of Integrated Circuits and Systems, 2015, 35(7): 1079-1091.  </w:t>
            </w:r>
            <w:bookmarkEnd w:id="9"/>
          </w:p>
          <w:p w14:paraId="05EC632D">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10" w:name="_Ref1781326540"/>
            <w:r>
              <w:rPr>
                <w:rFonts w:hint="default" w:ascii="Times New Roman" w:hAnsi="Times New Roman" w:eastAsia="宋体" w:cs="Times New Roman"/>
                <w:color w:val="000000"/>
                <w:kern w:val="0"/>
                <w:sz w:val="24"/>
                <w:szCs w:val="24"/>
                <w:lang w:val="en-US" w:eastAsia="zh-CN" w:bidi="ar"/>
              </w:rPr>
              <w:t xml:space="preserve">Kang W, Shin D, Yoo S. Reinforcement learning-assisted garbage collection to mitigate long-tail latency in SSD[J]. ACM Transactions on Embedded Computing Systems (TECS), 2017, 16(5): 1-20. </w:t>
            </w:r>
            <w:bookmarkEnd w:id="10"/>
          </w:p>
          <w:p w14:paraId="548C5C05">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11" w:name="_Ref1781477803"/>
            <w:r>
              <w:rPr>
                <w:rFonts w:hint="default" w:ascii="Times New Roman" w:hAnsi="Times New Roman" w:eastAsia="宋体" w:cs="Times New Roman"/>
                <w:color w:val="000000"/>
                <w:kern w:val="0"/>
                <w:sz w:val="24"/>
                <w:szCs w:val="24"/>
                <w:lang w:val="en-US" w:eastAsia="zh-CN" w:bidi="ar"/>
              </w:rPr>
              <w:t xml:space="preserve">Zhao M, Li J, Cai Z, et al. Block attribute-aware data reallocation to alleviate read disturb in SSDs[C]. Proceedings of 2021 Design, Automation &amp; Test in Europe Conference &amp; Exhibition (DATE). 2021: 1096-1099. </w:t>
            </w:r>
            <w:bookmarkEnd w:id="11"/>
          </w:p>
          <w:p w14:paraId="414F8838">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12" w:name="_Ref1781662680"/>
            <w:r>
              <w:rPr>
                <w:rFonts w:hint="default" w:ascii="Times New Roman" w:hAnsi="Times New Roman" w:eastAsia="宋体" w:cs="Times New Roman"/>
                <w:color w:val="000000"/>
                <w:kern w:val="0"/>
                <w:sz w:val="24"/>
                <w:szCs w:val="24"/>
                <w:lang w:val="en-US" w:eastAsia="zh-CN" w:bidi="ar"/>
              </w:rPr>
              <w:t xml:space="preserve">Liu C Y, Chang Y M, Chang Y H. Read leveling for flash storage systems[C]. Proceedings of the 8th ACM International Systems and Storage Conference. 2015: 1-10. </w:t>
            </w:r>
            <w:bookmarkEnd w:id="12"/>
          </w:p>
          <w:p w14:paraId="2A0E19A2">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13" w:name="_Ref1782906398"/>
            <w:r>
              <w:rPr>
                <w:rFonts w:hint="default" w:ascii="Times New Roman" w:hAnsi="Times New Roman" w:eastAsia="宋体" w:cs="Times New Roman"/>
                <w:color w:val="000000"/>
                <w:kern w:val="0"/>
                <w:sz w:val="24"/>
                <w:szCs w:val="24"/>
                <w:lang w:val="en-US" w:eastAsia="zh-CN" w:bidi="ar"/>
              </w:rPr>
              <w:t xml:space="preserve">Ha K, Jeong J, Kim J. A read-disturb management technique for high-density NAND flash memory[C]. Proceedings of the 4th Asia-Pacific Workshop on Systems. 2013: 1-6. </w:t>
            </w:r>
            <w:bookmarkEnd w:id="13"/>
          </w:p>
          <w:p w14:paraId="6679298D">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14" w:name="_Ref1783965239"/>
            <w:r>
              <w:rPr>
                <w:rFonts w:hint="default" w:ascii="Times New Roman" w:hAnsi="Times New Roman" w:eastAsia="宋体" w:cs="Times New Roman"/>
                <w:color w:val="000000"/>
                <w:kern w:val="0"/>
                <w:sz w:val="24"/>
                <w:szCs w:val="24"/>
                <w:lang w:val="en-US" w:eastAsia="zh-CN" w:bidi="ar"/>
              </w:rPr>
              <w:t xml:space="preserve">Wu T C, Ma Y P, Chang L P. Flash read disturb management using adaptive cell bit-density with in-place reprogramming[C]. 2018 Design, Automation &amp; Test in Europe Conference &amp; Exhibition (DATE). 2018: 325-330. </w:t>
            </w:r>
            <w:bookmarkEnd w:id="14"/>
          </w:p>
          <w:p w14:paraId="64FE49BB">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15" w:name="_Ref1784234151"/>
            <w:r>
              <w:rPr>
                <w:rFonts w:hint="default" w:ascii="Times New Roman" w:hAnsi="Times New Roman" w:eastAsia="宋体" w:cs="Times New Roman"/>
                <w:color w:val="000000"/>
                <w:kern w:val="0"/>
                <w:sz w:val="24"/>
                <w:szCs w:val="24"/>
                <w:lang w:val="en-US" w:eastAsia="zh-CN" w:bidi="ar"/>
              </w:rPr>
              <w:t>Chang D W, Lin W C, Chen H H. FastRead: Improving read performance for multilevel</w:t>
            </w:r>
            <w:r>
              <w:rPr>
                <w:rFonts w:hint="default" w:ascii="Times New Roman" w:hAnsi="Times New Roman" w:eastAsia="宋体" w:cs="Times New Roman"/>
                <w:color w:val="000000"/>
                <w:kern w:val="0"/>
                <w:sz w:val="24"/>
                <w:szCs w:val="24"/>
                <w:lang w:val="en-US" w:eastAsia="zh-CN" w:bidi="ar"/>
              </w:rPr>
              <w:t/>
            </w:r>
            <w:r>
              <w:rPr>
                <w:rFonts w:hint="default" w:ascii="Times New Roman" w:hAnsi="Times New Roman" w:eastAsia="宋体" w:cs="Times New Roman"/>
                <w:color w:val="000000"/>
                <w:kern w:val="0"/>
                <w:sz w:val="24"/>
                <w:szCs w:val="24"/>
                <w:lang w:val="en-US" w:eastAsia="zh-CN" w:bidi="ar"/>
              </w:rPr>
              <w:t xml:space="preserve">cell flash memory[J]. IEEE Transactions on Very Large Scale Integration (VLSI) Systems, 2016, 24(9): 2998-3002. </w:t>
            </w:r>
            <w:bookmarkEnd w:id="15"/>
          </w:p>
          <w:p w14:paraId="62DE75E8">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16" w:name="_Ref1784267765"/>
            <w:r>
              <w:rPr>
                <w:rFonts w:hint="default" w:ascii="Times New Roman" w:hAnsi="Times New Roman" w:eastAsia="宋体" w:cs="Times New Roman"/>
                <w:color w:val="000000"/>
                <w:kern w:val="0"/>
                <w:sz w:val="24"/>
                <w:szCs w:val="24"/>
                <w:lang w:val="en-US" w:eastAsia="zh-CN" w:bidi="ar"/>
              </w:rPr>
              <w:t xml:space="preserve">Pletka R, Papandreou N, Stoica R, et al. Improving NAND flash performance with read heat separation[C]. 2020 28th International Symposium on Modeling, Analysis, and Simulation of Computer and Telecommunication Systems (MASCOTS). 2020: 1-8. </w:t>
            </w:r>
            <w:bookmarkEnd w:id="16"/>
          </w:p>
          <w:p w14:paraId="608CC1ED">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17" w:name="_Ref1784301379"/>
            <w:r>
              <w:rPr>
                <w:rFonts w:hint="default" w:ascii="Times New Roman" w:hAnsi="Times New Roman" w:eastAsia="宋体" w:cs="Times New Roman"/>
                <w:color w:val="000000"/>
                <w:kern w:val="0"/>
                <w:sz w:val="24"/>
                <w:szCs w:val="24"/>
                <w:lang w:val="en-US" w:eastAsia="zh-CN" w:bidi="ar"/>
              </w:rPr>
              <w:t xml:space="preserve">Lv Y, Shi L, Xue C J, et al. Latency variation aware read performance optimization on 3d high density NAND flash memory[C]. Proceedings of the 2020 on Great Lakes Symposium on VLSI. 2020: 411-414. </w:t>
            </w:r>
            <w:bookmarkEnd w:id="17"/>
          </w:p>
          <w:p w14:paraId="774CE513">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18" w:name="_Ref1784771975"/>
            <w:r>
              <w:rPr>
                <w:rFonts w:hint="default" w:ascii="Times New Roman" w:hAnsi="Times New Roman" w:eastAsia="宋体" w:cs="Times New Roman"/>
                <w:color w:val="000000"/>
                <w:kern w:val="0"/>
                <w:sz w:val="24"/>
                <w:szCs w:val="24"/>
                <w:lang w:val="en-US" w:eastAsia="zh-CN" w:bidi="ar"/>
              </w:rPr>
              <w:t xml:space="preserve">Choi W, Jung M, Kandemir M. Invalid data-aware coding to enhance the read performance of high-density flash memories[C]. 2018 51st Annual IEEE/ACM International Symposium on Microarchitecture (MICRO). 2018: 482-493. </w:t>
            </w:r>
            <w:bookmarkEnd w:id="18"/>
          </w:p>
          <w:p w14:paraId="2EBC1EB2">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19" w:name="_Ref1784990466"/>
            <w:r>
              <w:rPr>
                <w:rFonts w:hint="default" w:ascii="Times New Roman" w:hAnsi="Times New Roman" w:eastAsia="宋体" w:cs="Times New Roman"/>
                <w:color w:val="000000"/>
                <w:kern w:val="0"/>
                <w:sz w:val="24"/>
                <w:szCs w:val="24"/>
                <w:lang w:val="en-US" w:eastAsia="zh-CN" w:bidi="ar"/>
              </w:rPr>
              <w:t>Long L, Huang J, Gao C, et al. ADAR: Application-specific Data Allocation and Reprogramming Optimization for 3D TLC Flash Memory[J]. IEEE Transactions on Computer</w:t>
            </w:r>
            <w:r>
              <w:rPr>
                <w:rFonts w:hint="default" w:ascii="Times New Roman" w:hAnsi="Times New Roman" w:eastAsia="宋体" w:cs="Times New Roman"/>
                <w:color w:val="000000"/>
                <w:kern w:val="0"/>
                <w:sz w:val="24"/>
                <w:szCs w:val="24"/>
                <w:lang w:val="en-US" w:eastAsia="zh-CN" w:bidi="ar"/>
              </w:rPr>
              <w:t/>
            </w:r>
            <w:r>
              <w:rPr>
                <w:rFonts w:hint="default" w:ascii="Times New Roman" w:hAnsi="Times New Roman" w:eastAsia="宋体" w:cs="Times New Roman"/>
                <w:color w:val="000000"/>
                <w:kern w:val="0"/>
                <w:sz w:val="24"/>
                <w:szCs w:val="24"/>
                <w:lang w:val="en-US" w:eastAsia="zh-CN" w:bidi="ar"/>
              </w:rPr>
              <w:t xml:space="preserve">Aided Design of Integrated Circuits and Systems, 2023, 1(1): 1-14. </w:t>
            </w:r>
            <w:bookmarkEnd w:id="19"/>
          </w:p>
          <w:p w14:paraId="08064F0F">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20" w:name="_Ref1785208957"/>
            <w:r>
              <w:rPr>
                <w:rFonts w:hint="default" w:ascii="Times New Roman" w:hAnsi="Times New Roman" w:eastAsia="宋体" w:cs="Times New Roman"/>
                <w:color w:val="000000"/>
                <w:kern w:val="0"/>
                <w:sz w:val="24"/>
                <w:szCs w:val="24"/>
                <w:lang w:val="en-US" w:eastAsia="zh-CN" w:bidi="ar"/>
              </w:rPr>
              <w:t xml:space="preserve">Shim H, Seo B K, Kim J S, et al. An adaptive partitioning scheme for DRAM-based cache in solid state drives[C]. 2010 IEEE 26th Symposium on Mass Storage Systems and Technologies (MSST). 2010: 1-12. </w:t>
            </w:r>
            <w:bookmarkEnd w:id="20"/>
          </w:p>
          <w:p w14:paraId="2E6B8C4E">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rPr>
                <w:rFonts w:hint="default" w:ascii="Times New Roman" w:hAnsi="Times New Roman" w:eastAsia="宋体" w:cs="Times New Roman"/>
                <w:color w:val="000000"/>
                <w:kern w:val="0"/>
                <w:sz w:val="24"/>
                <w:szCs w:val="24"/>
                <w:lang w:val="en-US" w:eastAsia="zh-CN" w:bidi="ar"/>
              </w:rPr>
            </w:pPr>
            <w:bookmarkStart w:id="21" w:name="_Ref1785377027"/>
            <w:r>
              <w:rPr>
                <w:rFonts w:hint="default" w:ascii="Times New Roman" w:hAnsi="Times New Roman" w:eastAsia="宋体" w:cs="Times New Roman"/>
                <w:color w:val="000000"/>
                <w:kern w:val="0"/>
                <w:sz w:val="24"/>
                <w:szCs w:val="24"/>
                <w:lang w:val="en-US" w:eastAsia="zh-CN" w:bidi="ar"/>
              </w:rPr>
              <w:t>Hu Y, Jiang H, Feng D, et al. PASS: A proactive and adaptive SSD buffer scheme for data</w:t>
            </w:r>
            <w:r>
              <w:rPr>
                <w:rFonts w:hint="default" w:ascii="Times New Roman" w:hAnsi="Times New Roman" w:eastAsia="宋体" w:cs="Times New Roman"/>
                <w:color w:val="000000"/>
                <w:kern w:val="0"/>
                <w:sz w:val="24"/>
                <w:szCs w:val="24"/>
                <w:lang w:val="en-US" w:eastAsia="zh-CN" w:bidi="ar"/>
              </w:rPr>
              <w:t/>
            </w:r>
            <w:r>
              <w:rPr>
                <w:rFonts w:hint="default" w:ascii="Times New Roman" w:hAnsi="Times New Roman" w:eastAsia="宋体" w:cs="Times New Roman"/>
                <w:color w:val="000000"/>
                <w:kern w:val="0"/>
                <w:sz w:val="24"/>
                <w:szCs w:val="24"/>
                <w:lang w:val="en-US" w:eastAsia="zh-CN" w:bidi="ar"/>
              </w:rPr>
              <w:t xml:space="preserve">intensive workloads[C]. 2015 IEEE International Conference on Networking, Architecture and Storage (NAS). 2015: 54-63. </w:t>
            </w:r>
            <w:bookmarkEnd w:id="21"/>
          </w:p>
          <w:p w14:paraId="29E179EB">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22" w:name="_Ref1785511483"/>
            <w:r>
              <w:rPr>
                <w:rFonts w:hint="default" w:ascii="Times New Roman" w:hAnsi="Times New Roman" w:eastAsia="宋体" w:cs="Times New Roman"/>
                <w:color w:val="000000"/>
                <w:kern w:val="0"/>
                <w:sz w:val="24"/>
                <w:szCs w:val="24"/>
                <w:lang w:val="en-US" w:eastAsia="zh-CN" w:bidi="ar"/>
              </w:rPr>
              <w:t xml:space="preserve">Yeh P C, Wu C H, Lin Y H, et al. A Write-Related and Read-Related DRAM Allocation Strategy Inside Solid-State Drives (SSDs)[J]. ACM Transactions on Embedded Computing Systems, 2022, 22(1): 1-32. </w:t>
            </w:r>
            <w:bookmarkEnd w:id="22"/>
          </w:p>
          <w:p w14:paraId="734709D9">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23" w:name="_Ref1785696360"/>
            <w:r>
              <w:rPr>
                <w:rFonts w:hint="default" w:ascii="Times New Roman" w:hAnsi="Times New Roman" w:eastAsia="宋体" w:cs="Times New Roman"/>
                <w:color w:val="000000"/>
                <w:kern w:val="0"/>
                <w:sz w:val="24"/>
                <w:szCs w:val="24"/>
                <w:lang w:val="en-US" w:eastAsia="zh-CN" w:bidi="ar"/>
              </w:rPr>
              <w:t xml:space="preserve">Megiddo N, Modha D S. ARC: A Self-Tuning, Low Overhead Replacement Cache.[C]. FAST: vol. 3: 2003. 2003: 115-130. </w:t>
            </w:r>
            <w:bookmarkEnd w:id="23"/>
          </w:p>
          <w:p w14:paraId="1AC03B0C">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24" w:name="_Ref1785847623"/>
            <w:r>
              <w:rPr>
                <w:rFonts w:hint="default" w:ascii="Times New Roman" w:hAnsi="Times New Roman" w:eastAsia="宋体" w:cs="Times New Roman"/>
                <w:color w:val="000000"/>
                <w:kern w:val="0"/>
                <w:sz w:val="24"/>
                <w:szCs w:val="24"/>
                <w:lang w:val="en-US" w:eastAsia="zh-CN" w:bidi="ar"/>
              </w:rPr>
              <w:t xml:space="preserve">Jiang S, Zhang X. LIRS: An efficient low inter-reference recency set replacement policy to improve buffer cache performance[J]. ACM SIGMETRICS Performance Evaluation Review, 2002, 30(1): 31-42. </w:t>
            </w:r>
            <w:bookmarkEnd w:id="24"/>
          </w:p>
          <w:p w14:paraId="65685831">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25" w:name="_Ref1786032500"/>
            <w:r>
              <w:rPr>
                <w:rFonts w:hint="default" w:ascii="Times New Roman" w:hAnsi="Times New Roman" w:eastAsia="宋体" w:cs="Times New Roman"/>
                <w:color w:val="000000"/>
                <w:kern w:val="0"/>
                <w:sz w:val="24"/>
                <w:szCs w:val="24"/>
                <w:lang w:val="en-US" w:eastAsia="zh-CN" w:bidi="ar"/>
              </w:rPr>
              <w:t xml:space="preserve">Kim H, Ahn S. BPLRU: A Buffer Management Scheme for Improving Random Writes in Flash Storage.[C]. FAST: vol. 8. 2008: 1-14. </w:t>
            </w:r>
            <w:bookmarkEnd w:id="25"/>
          </w:p>
          <w:p w14:paraId="26016505">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26" w:name="_Ref1786183763"/>
            <w:r>
              <w:rPr>
                <w:rFonts w:hint="default" w:ascii="Times New Roman" w:hAnsi="Times New Roman" w:eastAsia="宋体" w:cs="Times New Roman"/>
                <w:color w:val="000000"/>
                <w:kern w:val="0"/>
                <w:sz w:val="24"/>
                <w:szCs w:val="24"/>
                <w:lang w:val="en-US" w:eastAsia="zh-CN" w:bidi="ar"/>
              </w:rPr>
              <w:t xml:space="preserve">Wu S, Mao B, Lin Y, et al. Improving performance for flash-based storage systems through GC-aware cache management[J]. IEEE Transactions on Parallel and Distributed Systems, 2017, 28(10): 2852-2865. </w:t>
            </w:r>
            <w:bookmarkEnd w:id="26"/>
          </w:p>
          <w:p w14:paraId="60BF2E34">
            <w:pPr>
              <w:keepNext w:val="0"/>
              <w:keepLines w:val="0"/>
              <w:pageBreakBefore w:val="0"/>
              <w:widowControl/>
              <w:numPr>
                <w:ilvl w:val="0"/>
                <w:numId w:val="3"/>
              </w:numPr>
              <w:suppressLineNumbers w:val="0"/>
              <w:tabs>
                <w:tab w:val="left" w:pos="0"/>
                <w:tab w:val="clear" w:pos="420"/>
              </w:tabs>
              <w:kinsoku/>
              <w:wordWrap/>
              <w:overflowPunct/>
              <w:topLinePunct w:val="0"/>
              <w:autoSpaceDE w:val="0"/>
              <w:autoSpaceDN w:val="0"/>
              <w:bidi w:val="0"/>
              <w:adjustRightInd w:val="0"/>
              <w:snapToGrid/>
              <w:ind w:left="480" w:leftChars="0" w:hanging="480" w:hangingChars="200"/>
              <w:jc w:val="left"/>
              <w:textAlignment w:val="auto"/>
            </w:pPr>
            <w:bookmarkStart w:id="27" w:name="_Ref1794604070"/>
            <w:r>
              <w:rPr>
                <w:rFonts w:hint="default" w:ascii="Times New Roman" w:hAnsi="Times New Roman" w:eastAsia="宋体" w:cs="Times New Roman"/>
                <w:color w:val="000000"/>
                <w:kern w:val="0"/>
                <w:sz w:val="24"/>
                <w:szCs w:val="24"/>
                <w:lang w:val="en-US" w:eastAsia="zh-CN" w:bidi="ar"/>
              </w:rPr>
              <w:t>Wu G, He X, Eckart B. An adaptive write buffer management scheme for flash-based ssds [J]. ACM Transactions on Storage (TOS), 2012, 8(1): 1-24.</w:t>
            </w:r>
            <w:bookmarkEnd w:id="27"/>
          </w:p>
          <w:p w14:paraId="4FBDBAAF">
            <w:pPr>
              <w:numPr>
                <w:ilvl w:val="0"/>
                <w:numId w:val="0"/>
              </w:numPr>
              <w:bidi w:val="0"/>
              <w:ind w:leftChars="0"/>
              <w:jc w:val="both"/>
              <w:rPr>
                <w:rFonts w:hint="default" w:ascii="宋体" w:hAnsi="宋体"/>
                <w:sz w:val="24"/>
                <w:szCs w:val="24"/>
                <w:lang w:val="en-US" w:eastAsia="zh-CN"/>
              </w:rPr>
            </w:pPr>
          </w:p>
        </w:tc>
      </w:tr>
      <w:tr w14:paraId="64D05E39">
        <w:trPr>
          <w:trHeight w:val="90" w:hRule="atLeast"/>
        </w:trPr>
        <w:tc>
          <w:tcPr>
            <w:tcW w:w="8522" w:type="dxa"/>
          </w:tcPr>
          <w:p w14:paraId="3199D594">
            <w:pPr>
              <w:numPr>
                <w:ilvl w:val="0"/>
                <w:numId w:val="2"/>
              </w:numPr>
              <w:bidi w:val="0"/>
              <w:ind w:left="0" w:leftChars="0" w:firstLine="0" w:firstLineChars="0"/>
              <w:jc w:val="both"/>
              <w:rPr>
                <w:rFonts w:hint="eastAsia" w:ascii="宋体" w:hAnsi="宋体"/>
                <w:sz w:val="24"/>
                <w:szCs w:val="24"/>
              </w:rPr>
            </w:pPr>
            <w:r>
              <w:rPr>
                <w:rFonts w:hint="eastAsia" w:ascii="宋体" w:hAnsi="宋体"/>
                <w:sz w:val="24"/>
                <w:szCs w:val="24"/>
              </w:rPr>
              <w:t>预期创新之处:</w:t>
            </w:r>
          </w:p>
          <w:p w14:paraId="080EA5B1">
            <w:pPr>
              <w:numPr>
                <w:ilvl w:val="0"/>
                <w:numId w:val="4"/>
              </w:numPr>
              <w:bidi w:val="0"/>
              <w:jc w:val="both"/>
            </w:pPr>
            <w:r>
              <w:t>管理理念的维度创新：将读热度引起的迁移需求与写热度引发的块失效特性进行深度耦合，从全新的维度重新定义了闪存数据布局逻辑。</w:t>
            </w:r>
          </w:p>
          <w:p w14:paraId="78C10E9F">
            <w:pPr>
              <w:numPr>
                <w:ilvl w:val="0"/>
                <w:numId w:val="4"/>
              </w:numPr>
              <w:bidi w:val="0"/>
              <w:ind w:left="0" w:leftChars="0" w:firstLine="480" w:firstLineChars="200"/>
              <w:jc w:val="both"/>
            </w:pPr>
            <w:r>
              <w:t>开销对冲的机制创新： 不同于传统“主动迁移”的被动防御策略，本算法利用写操作带来的块自然擦除作为“免费”的回收手段，实现了读干扰开销的“内生性对冲”。这种“以写避读”的隐性机制能显著降低系统写放大（WAF），在不增加硬件成本的前提下，协同优化了闪存的可靠性与长尾延迟。</w:t>
            </w:r>
          </w:p>
          <w:p w14:paraId="44A5E859">
            <w:pPr>
              <w:numPr>
                <w:ilvl w:val="0"/>
                <w:numId w:val="0"/>
              </w:numPr>
              <w:bidi w:val="0"/>
              <w:ind w:leftChars="0"/>
              <w:jc w:val="both"/>
              <w:rPr>
                <w:rFonts w:hint="default" w:ascii="宋体" w:hAnsi="宋体"/>
                <w:sz w:val="24"/>
                <w:szCs w:val="24"/>
                <w:lang w:val="en-US" w:eastAsia="zh-CN"/>
              </w:rPr>
            </w:pPr>
          </w:p>
        </w:tc>
      </w:tr>
      <w:tr w14:paraId="08ED565C">
        <w:trPr>
          <w:trHeight w:val="90" w:hRule="atLeast"/>
        </w:trPr>
        <w:tc>
          <w:tcPr>
            <w:tcW w:w="8522" w:type="dxa"/>
          </w:tcPr>
          <w:p w14:paraId="71DD6B9F">
            <w:pPr>
              <w:numPr>
                <w:ilvl w:val="0"/>
                <w:numId w:val="2"/>
              </w:numPr>
              <w:bidi w:val="0"/>
              <w:ind w:left="0" w:leftChars="0" w:firstLine="0" w:firstLineChars="0"/>
              <w:jc w:val="both"/>
              <w:rPr>
                <w:rFonts w:hint="eastAsia" w:ascii="宋体" w:hAnsi="宋体"/>
                <w:sz w:val="24"/>
                <w:szCs w:val="24"/>
                <w:lang w:eastAsia="zh-CN"/>
              </w:rPr>
            </w:pPr>
            <w:r>
              <w:rPr>
                <w:rFonts w:hint="eastAsia" w:ascii="宋体" w:hAnsi="宋体"/>
                <w:sz w:val="24"/>
                <w:szCs w:val="24"/>
              </w:rPr>
              <w:t>研究方案设计（包括研究方法，技术路线，理论分析、计算、实验方法和步骤及其可行性，可能出现的技术问题及解决办法等）</w:t>
            </w:r>
            <w:r>
              <w:rPr>
                <w:rFonts w:hint="eastAsia" w:ascii="宋体" w:hAnsi="宋体"/>
                <w:sz w:val="24"/>
                <w:szCs w:val="24"/>
                <w:lang w:eastAsia="zh-CN"/>
              </w:rPr>
              <w:t>：</w:t>
            </w:r>
          </w:p>
          <w:p w14:paraId="28520549">
            <w:pPr>
              <w:numPr>
                <w:ilvl w:val="0"/>
                <w:numId w:val="5"/>
              </w:numPr>
              <w:bidi w:val="0"/>
              <w:jc w:val="both"/>
            </w:pPr>
            <w:r>
              <w:rPr>
                <w:rFonts w:hint="default"/>
              </w:rPr>
              <w:t>研究方法与技术路线</w:t>
            </w:r>
          </w:p>
          <w:p w14:paraId="50D2AF20">
            <w:pPr>
              <w:bidi w:val="0"/>
              <w:jc w:val="both"/>
              <w:rPr>
                <w:rFonts w:hint="default"/>
              </w:rPr>
            </w:pPr>
            <w:r>
              <w:rPr>
                <w:rFonts w:hint="default"/>
              </w:rPr>
              <w:t>本课题采用“特征分析—数学建模—算法设计—仿真实验”的渐进式研究方法。</w:t>
            </w:r>
          </w:p>
          <w:p w14:paraId="0C19FF9B">
            <w:pPr>
              <w:bidi w:val="0"/>
              <w:jc w:val="both"/>
              <w:rPr>
                <w:rFonts w:hint="default"/>
              </w:rPr>
            </w:pPr>
            <w:r>
              <w:rPr>
                <w:rFonts w:hint="default"/>
              </w:rPr>
              <w:t>特征分析： 通过解析 MSR Cambridge、Production Trace 等标准测试集，分析不同 Workload 下数据页的读写时空相关性，提取“读干扰敏感型数据”与“短生命周期写数据”的共生特征。</w:t>
            </w:r>
          </w:p>
          <w:p w14:paraId="2E1720BE">
            <w:pPr>
              <w:bidi w:val="0"/>
              <w:jc w:val="both"/>
              <w:rPr>
                <w:rFonts w:hint="default"/>
              </w:rPr>
            </w:pPr>
            <w:r>
              <w:rPr>
                <w:rFonts w:hint="default"/>
              </w:rPr>
              <w:t>数学建模： 建立基于阈值的概率模型。定义 $T_{rd}(p)$ 为页面 $p$ 预计触发读刷新迁移的时间，定义 $T_{we}(b)$ 为物理块 $b$ 因无效页比例达标而触发垃圾回收（GC）的时间。</w:t>
            </w:r>
          </w:p>
          <w:p w14:paraId="6A5F1F29">
            <w:pPr>
              <w:numPr>
                <w:ilvl w:val="0"/>
                <w:numId w:val="5"/>
              </w:numPr>
              <w:bidi w:val="0"/>
              <w:ind w:left="0" w:leftChars="0" w:firstLine="480" w:firstLineChars="200"/>
              <w:jc w:val="both"/>
              <w:rPr>
                <w:rFonts w:hint="default"/>
              </w:rPr>
            </w:pPr>
            <w:r>
              <w:rPr>
                <w:rFonts w:hint="default"/>
              </w:rPr>
              <w:t xml:space="preserve">技术路线： </w:t>
            </w:r>
          </w:p>
          <w:p w14:paraId="0FACF862">
            <w:pPr>
              <w:bidi w:val="0"/>
              <w:jc w:val="both"/>
              <w:rPr>
                <w:rFonts w:hint="default"/>
              </w:rPr>
            </w:pPr>
            <w:r>
              <w:rPr>
                <w:rFonts w:hint="eastAsia"/>
                <w:lang w:eastAsia="zh-CN"/>
              </w:rPr>
              <w:t>（</w:t>
            </w:r>
            <w:r>
              <w:rPr>
                <w:rFonts w:hint="eastAsia"/>
                <w:lang w:val="en-US" w:eastAsia="zh-CN"/>
              </w:rPr>
              <w:t>1</w:t>
            </w:r>
            <w:r>
              <w:rPr>
                <w:rFonts w:hint="eastAsia"/>
                <w:lang w:eastAsia="zh-CN"/>
              </w:rPr>
              <w:t>）</w:t>
            </w:r>
            <w:r>
              <w:rPr>
                <w:rFonts w:hint="default"/>
              </w:rPr>
              <w:t xml:space="preserve"> 数据监控模块： 在 FTL 层部署轻量级计数器，记录页面的读热度与写频率。</w:t>
            </w:r>
          </w:p>
          <w:p w14:paraId="485D936B">
            <w:pPr>
              <w:bidi w:val="0"/>
              <w:jc w:val="both"/>
              <w:rPr>
                <w:rFonts w:hint="default"/>
              </w:rPr>
            </w:pPr>
            <w:r>
              <w:rPr>
                <w:rFonts w:hint="eastAsia"/>
                <w:lang w:eastAsia="zh-CN"/>
              </w:rPr>
              <w:t>（</w:t>
            </w:r>
            <w:r>
              <w:rPr>
                <w:rFonts w:hint="eastAsia"/>
                <w:lang w:val="en-US" w:eastAsia="zh-CN"/>
              </w:rPr>
              <w:t>2</w:t>
            </w:r>
            <w:r>
              <w:rPr>
                <w:rFonts w:hint="eastAsia"/>
                <w:lang w:eastAsia="zh-CN"/>
              </w:rPr>
              <w:t>）</w:t>
            </w:r>
            <w:r>
              <w:rPr>
                <w:rFonts w:hint="default"/>
              </w:rPr>
              <w:t xml:space="preserve"> 分类决策引擎： 将请求流划分为：读热型、写热型、普通型。</w:t>
            </w:r>
          </w:p>
          <w:p w14:paraId="10C75232">
            <w:pPr>
              <w:bidi w:val="0"/>
              <w:jc w:val="both"/>
              <w:rPr>
                <w:rFonts w:hint="default"/>
              </w:rPr>
            </w:pPr>
            <w:r>
              <w:rPr>
                <w:rFonts w:hint="eastAsia"/>
                <w:lang w:eastAsia="zh-CN"/>
              </w:rPr>
              <w:t>（</w:t>
            </w:r>
            <w:r>
              <w:rPr>
                <w:rFonts w:hint="eastAsia"/>
                <w:lang w:val="en-US" w:eastAsia="zh-CN"/>
              </w:rPr>
              <w:t>3</w:t>
            </w:r>
            <w:r>
              <w:rPr>
                <w:rFonts w:hint="eastAsia"/>
                <w:lang w:eastAsia="zh-CN"/>
              </w:rPr>
              <w:t>）</w:t>
            </w:r>
            <w:r>
              <w:rPr>
                <w:rFonts w:hint="default"/>
              </w:rPr>
              <w:t xml:space="preserve"> 互补放置逻辑： 核心调度器根据当前 Block 的“预计寿命剩余”，精准分配读热数据入块。</w:t>
            </w:r>
          </w:p>
          <w:p w14:paraId="7F59B799">
            <w:pPr>
              <w:bidi w:val="0"/>
              <w:jc w:val="both"/>
              <w:rPr>
                <w:rFonts w:hint="default"/>
              </w:rPr>
            </w:pPr>
            <w:r>
              <w:rPr>
                <w:rFonts w:hint="eastAsia"/>
                <w:lang w:eastAsia="zh-CN"/>
              </w:rPr>
              <w:t>（</w:t>
            </w:r>
            <w:r>
              <w:rPr>
                <w:rFonts w:hint="eastAsia"/>
                <w:lang w:val="en-US" w:eastAsia="zh-CN"/>
              </w:rPr>
              <w:t>4</w:t>
            </w:r>
            <w:r>
              <w:rPr>
                <w:rFonts w:hint="eastAsia"/>
                <w:lang w:eastAsia="zh-CN"/>
              </w:rPr>
              <w:t>）</w:t>
            </w:r>
            <w:r>
              <w:rPr>
                <w:rFonts w:hint="default"/>
              </w:rPr>
              <w:t xml:space="preserve"> 动态评估： 引入负反馈机制，根据实际的读刷新发生频率动态调整放置阈值。</w:t>
            </w:r>
          </w:p>
          <w:p w14:paraId="2E8C3E4A">
            <w:pPr>
              <w:bidi w:val="0"/>
              <w:jc w:val="both"/>
              <w:rPr>
                <w:rFonts w:hint="default"/>
              </w:rPr>
            </w:pPr>
            <w:r>
              <w:rPr>
                <w:rFonts w:hint="eastAsia"/>
                <w:lang w:val="en-US" w:eastAsia="zh-CN"/>
              </w:rPr>
              <w:t>3</w:t>
            </w:r>
            <w:r>
              <w:rPr>
                <w:rFonts w:hint="default"/>
              </w:rPr>
              <w:t>. 实验方法与步骤</w:t>
            </w:r>
          </w:p>
          <w:p w14:paraId="1AD2FE8B">
            <w:pPr>
              <w:bidi w:val="0"/>
              <w:jc w:val="both"/>
              <w:rPr>
                <w:rFonts w:hint="default"/>
              </w:rPr>
            </w:pPr>
            <w:r>
              <w:rPr>
                <w:rFonts w:hint="default"/>
              </w:rPr>
              <w:t>本研究拟采用离散事件驱动的仿真实验进行验证：</w:t>
            </w:r>
          </w:p>
          <w:p w14:paraId="36D56DD5">
            <w:pPr>
              <w:bidi w:val="0"/>
              <w:jc w:val="both"/>
              <w:rPr>
                <w:rFonts w:hint="default"/>
              </w:rPr>
            </w:pPr>
            <w:r>
              <w:rPr>
                <w:rFonts w:hint="eastAsia"/>
                <w:lang w:eastAsia="zh-CN"/>
              </w:rPr>
              <w:t>（</w:t>
            </w:r>
            <w:r>
              <w:rPr>
                <w:rFonts w:hint="eastAsia"/>
                <w:lang w:val="en-US" w:eastAsia="zh-CN"/>
              </w:rPr>
              <w:t>1</w:t>
            </w:r>
            <w:r>
              <w:rPr>
                <w:rFonts w:hint="eastAsia"/>
                <w:lang w:eastAsia="zh-CN"/>
              </w:rPr>
              <w:t>）</w:t>
            </w:r>
            <w:r>
              <w:rPr>
                <w:rFonts w:hint="default"/>
              </w:rPr>
              <w:t xml:space="preserve">环境搭建： 基于 </w:t>
            </w:r>
            <w:r>
              <w:rPr>
                <w:rFonts w:hint="eastAsia"/>
                <w:lang w:val="en-US" w:eastAsia="zh-CN"/>
              </w:rPr>
              <w:t>MQSIM</w:t>
            </w:r>
            <w:r>
              <w:rPr>
                <w:rFonts w:hint="default"/>
              </w:rPr>
              <w:t xml:space="preserve"> 模拟平台，配置 3D TLC/QLC 闪存参数（设置较低的读干扰阈值以模拟高密度闪存环境）。</w:t>
            </w:r>
          </w:p>
          <w:p w14:paraId="5F47B3F9">
            <w:pPr>
              <w:bidi w:val="0"/>
              <w:jc w:val="both"/>
              <w:rPr>
                <w:rFonts w:hint="default"/>
              </w:rPr>
            </w:pPr>
            <w:r>
              <w:rPr>
                <w:rFonts w:hint="eastAsia"/>
                <w:lang w:eastAsia="zh-CN"/>
              </w:rPr>
              <w:t>（</w:t>
            </w:r>
            <w:r>
              <w:rPr>
                <w:rFonts w:hint="eastAsia"/>
                <w:lang w:val="en-US" w:eastAsia="zh-CN"/>
              </w:rPr>
              <w:t>2</w:t>
            </w:r>
            <w:r>
              <w:rPr>
                <w:rFonts w:hint="eastAsia"/>
                <w:lang w:eastAsia="zh-CN"/>
              </w:rPr>
              <w:t>）</w:t>
            </w:r>
            <w:r>
              <w:rPr>
                <w:rFonts w:hint="default"/>
              </w:rPr>
              <w:t>算法实现： 基准组（Baseline）：实现传统的 Greedy GC 算法和典型的热读写分离策略（DAC）。实验组（Proposed）：实现本课题提出的 RC-DP 互补放置算法。负载运行：运行不同读写比例（1:9 到 9:1）的 Trace，模拟多种复杂的工业场景。</w:t>
            </w:r>
          </w:p>
          <w:p w14:paraId="3D3C0A94">
            <w:pPr>
              <w:bidi w:val="0"/>
              <w:jc w:val="both"/>
              <w:rPr>
                <w:rFonts w:hint="default"/>
              </w:rPr>
            </w:pPr>
            <w:r>
              <w:rPr>
                <w:rFonts w:hint="eastAsia"/>
                <w:lang w:eastAsia="zh-CN"/>
              </w:rPr>
              <w:t>（</w:t>
            </w:r>
            <w:r>
              <w:rPr>
                <w:rFonts w:hint="eastAsia"/>
                <w:lang w:val="en-US" w:eastAsia="zh-CN"/>
              </w:rPr>
              <w:t>3</w:t>
            </w:r>
            <w:r>
              <w:rPr>
                <w:rFonts w:hint="eastAsia"/>
                <w:lang w:eastAsia="zh-CN"/>
              </w:rPr>
              <w:t>）</w:t>
            </w:r>
            <w:r>
              <w:rPr>
                <w:rFonts w:hint="default"/>
              </w:rPr>
              <w:t>数据采集： 记录写放大因子（WAF）、总迁移数据量、响应延迟分布、以及块擦除次数的方差（用于评估磨损均衡）。</w:t>
            </w:r>
          </w:p>
          <w:p w14:paraId="69AE42C8">
            <w:pPr>
              <w:bidi w:val="0"/>
              <w:jc w:val="both"/>
              <w:rPr>
                <w:rFonts w:hint="default"/>
              </w:rPr>
            </w:pPr>
            <w:r>
              <w:rPr>
                <w:rFonts w:hint="eastAsia"/>
                <w:lang w:val="en-US" w:eastAsia="zh-CN"/>
              </w:rPr>
              <w:t>4</w:t>
            </w:r>
            <w:r>
              <w:rPr>
                <w:rFonts w:hint="default"/>
              </w:rPr>
              <w:t>. 可行性分析</w:t>
            </w:r>
          </w:p>
          <w:p w14:paraId="6AD807BD">
            <w:pPr>
              <w:bidi w:val="0"/>
              <w:jc w:val="both"/>
              <w:rPr>
                <w:rFonts w:hint="default"/>
              </w:rPr>
            </w:pPr>
            <w:r>
              <w:rPr>
                <w:rFonts w:hint="eastAsia"/>
                <w:lang w:eastAsia="zh-CN"/>
              </w:rPr>
              <w:t>（</w:t>
            </w:r>
            <w:r>
              <w:rPr>
                <w:rFonts w:hint="eastAsia"/>
                <w:lang w:val="en-US" w:eastAsia="zh-CN"/>
              </w:rPr>
              <w:t>1</w:t>
            </w:r>
            <w:r>
              <w:rPr>
                <w:rFonts w:hint="eastAsia"/>
                <w:lang w:eastAsia="zh-CN"/>
              </w:rPr>
              <w:t>）</w:t>
            </w:r>
            <w:r>
              <w:rPr>
                <w:rFonts w:hint="default"/>
              </w:rPr>
              <w:t>理论可行性： 读干扰和写失效是闪存物理特性的两个极端，其在时间轴上的“错位”或“对齐”具有统计学基础。利用已有的写操作掩盖读干扰迁移在逻辑上是自洽的。</w:t>
            </w:r>
          </w:p>
          <w:p w14:paraId="13A3016F">
            <w:pPr>
              <w:bidi w:val="0"/>
              <w:jc w:val="both"/>
              <w:rPr>
                <w:rFonts w:hint="default"/>
              </w:rPr>
            </w:pPr>
            <w:r>
              <w:rPr>
                <w:rFonts w:hint="eastAsia"/>
                <w:lang w:eastAsia="zh-CN"/>
              </w:rPr>
              <w:t>（</w:t>
            </w:r>
            <w:r>
              <w:rPr>
                <w:rFonts w:hint="eastAsia"/>
                <w:lang w:val="en-US" w:eastAsia="zh-CN"/>
              </w:rPr>
              <w:t>2</w:t>
            </w:r>
            <w:r>
              <w:rPr>
                <w:rFonts w:hint="eastAsia"/>
                <w:lang w:eastAsia="zh-CN"/>
              </w:rPr>
              <w:t>）</w:t>
            </w:r>
            <w:r>
              <w:rPr>
                <w:rFonts w:hint="default"/>
              </w:rPr>
              <w:t>技术可行性： FTL 层对热度的统计已非常成熟（如 LRU 或计数法），本算法只需增加少量的内存开销存储热度权重，且不改变物理接口，具有较强的工程实现性。</w:t>
            </w:r>
          </w:p>
          <w:p w14:paraId="67F02F17">
            <w:pPr>
              <w:bidi w:val="0"/>
              <w:jc w:val="both"/>
              <w:rPr>
                <w:rFonts w:hint="default"/>
              </w:rPr>
            </w:pPr>
            <w:r>
              <w:rPr>
                <w:rFonts w:hint="eastAsia"/>
                <w:lang w:eastAsia="zh-CN"/>
              </w:rPr>
              <w:t>（</w:t>
            </w:r>
            <w:r>
              <w:rPr>
                <w:rFonts w:hint="eastAsia"/>
                <w:lang w:val="en-US" w:eastAsia="zh-CN"/>
              </w:rPr>
              <w:t>3</w:t>
            </w:r>
            <w:r>
              <w:rPr>
                <w:rFonts w:hint="eastAsia"/>
                <w:lang w:eastAsia="zh-CN"/>
              </w:rPr>
              <w:t>）</w:t>
            </w:r>
            <w:r>
              <w:rPr>
                <w:rFonts w:hint="default"/>
              </w:rPr>
              <w:t>资源可行性： 课题组已具备完善的闪存模拟器环境和海量真实负载数据集，实验条件充足。</w:t>
            </w:r>
          </w:p>
          <w:p w14:paraId="50DE6A19">
            <w:pPr>
              <w:bidi w:val="0"/>
              <w:jc w:val="both"/>
              <w:rPr>
                <w:rFonts w:hint="default"/>
              </w:rPr>
            </w:pPr>
            <w:r>
              <w:rPr>
                <w:rFonts w:hint="eastAsia"/>
                <w:lang w:val="en-US" w:eastAsia="zh-CN"/>
              </w:rPr>
              <w:t>5</w:t>
            </w:r>
            <w:r>
              <w:rPr>
                <w:rFonts w:hint="default"/>
              </w:rPr>
              <w:t>. 可能出现的技术问题及解决办法</w:t>
            </w:r>
          </w:p>
          <w:p w14:paraId="7C4E104B">
            <w:pPr>
              <w:bidi w:val="0"/>
              <w:jc w:val="both"/>
              <w:rPr>
                <w:rFonts w:hint="default"/>
              </w:rPr>
            </w:pPr>
            <w:r>
              <w:rPr>
                <w:rFonts w:hint="default"/>
              </w:rPr>
              <w:t>问题 A：负载模式动态切换导致互补失效。</w:t>
            </w:r>
          </w:p>
          <w:p w14:paraId="727064F9">
            <w:pPr>
              <w:bidi w:val="0"/>
              <w:jc w:val="both"/>
              <w:rPr>
                <w:rFonts w:hint="default"/>
              </w:rPr>
            </w:pPr>
            <w:r>
              <w:rPr>
                <w:rFonts w:hint="default"/>
              </w:rPr>
              <w:t>现象： 原本预测为“写热”的数据突然变“冷”，导致块迟迟不回收，读热数据面临丢失风险。</w:t>
            </w:r>
          </w:p>
          <w:p w14:paraId="1D8D5DCD">
            <w:pPr>
              <w:bidi w:val="0"/>
              <w:jc w:val="both"/>
              <w:rPr>
                <w:rFonts w:hint="default"/>
              </w:rPr>
            </w:pPr>
            <w:r>
              <w:rPr>
                <w:rFonts w:hint="default"/>
              </w:rPr>
              <w:t>解决： 设置强制保护阈值。当读计数达到安全阈值的 90% 时，若该块仍未触发 GC，则强制启动被动刷新逻辑，并降低该类负载在决策引擎中的互补优先级。</w:t>
            </w:r>
          </w:p>
          <w:p w14:paraId="4FDD8884">
            <w:pPr>
              <w:bidi w:val="0"/>
              <w:jc w:val="both"/>
              <w:rPr>
                <w:rFonts w:hint="default"/>
              </w:rPr>
            </w:pPr>
            <w:r>
              <w:rPr>
                <w:rFonts w:hint="default"/>
              </w:rPr>
              <w:t>问题 B：算法带来的内存与计算开销。</w:t>
            </w:r>
          </w:p>
          <w:p w14:paraId="0E5A728C">
            <w:pPr>
              <w:bidi w:val="0"/>
              <w:jc w:val="both"/>
              <w:rPr>
                <w:rFonts w:hint="default"/>
              </w:rPr>
            </w:pPr>
            <w:r>
              <w:rPr>
                <w:rFonts w:hint="default"/>
              </w:rPr>
              <w:t>现象： 精细化追踪每个页面的读写频率会占用大量控制器 SRAM。</w:t>
            </w:r>
          </w:p>
          <w:p w14:paraId="42F93CC7">
            <w:pPr>
              <w:bidi w:val="0"/>
              <w:jc w:val="both"/>
              <w:rPr>
                <w:rFonts w:hint="default"/>
              </w:rPr>
            </w:pPr>
            <w:r>
              <w:rPr>
                <w:rFonts w:hint="default"/>
              </w:rPr>
              <w:t>解决： 采用基于分级的统计（Tiered Tracking）。仅对 Top 5% 的极端读热数据进行精准追踪，对其他数据采用粗粒度的块级热度预测，平衡收益与开销。</w:t>
            </w:r>
          </w:p>
          <w:p w14:paraId="4CB63935">
            <w:pPr>
              <w:bidi w:val="0"/>
              <w:jc w:val="both"/>
              <w:rPr>
                <w:rFonts w:hint="default"/>
              </w:rPr>
            </w:pPr>
            <w:r>
              <w:rPr>
                <w:rFonts w:hint="default"/>
              </w:rPr>
              <w:t>问题 C：与 Wear Leveling（磨损均衡）冲突。</w:t>
            </w:r>
          </w:p>
          <w:p w14:paraId="27983588">
            <w:pPr>
              <w:bidi w:val="0"/>
              <w:jc w:val="both"/>
              <w:rPr>
                <w:rFonts w:hint="default"/>
              </w:rPr>
            </w:pPr>
            <w:r>
              <w:rPr>
                <w:rFonts w:hint="default"/>
              </w:rPr>
              <w:t>现象： 互补放置可能导致某些块被过度频繁擦除。</w:t>
            </w:r>
          </w:p>
          <w:p w14:paraId="461BEAF9">
            <w:pPr>
              <w:bidi w:val="0"/>
              <w:jc w:val="both"/>
              <w:rPr>
                <w:rFonts w:hint="default" w:ascii="sans-serif" w:hAnsi="sans-serif" w:eastAsia="sans-serif" w:cs="sans-serif"/>
              </w:rPr>
            </w:pPr>
            <w:r>
              <w:rPr>
                <w:rFonts w:hint="default"/>
              </w:rPr>
              <w:t>解决： 在互补放置逻辑之上挂载一个全局热度平滑层，当块的 P/E cycle 偏差超过阈值时，强制执行冷数据对换，优先保证设备寿命均衡。</w:t>
            </w:r>
          </w:p>
          <w:p w14:paraId="1EA546D3">
            <w:pPr>
              <w:numPr>
                <w:ilvl w:val="0"/>
                <w:numId w:val="0"/>
              </w:numPr>
              <w:bidi w:val="0"/>
              <w:ind w:leftChars="0"/>
              <w:jc w:val="both"/>
              <w:rPr>
                <w:rFonts w:hint="eastAsia" w:ascii="宋体" w:hAnsi="宋体"/>
                <w:sz w:val="24"/>
                <w:szCs w:val="24"/>
                <w:lang w:val="en-US" w:eastAsia="zh-CN"/>
              </w:rPr>
            </w:pPr>
          </w:p>
        </w:tc>
      </w:tr>
      <w:tr w14:paraId="35DEB985">
        <w:trPr>
          <w:trHeight w:val="90" w:hRule="atLeast"/>
        </w:trPr>
        <w:tc>
          <w:tcPr>
            <w:tcW w:w="8522" w:type="dxa"/>
          </w:tcPr>
          <w:p w14:paraId="74FD8E39">
            <w:pPr>
              <w:numPr>
                <w:ilvl w:val="0"/>
                <w:numId w:val="2"/>
              </w:numPr>
              <w:bidi w:val="0"/>
              <w:ind w:left="0" w:leftChars="0" w:firstLine="0" w:firstLineChars="0"/>
              <w:jc w:val="both"/>
              <w:rPr>
                <w:rFonts w:hint="eastAsia" w:ascii="宋体" w:hAnsi="宋体"/>
                <w:sz w:val="24"/>
                <w:szCs w:val="24"/>
              </w:rPr>
            </w:pPr>
            <w:r>
              <w:rPr>
                <w:rFonts w:hint="eastAsia" w:ascii="宋体" w:hAnsi="宋体"/>
                <w:sz w:val="24"/>
                <w:szCs w:val="24"/>
              </w:rPr>
              <w:t>基础及条件（包括已经做过的有关研究工作，本单位或外单位可供使用的仪器设备和实验条件，已经获得或将要获得的经费等）：</w:t>
            </w:r>
          </w:p>
          <w:p w14:paraId="3A79720B">
            <w:pPr>
              <w:numPr>
                <w:ilvl w:val="0"/>
                <w:numId w:val="0"/>
              </w:numPr>
              <w:bidi w:val="0"/>
              <w:ind w:leftChars="0"/>
              <w:jc w:val="both"/>
              <w:rPr>
                <w:rFonts w:hint="eastAsia" w:ascii="宋体" w:hAnsi="宋体"/>
                <w:sz w:val="24"/>
                <w:szCs w:val="24"/>
                <w:lang w:val="en-US" w:eastAsia="zh-CN"/>
              </w:rPr>
            </w:pPr>
          </w:p>
        </w:tc>
      </w:tr>
    </w:tbl>
    <w:p w14:paraId="5BDEBEC4">
      <w:pPr>
        <w:rPr>
          <w:rFonts w:hint="eastAsia" w:eastAsiaTheme="minorEastAsia"/>
          <w:lang w:eastAsia="zh-CN"/>
        </w:rPr>
        <w:sectPr>
          <w:pgSz w:w="11906" w:h="16838"/>
          <w:pgMar w:top="1440" w:right="1800" w:bottom="1440" w:left="1800" w:header="851" w:footer="992" w:gutter="0"/>
          <w:cols w:space="425" w:num="1"/>
          <w:docGrid w:type="lines" w:linePitch="312" w:charSpace="0"/>
        </w:sectPr>
      </w:pPr>
    </w:p>
    <w:p w14:paraId="18EE7D69">
      <w:pPr>
        <w:rPr>
          <w:rFonts w:hint="default"/>
          <w:sz w:val="2"/>
          <w:szCs w:val="24"/>
        </w:rPr>
      </w:pPr>
    </w:p>
    <w:tbl>
      <w:tblPr>
        <w:tblStyle w:val="8"/>
        <w:tblW w:w="86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79"/>
        <w:gridCol w:w="1079"/>
        <w:gridCol w:w="1079"/>
        <w:gridCol w:w="1079"/>
        <w:gridCol w:w="1079"/>
        <w:gridCol w:w="1079"/>
        <w:gridCol w:w="1079"/>
        <w:gridCol w:w="1079"/>
      </w:tblGrid>
      <w:tr w14:paraId="416A5873">
        <w:trPr>
          <w:trHeight w:val="280" w:hRule="exact"/>
        </w:trPr>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052CC6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FB99089">
            <w:pPr>
              <w:rPr>
                <w:rFonts w:hint="default"/>
                <w:sz w:val="24"/>
                <w:szCs w:val="24"/>
              </w:rPr>
            </w:pPr>
          </w:p>
        </w:tc>
        <w:tc>
          <w:tcPr>
            <w:tcW w:w="4316" w:type="dxa"/>
            <w:gridSpan w:val="4"/>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4F7D845">
            <w:pPr>
              <w:spacing w:line="288" w:lineRule="exact"/>
              <w:ind w:left="20"/>
              <w:jc w:val="center"/>
              <w:rPr>
                <w:rFonts w:hint="eastAsia" w:ascii="宋体" w:hAnsi="宋体"/>
                <w:sz w:val="24"/>
                <w:szCs w:val="24"/>
              </w:rPr>
            </w:pPr>
            <w:r>
              <w:rPr>
                <w:rFonts w:hint="eastAsia" w:ascii="宋体" w:hAnsi="宋体"/>
                <w:sz w:val="24"/>
                <w:szCs w:val="24"/>
              </w:rPr>
              <w:t>学 位 论 文 工 作 计 划</w:t>
            </w: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745AB8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1975EAB">
            <w:pPr>
              <w:rPr>
                <w:rFonts w:hint="default"/>
                <w:sz w:val="24"/>
                <w:szCs w:val="24"/>
              </w:rPr>
            </w:pPr>
          </w:p>
        </w:tc>
      </w:tr>
      <w:tr w14:paraId="5908AA4C">
        <w:trPr>
          <w:trHeight w:val="280" w:hRule="exact"/>
        </w:trPr>
        <w:tc>
          <w:tcPr>
            <w:tcW w:w="2158" w:type="dxa"/>
            <w:gridSpan w:val="2"/>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17B17FC4">
            <w:pPr>
              <w:spacing w:line="264" w:lineRule="exact"/>
              <w:ind w:left="20"/>
              <w:jc w:val="center"/>
              <w:rPr>
                <w:rFonts w:hint="eastAsia" w:ascii="宋体" w:hAnsi="宋体"/>
                <w:sz w:val="22"/>
                <w:szCs w:val="24"/>
              </w:rPr>
            </w:pPr>
            <w:r>
              <w:rPr>
                <w:rFonts w:hint="eastAsia" w:ascii="宋体" w:hAnsi="宋体"/>
                <w:sz w:val="22"/>
                <w:szCs w:val="24"/>
              </w:rPr>
              <w:t>时间</w:t>
            </w:r>
          </w:p>
        </w:tc>
        <w:tc>
          <w:tcPr>
            <w:tcW w:w="4316" w:type="dxa"/>
            <w:gridSpan w:val="4"/>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490B0D3">
            <w:pPr>
              <w:spacing w:line="264" w:lineRule="exact"/>
              <w:ind w:left="20"/>
              <w:jc w:val="center"/>
              <w:rPr>
                <w:rFonts w:hint="eastAsia" w:ascii="宋体" w:hAnsi="宋体"/>
                <w:sz w:val="22"/>
                <w:szCs w:val="24"/>
              </w:rPr>
            </w:pPr>
            <w:r>
              <w:rPr>
                <w:rFonts w:hint="eastAsia" w:ascii="宋体" w:hAnsi="宋体"/>
                <w:sz w:val="22"/>
                <w:szCs w:val="24"/>
              </w:rPr>
              <w:t>研究内容</w:t>
            </w:r>
          </w:p>
        </w:tc>
        <w:tc>
          <w:tcPr>
            <w:tcW w:w="2158" w:type="dxa"/>
            <w:gridSpan w:val="2"/>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CD8F14E">
            <w:pPr>
              <w:spacing w:line="264" w:lineRule="exact"/>
              <w:ind w:left="20"/>
              <w:jc w:val="center"/>
              <w:rPr>
                <w:rFonts w:hint="eastAsia" w:ascii="宋体" w:hAnsi="宋体"/>
                <w:sz w:val="22"/>
                <w:szCs w:val="24"/>
              </w:rPr>
            </w:pPr>
            <w:r>
              <w:rPr>
                <w:rFonts w:hint="eastAsia" w:ascii="宋体" w:hAnsi="宋体"/>
                <w:sz w:val="22"/>
                <w:szCs w:val="24"/>
              </w:rPr>
              <w:t>预期成果</w:t>
            </w:r>
          </w:p>
        </w:tc>
      </w:tr>
      <w:tr w14:paraId="58FAA6A0">
        <w:trPr>
          <w:trHeight w:val="280" w:hRule="exact"/>
        </w:trPr>
        <w:tc>
          <w:tcPr>
            <w:tcW w:w="2158" w:type="dxa"/>
            <w:gridSpan w:val="2"/>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7F94BC7F">
            <w:pPr>
              <w:rPr>
                <w:rFonts w:hint="eastAsia" w:ascii="宋体" w:hAnsi="宋体"/>
                <w:sz w:val="22"/>
                <w:szCs w:val="24"/>
              </w:rPr>
            </w:pPr>
          </w:p>
        </w:tc>
        <w:tc>
          <w:tcPr>
            <w:tcW w:w="4316" w:type="dxa"/>
            <w:gridSpan w:val="4"/>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5AFFD63D">
            <w:pPr>
              <w:rPr>
                <w:rFonts w:hint="eastAsia" w:ascii="宋体" w:hAnsi="宋体"/>
                <w:sz w:val="22"/>
                <w:szCs w:val="24"/>
              </w:rPr>
            </w:pPr>
          </w:p>
        </w:tc>
        <w:tc>
          <w:tcPr>
            <w:tcW w:w="2158" w:type="dxa"/>
            <w:gridSpan w:val="2"/>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64DC5029">
            <w:pPr>
              <w:rPr>
                <w:rFonts w:hint="eastAsia" w:ascii="宋体" w:hAnsi="宋体"/>
                <w:sz w:val="22"/>
                <w:szCs w:val="24"/>
              </w:rPr>
            </w:pPr>
          </w:p>
        </w:tc>
      </w:tr>
      <w:tr w14:paraId="2ECB976B">
        <w:trPr>
          <w:trHeight w:val="280" w:hRule="exact"/>
        </w:trPr>
        <w:tc>
          <w:tcPr>
            <w:tcW w:w="2158" w:type="dxa"/>
            <w:gridSpan w:val="2"/>
            <w:vMerge w:val="restart"/>
            <w:tcBorders>
              <w:top w:val="single" w:color="FFFFFF" w:sz="4" w:space="0"/>
              <w:left w:val="single" w:color="000000" w:sz="8" w:space="0"/>
              <w:bottom w:val="single" w:color="FFFFFF" w:sz="4" w:space="0"/>
              <w:right w:val="single" w:color="000000" w:sz="8" w:space="0"/>
              <w:tl2br w:val="nil"/>
              <w:tr2bl w:val="nil"/>
            </w:tcBorders>
            <w:shd w:val="clear" w:color="auto" w:fill="FFFFFF"/>
            <w:noWrap w:val="0"/>
            <w:vAlign w:val="center"/>
          </w:tcPr>
          <w:p w14:paraId="3BDB1476">
            <w:pPr>
              <w:spacing w:line="216" w:lineRule="exact"/>
              <w:ind w:left="20"/>
              <w:rPr>
                <w:rFonts w:hint="eastAsia" w:ascii="宋体" w:hAnsi="宋体"/>
                <w:sz w:val="18"/>
                <w:szCs w:val="24"/>
              </w:rPr>
            </w:pPr>
          </w:p>
        </w:tc>
        <w:tc>
          <w:tcPr>
            <w:tcW w:w="4316" w:type="dxa"/>
            <w:gridSpan w:val="4"/>
            <w:vMerge w:val="restart"/>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E6E251B">
            <w:pPr>
              <w:spacing w:line="216" w:lineRule="exact"/>
              <w:ind w:left="20"/>
              <w:rPr>
                <w:rFonts w:hint="eastAsia" w:ascii="宋体" w:hAnsi="宋体"/>
                <w:sz w:val="18"/>
                <w:szCs w:val="24"/>
              </w:rPr>
            </w:pPr>
          </w:p>
        </w:tc>
        <w:tc>
          <w:tcPr>
            <w:tcW w:w="2158" w:type="dxa"/>
            <w:gridSpan w:val="2"/>
            <w:vMerge w:val="restart"/>
            <w:tcBorders>
              <w:top w:val="single" w:color="FFFFFF" w:sz="4" w:space="0"/>
              <w:left w:val="single" w:color="000000" w:sz="8" w:space="0"/>
              <w:bottom w:val="single" w:color="FFFFFF" w:sz="4" w:space="0"/>
              <w:right w:val="single" w:color="000000" w:sz="8" w:space="0"/>
              <w:tl2br w:val="nil"/>
              <w:tr2bl w:val="nil"/>
            </w:tcBorders>
            <w:shd w:val="clear" w:color="auto" w:fill="FFFFFF"/>
            <w:noWrap w:val="0"/>
            <w:vAlign w:val="center"/>
          </w:tcPr>
          <w:p w14:paraId="0894EC09">
            <w:pPr>
              <w:spacing w:line="216" w:lineRule="exact"/>
              <w:ind w:left="20"/>
              <w:rPr>
                <w:rFonts w:hint="eastAsia" w:ascii="宋体" w:hAnsi="宋体"/>
                <w:sz w:val="18"/>
                <w:szCs w:val="24"/>
              </w:rPr>
            </w:pPr>
          </w:p>
        </w:tc>
      </w:tr>
      <w:tr w14:paraId="250E41C1">
        <w:trPr>
          <w:trHeight w:val="280" w:hRule="exact"/>
        </w:trPr>
        <w:tc>
          <w:tcPr>
            <w:tcW w:w="2158" w:type="dxa"/>
            <w:gridSpan w:val="2"/>
            <w:vMerge w:val="continue"/>
            <w:tcBorders>
              <w:top w:val="single" w:color="FFFFFF" w:sz="4" w:space="0"/>
              <w:left w:val="single" w:color="000000" w:sz="8" w:space="0"/>
              <w:bottom w:val="single" w:color="FFFFFF" w:sz="4" w:space="0"/>
              <w:right w:val="single" w:color="000000" w:sz="8" w:space="0"/>
              <w:tl2br w:val="nil"/>
              <w:tr2bl w:val="nil"/>
            </w:tcBorders>
            <w:shd w:val="clear" w:color="auto" w:fill="FFFFFF"/>
            <w:noWrap w:val="0"/>
            <w:vAlign w:val="center"/>
          </w:tcPr>
          <w:p w14:paraId="01885A0E">
            <w:pPr>
              <w:rPr>
                <w:rFonts w:hint="eastAsia" w:ascii="宋体" w:hAnsi="宋体"/>
                <w:sz w:val="18"/>
                <w:szCs w:val="24"/>
              </w:rPr>
            </w:pPr>
          </w:p>
        </w:tc>
        <w:tc>
          <w:tcPr>
            <w:tcW w:w="4316" w:type="dxa"/>
            <w:gridSpan w:val="4"/>
            <w:vMerge w:val="continue"/>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7777DC3">
            <w:pPr>
              <w:rPr>
                <w:rFonts w:hint="eastAsia" w:ascii="宋体" w:hAnsi="宋体"/>
                <w:sz w:val="18"/>
                <w:szCs w:val="24"/>
              </w:rPr>
            </w:pPr>
          </w:p>
        </w:tc>
        <w:tc>
          <w:tcPr>
            <w:tcW w:w="2158" w:type="dxa"/>
            <w:gridSpan w:val="2"/>
            <w:vMerge w:val="continue"/>
            <w:tcBorders>
              <w:top w:val="single" w:color="FFFFFF" w:sz="4" w:space="0"/>
              <w:left w:val="single" w:color="000000" w:sz="8" w:space="0"/>
              <w:bottom w:val="single" w:color="FFFFFF" w:sz="4" w:space="0"/>
              <w:right w:val="single" w:color="000000" w:sz="8" w:space="0"/>
              <w:tl2br w:val="nil"/>
              <w:tr2bl w:val="nil"/>
            </w:tcBorders>
            <w:shd w:val="clear" w:color="auto" w:fill="FFFFFF"/>
            <w:noWrap w:val="0"/>
            <w:vAlign w:val="center"/>
          </w:tcPr>
          <w:p w14:paraId="5F487020">
            <w:pPr>
              <w:rPr>
                <w:rFonts w:hint="eastAsia" w:ascii="宋体" w:hAnsi="宋体"/>
                <w:sz w:val="18"/>
                <w:szCs w:val="24"/>
              </w:rPr>
            </w:pPr>
          </w:p>
        </w:tc>
      </w:tr>
      <w:tr w14:paraId="55C6A841">
        <w:trPr>
          <w:trHeight w:val="280" w:hRule="exact"/>
        </w:trPr>
        <w:tc>
          <w:tcPr>
            <w:tcW w:w="2158" w:type="dxa"/>
            <w:gridSpan w:val="2"/>
            <w:vMerge w:val="restart"/>
            <w:tcBorders>
              <w:top w:val="single" w:color="FFFFFF" w:sz="4" w:space="0"/>
              <w:left w:val="single" w:color="000000" w:sz="8" w:space="0"/>
              <w:bottom w:val="single" w:color="FFFFFF" w:sz="4" w:space="0"/>
              <w:right w:val="single" w:color="000000" w:sz="8" w:space="0"/>
              <w:tl2br w:val="nil"/>
              <w:tr2bl w:val="nil"/>
            </w:tcBorders>
            <w:shd w:val="clear" w:color="auto" w:fill="FFFFFF"/>
            <w:noWrap w:val="0"/>
            <w:vAlign w:val="center"/>
          </w:tcPr>
          <w:p w14:paraId="7DB8C444">
            <w:pPr>
              <w:spacing w:line="216" w:lineRule="exact"/>
              <w:ind w:left="20"/>
              <w:rPr>
                <w:rFonts w:hint="eastAsia" w:ascii="宋体" w:hAnsi="宋体"/>
                <w:sz w:val="18"/>
                <w:szCs w:val="24"/>
              </w:rPr>
            </w:pPr>
          </w:p>
        </w:tc>
        <w:tc>
          <w:tcPr>
            <w:tcW w:w="4316" w:type="dxa"/>
            <w:gridSpan w:val="4"/>
            <w:vMerge w:val="restart"/>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FD782E4">
            <w:pPr>
              <w:spacing w:line="216" w:lineRule="exact"/>
              <w:ind w:left="20"/>
              <w:rPr>
                <w:rFonts w:hint="eastAsia" w:ascii="宋体" w:hAnsi="宋体"/>
                <w:sz w:val="18"/>
                <w:szCs w:val="24"/>
              </w:rPr>
            </w:pPr>
          </w:p>
        </w:tc>
        <w:tc>
          <w:tcPr>
            <w:tcW w:w="2158" w:type="dxa"/>
            <w:gridSpan w:val="2"/>
            <w:vMerge w:val="restart"/>
            <w:tcBorders>
              <w:top w:val="single" w:color="FFFFFF" w:sz="4" w:space="0"/>
              <w:left w:val="single" w:color="000000" w:sz="8" w:space="0"/>
              <w:bottom w:val="single" w:color="FFFFFF" w:sz="4" w:space="0"/>
              <w:right w:val="single" w:color="000000" w:sz="8" w:space="0"/>
              <w:tl2br w:val="nil"/>
              <w:tr2bl w:val="nil"/>
            </w:tcBorders>
            <w:shd w:val="clear" w:color="auto" w:fill="FFFFFF"/>
            <w:noWrap w:val="0"/>
            <w:vAlign w:val="center"/>
          </w:tcPr>
          <w:p w14:paraId="250EE3B7">
            <w:pPr>
              <w:spacing w:line="216" w:lineRule="exact"/>
              <w:ind w:left="20"/>
              <w:rPr>
                <w:rFonts w:hint="eastAsia" w:ascii="宋体" w:hAnsi="宋体"/>
                <w:sz w:val="18"/>
                <w:szCs w:val="24"/>
              </w:rPr>
            </w:pPr>
          </w:p>
        </w:tc>
      </w:tr>
      <w:tr w14:paraId="1D87E6C0">
        <w:trPr>
          <w:trHeight w:val="280" w:hRule="exact"/>
        </w:trPr>
        <w:tc>
          <w:tcPr>
            <w:tcW w:w="2158" w:type="dxa"/>
            <w:gridSpan w:val="2"/>
            <w:vMerge w:val="continue"/>
            <w:tcBorders>
              <w:top w:val="single" w:color="FFFFFF" w:sz="4" w:space="0"/>
              <w:left w:val="single" w:color="000000" w:sz="8" w:space="0"/>
              <w:bottom w:val="single" w:color="FFFFFF" w:sz="4" w:space="0"/>
              <w:right w:val="single" w:color="000000" w:sz="8" w:space="0"/>
              <w:tl2br w:val="nil"/>
              <w:tr2bl w:val="nil"/>
            </w:tcBorders>
            <w:shd w:val="clear" w:color="auto" w:fill="FFFFFF"/>
            <w:noWrap w:val="0"/>
            <w:vAlign w:val="center"/>
          </w:tcPr>
          <w:p w14:paraId="288B8D52">
            <w:pPr>
              <w:rPr>
                <w:rFonts w:hint="eastAsia" w:ascii="宋体" w:hAnsi="宋体"/>
                <w:sz w:val="18"/>
                <w:szCs w:val="24"/>
              </w:rPr>
            </w:pPr>
          </w:p>
        </w:tc>
        <w:tc>
          <w:tcPr>
            <w:tcW w:w="4316" w:type="dxa"/>
            <w:gridSpan w:val="4"/>
            <w:vMerge w:val="continue"/>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9316B05">
            <w:pPr>
              <w:rPr>
                <w:rFonts w:hint="eastAsia" w:ascii="宋体" w:hAnsi="宋体"/>
                <w:sz w:val="18"/>
                <w:szCs w:val="24"/>
              </w:rPr>
            </w:pPr>
          </w:p>
        </w:tc>
        <w:tc>
          <w:tcPr>
            <w:tcW w:w="2158" w:type="dxa"/>
            <w:gridSpan w:val="2"/>
            <w:vMerge w:val="continue"/>
            <w:tcBorders>
              <w:top w:val="single" w:color="FFFFFF" w:sz="4" w:space="0"/>
              <w:left w:val="single" w:color="000000" w:sz="8" w:space="0"/>
              <w:bottom w:val="single" w:color="FFFFFF" w:sz="4" w:space="0"/>
              <w:right w:val="single" w:color="000000" w:sz="8" w:space="0"/>
              <w:tl2br w:val="nil"/>
              <w:tr2bl w:val="nil"/>
            </w:tcBorders>
            <w:shd w:val="clear" w:color="auto" w:fill="FFFFFF"/>
            <w:noWrap w:val="0"/>
            <w:vAlign w:val="center"/>
          </w:tcPr>
          <w:p w14:paraId="34E99CBA">
            <w:pPr>
              <w:rPr>
                <w:rFonts w:hint="eastAsia" w:ascii="宋体" w:hAnsi="宋体"/>
                <w:sz w:val="18"/>
                <w:szCs w:val="24"/>
              </w:rPr>
            </w:pPr>
          </w:p>
        </w:tc>
      </w:tr>
      <w:tr w14:paraId="538862CA">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75385299">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1E74DAF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3ECC23F">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F0E4A6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D07BA9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AC78D22">
            <w:pPr>
              <w:rPr>
                <w:rFonts w:hint="default"/>
                <w:sz w:val="24"/>
                <w:szCs w:val="24"/>
              </w:rPr>
            </w:pPr>
          </w:p>
        </w:tc>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207E69BC">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5F67AA82">
            <w:pPr>
              <w:rPr>
                <w:rFonts w:hint="default"/>
                <w:sz w:val="24"/>
                <w:szCs w:val="24"/>
              </w:rPr>
            </w:pPr>
          </w:p>
        </w:tc>
      </w:tr>
      <w:tr w14:paraId="3C9EFC7C">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37B6EBA4">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7AA7776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768090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A7DFB86">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0DC293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10C6585">
            <w:pPr>
              <w:rPr>
                <w:rFonts w:hint="default"/>
                <w:sz w:val="24"/>
                <w:szCs w:val="24"/>
              </w:rPr>
            </w:pPr>
          </w:p>
        </w:tc>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3E2E3236">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7983B796">
            <w:pPr>
              <w:rPr>
                <w:rFonts w:hint="default"/>
                <w:sz w:val="24"/>
                <w:szCs w:val="24"/>
              </w:rPr>
            </w:pPr>
          </w:p>
        </w:tc>
      </w:tr>
      <w:tr w14:paraId="52A0B4A5">
        <w:trPr>
          <w:trHeight w:val="280" w:hRule="exact"/>
        </w:trPr>
        <w:tc>
          <w:tcPr>
            <w:tcW w:w="2158" w:type="dxa"/>
            <w:gridSpan w:val="2"/>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7CCCDD26">
            <w:pPr>
              <w:spacing w:line="264" w:lineRule="exact"/>
              <w:ind w:left="20"/>
              <w:rPr>
                <w:rFonts w:hint="eastAsia" w:ascii="宋体" w:hAnsi="宋体"/>
                <w:sz w:val="22"/>
                <w:szCs w:val="24"/>
              </w:rPr>
            </w:pPr>
            <w:r>
              <w:rPr>
                <w:rFonts w:hint="eastAsia" w:ascii="宋体" w:hAnsi="宋体"/>
                <w:sz w:val="22"/>
                <w:szCs w:val="24"/>
              </w:rPr>
              <w:t xml:space="preserve">论文工作起止日期 </w:t>
            </w:r>
          </w:p>
        </w:tc>
        <w:tc>
          <w:tcPr>
            <w:tcW w:w="2158" w:type="dxa"/>
            <w:gridSpan w:val="2"/>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01726D6D">
            <w:pPr>
              <w:spacing w:line="216" w:lineRule="exact"/>
              <w:ind w:left="20"/>
              <w:rPr>
                <w:rFonts w:hint="eastAsia" w:ascii="宋体" w:hAnsi="宋体"/>
                <w:sz w:val="18"/>
                <w:szCs w:val="24"/>
              </w:rPr>
            </w:pPr>
          </w:p>
        </w:tc>
        <w:tc>
          <w:tcPr>
            <w:tcW w:w="2158" w:type="dxa"/>
            <w:gridSpan w:val="2"/>
            <w:vMerge w:val="restart"/>
            <w:tcBorders>
              <w:top w:val="single" w:color="000000" w:sz="8" w:space="0"/>
              <w:left w:val="single" w:color="FFFFFF" w:sz="4" w:space="0"/>
              <w:bottom w:val="single" w:color="000000" w:sz="8" w:space="0"/>
              <w:right w:val="single" w:color="FFFFFF" w:sz="4" w:space="0"/>
              <w:tl2br w:val="nil"/>
              <w:tr2bl w:val="nil"/>
            </w:tcBorders>
            <w:shd w:val="clear" w:color="auto" w:fill="FFFFFF"/>
            <w:noWrap w:val="0"/>
            <w:vAlign w:val="center"/>
          </w:tcPr>
          <w:p w14:paraId="72DE0CC6">
            <w:pPr>
              <w:spacing w:line="264" w:lineRule="exact"/>
              <w:ind w:left="20"/>
              <w:rPr>
                <w:rFonts w:hint="eastAsia" w:ascii="宋体" w:hAnsi="宋体"/>
                <w:sz w:val="22"/>
                <w:szCs w:val="24"/>
              </w:rPr>
            </w:pPr>
            <w:r>
              <w:rPr>
                <w:rFonts w:hint="eastAsia" w:ascii="宋体" w:hAnsi="宋体"/>
                <w:sz w:val="22"/>
                <w:szCs w:val="24"/>
              </w:rPr>
              <w:t>预计论文答辩日期</w:t>
            </w:r>
          </w:p>
        </w:tc>
        <w:tc>
          <w:tcPr>
            <w:tcW w:w="2158" w:type="dxa"/>
            <w:gridSpan w:val="2"/>
            <w:vMerge w:val="restart"/>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1D9B67CA">
            <w:pPr>
              <w:spacing w:line="216" w:lineRule="exact"/>
              <w:ind w:left="20"/>
              <w:rPr>
                <w:rFonts w:hint="eastAsia" w:ascii="宋体" w:hAnsi="宋体"/>
                <w:sz w:val="18"/>
                <w:szCs w:val="24"/>
              </w:rPr>
            </w:pPr>
          </w:p>
        </w:tc>
      </w:tr>
      <w:tr w14:paraId="1BF08A2A">
        <w:trPr>
          <w:trHeight w:val="280" w:hRule="exact"/>
        </w:trPr>
        <w:tc>
          <w:tcPr>
            <w:tcW w:w="2158" w:type="dxa"/>
            <w:gridSpan w:val="2"/>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50A99D7F">
            <w:pPr>
              <w:rPr>
                <w:rFonts w:hint="eastAsia" w:ascii="宋体" w:hAnsi="宋体"/>
                <w:sz w:val="18"/>
                <w:szCs w:val="24"/>
              </w:rPr>
            </w:pPr>
          </w:p>
        </w:tc>
        <w:tc>
          <w:tcPr>
            <w:tcW w:w="2158" w:type="dxa"/>
            <w:gridSpan w:val="2"/>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421073F5">
            <w:pPr>
              <w:rPr>
                <w:rFonts w:hint="eastAsia" w:ascii="宋体" w:hAnsi="宋体"/>
                <w:sz w:val="18"/>
                <w:szCs w:val="24"/>
              </w:rPr>
            </w:pPr>
          </w:p>
        </w:tc>
        <w:tc>
          <w:tcPr>
            <w:tcW w:w="2158" w:type="dxa"/>
            <w:gridSpan w:val="2"/>
            <w:vMerge w:val="continue"/>
            <w:tcBorders>
              <w:top w:val="single" w:color="000000" w:sz="8" w:space="0"/>
              <w:left w:val="single" w:color="FFFFFF" w:sz="4" w:space="0"/>
              <w:bottom w:val="single" w:color="000000" w:sz="8" w:space="0"/>
              <w:right w:val="single" w:color="FFFFFF" w:sz="4" w:space="0"/>
              <w:tl2br w:val="nil"/>
              <w:tr2bl w:val="nil"/>
            </w:tcBorders>
            <w:shd w:val="clear" w:color="auto" w:fill="FFFFFF"/>
            <w:noWrap w:val="0"/>
            <w:vAlign w:val="center"/>
          </w:tcPr>
          <w:p w14:paraId="44913C32">
            <w:pPr>
              <w:rPr>
                <w:rFonts w:hint="eastAsia" w:ascii="宋体" w:hAnsi="宋体"/>
                <w:sz w:val="18"/>
                <w:szCs w:val="24"/>
              </w:rPr>
            </w:pPr>
          </w:p>
        </w:tc>
        <w:tc>
          <w:tcPr>
            <w:tcW w:w="2158" w:type="dxa"/>
            <w:gridSpan w:val="2"/>
            <w:vMerge w:val="continue"/>
            <w:tcBorders>
              <w:top w:val="single" w:color="000000" w:sz="8" w:space="0"/>
              <w:left w:val="single" w:color="000000" w:sz="8" w:space="0"/>
              <w:bottom w:val="single" w:color="000000" w:sz="8" w:space="0"/>
              <w:right w:val="single" w:color="000000" w:sz="8" w:space="0"/>
              <w:tl2br w:val="nil"/>
              <w:tr2bl w:val="nil"/>
            </w:tcBorders>
            <w:shd w:val="clear" w:color="auto" w:fill="FFFFFF"/>
            <w:noWrap w:val="0"/>
            <w:vAlign w:val="center"/>
          </w:tcPr>
          <w:p w14:paraId="35E9F900">
            <w:pPr>
              <w:rPr>
                <w:rFonts w:hint="eastAsia" w:ascii="宋体" w:hAnsi="宋体"/>
                <w:sz w:val="18"/>
                <w:szCs w:val="24"/>
              </w:rPr>
            </w:pPr>
          </w:p>
        </w:tc>
      </w:tr>
      <w:tr w14:paraId="43CD7041">
        <w:trPr>
          <w:trHeight w:val="280" w:hRule="exact"/>
        </w:trPr>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676055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03B7F42">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FA14CF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309D22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FCA355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B4730FA">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2EBA18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652D1D1">
            <w:pPr>
              <w:rPr>
                <w:rFonts w:hint="default"/>
                <w:sz w:val="24"/>
                <w:szCs w:val="24"/>
              </w:rPr>
            </w:pPr>
          </w:p>
        </w:tc>
      </w:tr>
      <w:tr w14:paraId="62957397">
        <w:trPr>
          <w:trHeight w:val="280" w:hRule="exact"/>
        </w:trPr>
        <w:tc>
          <w:tcPr>
            <w:tcW w:w="4316" w:type="dxa"/>
            <w:gridSpan w:val="4"/>
            <w:vMerge w:val="restart"/>
            <w:tcBorders>
              <w:top w:val="single" w:color="000000" w:sz="8" w:space="0"/>
              <w:left w:val="single" w:color="000000" w:sz="8" w:space="0"/>
              <w:bottom w:val="single" w:color="FFFFFF" w:sz="4" w:space="0"/>
              <w:right w:val="single" w:color="FFFFFF" w:sz="4" w:space="0"/>
              <w:tl2br w:val="nil"/>
              <w:tr2bl w:val="nil"/>
            </w:tcBorders>
            <w:shd w:val="clear" w:color="auto" w:fill="FFFFFF"/>
            <w:noWrap w:val="0"/>
            <w:vAlign w:val="center"/>
          </w:tcPr>
          <w:p w14:paraId="653BAFDC">
            <w:pPr>
              <w:spacing w:line="288" w:lineRule="exact"/>
              <w:ind w:left="20"/>
              <w:rPr>
                <w:rFonts w:hint="eastAsia" w:ascii="宋体" w:hAnsi="宋体"/>
                <w:sz w:val="24"/>
                <w:szCs w:val="24"/>
              </w:rPr>
            </w:pPr>
            <w:r>
              <w:rPr>
                <w:rFonts w:hint="eastAsia" w:ascii="宋体" w:hAnsi="宋体"/>
                <w:sz w:val="24"/>
                <w:szCs w:val="24"/>
              </w:rPr>
              <w:t>导师对开题报告的具体意见：</w:t>
            </w:r>
          </w:p>
        </w:tc>
        <w:tc>
          <w:tcPr>
            <w:tcW w:w="1079"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6B9B4CD8">
            <w:pPr>
              <w:rPr>
                <w:rFonts w:hint="default"/>
                <w:sz w:val="24"/>
                <w:szCs w:val="24"/>
              </w:rPr>
            </w:pPr>
          </w:p>
        </w:tc>
        <w:tc>
          <w:tcPr>
            <w:tcW w:w="1079"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4E50EF56">
            <w:pPr>
              <w:rPr>
                <w:rFonts w:hint="default"/>
                <w:sz w:val="24"/>
                <w:szCs w:val="24"/>
              </w:rPr>
            </w:pPr>
          </w:p>
        </w:tc>
        <w:tc>
          <w:tcPr>
            <w:tcW w:w="1079"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0234A252">
            <w:pPr>
              <w:rPr>
                <w:rFonts w:hint="default"/>
                <w:sz w:val="24"/>
                <w:szCs w:val="24"/>
              </w:rPr>
            </w:pPr>
          </w:p>
        </w:tc>
        <w:tc>
          <w:tcPr>
            <w:tcW w:w="1079" w:type="dxa"/>
            <w:tcBorders>
              <w:top w:val="single" w:color="000000" w:sz="8" w:space="0"/>
              <w:left w:val="single" w:color="FFFFFF" w:sz="4" w:space="0"/>
              <w:bottom w:val="single" w:color="FFFFFF" w:sz="4" w:space="0"/>
              <w:right w:val="single" w:color="000000" w:sz="8" w:space="0"/>
              <w:tl2br w:val="nil"/>
              <w:tr2bl w:val="nil"/>
            </w:tcBorders>
            <w:shd w:val="clear" w:color="auto" w:fill="FFFFFF"/>
            <w:noWrap w:val="0"/>
            <w:vAlign w:val="center"/>
          </w:tcPr>
          <w:p w14:paraId="5B610D98">
            <w:pPr>
              <w:rPr>
                <w:rFonts w:hint="default"/>
                <w:sz w:val="24"/>
                <w:szCs w:val="24"/>
              </w:rPr>
            </w:pPr>
          </w:p>
        </w:tc>
      </w:tr>
      <w:tr w14:paraId="44A266B9">
        <w:trPr>
          <w:trHeight w:val="280" w:hRule="exact"/>
        </w:trPr>
        <w:tc>
          <w:tcPr>
            <w:tcW w:w="4316" w:type="dxa"/>
            <w:gridSpan w:val="4"/>
            <w:vMerge w:val="continue"/>
            <w:tcBorders>
              <w:top w:val="single" w:color="000000" w:sz="8" w:space="0"/>
              <w:left w:val="single" w:color="000000" w:sz="8" w:space="0"/>
              <w:bottom w:val="single" w:color="FFFFFF" w:sz="4" w:space="0"/>
              <w:right w:val="single" w:color="FFFFFF" w:sz="4" w:space="0"/>
              <w:tl2br w:val="nil"/>
              <w:tr2bl w:val="nil"/>
            </w:tcBorders>
            <w:shd w:val="clear" w:color="auto" w:fill="FFFFFF"/>
            <w:noWrap w:val="0"/>
            <w:vAlign w:val="center"/>
          </w:tcPr>
          <w:p w14:paraId="2D5E9C1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BE906A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63092E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943C60F">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65081B70">
            <w:pPr>
              <w:rPr>
                <w:rFonts w:hint="default"/>
                <w:sz w:val="24"/>
                <w:szCs w:val="24"/>
              </w:rPr>
            </w:pPr>
          </w:p>
        </w:tc>
      </w:tr>
      <w:tr w14:paraId="61C9F301">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1627487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3EB6DE2">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C8D0129">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CC1BFE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90FEEA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E6C3A6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265E9AD">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1D5A700E">
            <w:pPr>
              <w:rPr>
                <w:rFonts w:hint="default"/>
                <w:sz w:val="24"/>
                <w:szCs w:val="24"/>
              </w:rPr>
            </w:pPr>
          </w:p>
        </w:tc>
      </w:tr>
      <w:tr w14:paraId="6F491EA7">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7F2C396C">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1CD869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92260C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2F14C2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4157C9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3FAE12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3AB9B9F">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1A5AC42B">
            <w:pPr>
              <w:rPr>
                <w:rFonts w:hint="default"/>
                <w:sz w:val="24"/>
                <w:szCs w:val="24"/>
              </w:rPr>
            </w:pPr>
          </w:p>
        </w:tc>
      </w:tr>
      <w:tr w14:paraId="5E38AA81">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432964A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2DECB32">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B80DC4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AB6DAF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5CFFBC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CAEF89A">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CE2492A">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5D565246">
            <w:pPr>
              <w:rPr>
                <w:rFonts w:hint="default"/>
                <w:sz w:val="24"/>
                <w:szCs w:val="24"/>
              </w:rPr>
            </w:pPr>
          </w:p>
        </w:tc>
      </w:tr>
      <w:tr w14:paraId="3581830C">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1CD5C589">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821A7B6">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A303EC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7C67A6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66B1CE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689D9D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879A646">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4E730194">
            <w:pPr>
              <w:rPr>
                <w:rFonts w:hint="default"/>
                <w:sz w:val="24"/>
                <w:szCs w:val="24"/>
              </w:rPr>
            </w:pPr>
          </w:p>
        </w:tc>
      </w:tr>
      <w:tr w14:paraId="04F50C18">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4438F1E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6C70EF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20B4D1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50786C6">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66C5A6C">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7049D4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8B2131B">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2EDE05DE">
            <w:pPr>
              <w:rPr>
                <w:rFonts w:hint="default"/>
                <w:sz w:val="24"/>
                <w:szCs w:val="24"/>
              </w:rPr>
            </w:pPr>
          </w:p>
        </w:tc>
      </w:tr>
      <w:tr w14:paraId="37AB009E">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591D591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6329F3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B7BE41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5AB7A3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017DD5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E9D95DF">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9973510">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26EEEF33">
            <w:pPr>
              <w:rPr>
                <w:rFonts w:hint="default"/>
                <w:sz w:val="24"/>
                <w:szCs w:val="24"/>
              </w:rPr>
            </w:pPr>
          </w:p>
        </w:tc>
      </w:tr>
      <w:tr w14:paraId="6A81FFDE">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6F6A2B0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E99419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D2C6C9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C823252">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A6089C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F2CF357">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695C0DC">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640D5C54">
            <w:pPr>
              <w:rPr>
                <w:rFonts w:hint="default"/>
                <w:sz w:val="24"/>
                <w:szCs w:val="24"/>
              </w:rPr>
            </w:pPr>
          </w:p>
        </w:tc>
      </w:tr>
      <w:tr w14:paraId="230213C2">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46A04D8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A6E41D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3FCF00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AAE08C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D94356E">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3803BE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53F19A4">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68FA496E">
            <w:pPr>
              <w:rPr>
                <w:rFonts w:hint="default"/>
                <w:sz w:val="24"/>
                <w:szCs w:val="24"/>
              </w:rPr>
            </w:pPr>
          </w:p>
        </w:tc>
      </w:tr>
      <w:tr w14:paraId="55C0B02C">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5C787672">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00A08D9">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7432A3C">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997FE2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791071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6925CC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6B0043F">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04BA3A59">
            <w:pPr>
              <w:rPr>
                <w:rFonts w:hint="default"/>
                <w:sz w:val="24"/>
                <w:szCs w:val="24"/>
              </w:rPr>
            </w:pPr>
          </w:p>
        </w:tc>
      </w:tr>
      <w:tr w14:paraId="52034ACF">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0EF79D8A">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F25C86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370E9CE">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B749C5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DAB4A7E">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5ECDB9C">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B27F804">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076344DB">
            <w:pPr>
              <w:rPr>
                <w:rFonts w:hint="default"/>
                <w:sz w:val="24"/>
                <w:szCs w:val="24"/>
              </w:rPr>
            </w:pPr>
          </w:p>
        </w:tc>
      </w:tr>
      <w:tr w14:paraId="3E2013C4">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6F05838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B2CC5A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11D514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598E320">
            <w:pPr>
              <w:rPr>
                <w:rFonts w:hint="default"/>
                <w:sz w:val="24"/>
                <w:szCs w:val="24"/>
              </w:rPr>
            </w:pPr>
          </w:p>
        </w:tc>
        <w:tc>
          <w:tcPr>
            <w:tcW w:w="2158" w:type="dxa"/>
            <w:gridSpan w:val="2"/>
            <w:vMerge w:val="restart"/>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27ED8DC">
            <w:pPr>
              <w:spacing w:line="288" w:lineRule="exact"/>
              <w:ind w:left="20"/>
              <w:rPr>
                <w:rFonts w:hint="eastAsia" w:ascii="宋体" w:hAnsi="宋体"/>
                <w:sz w:val="24"/>
                <w:szCs w:val="24"/>
              </w:rPr>
            </w:pPr>
            <w:r>
              <w:rPr>
                <w:rFonts w:hint="eastAsia" w:ascii="宋体" w:hAnsi="宋体"/>
                <w:sz w:val="24"/>
                <w:szCs w:val="24"/>
              </w:rPr>
              <w:t>导 师 签 名：</w:t>
            </w: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F83848F">
            <w:pPr>
              <w:rPr>
                <w:rFonts w:hint="default"/>
                <w:sz w:val="24"/>
                <w:szCs w:val="24"/>
              </w:rPr>
            </w:pPr>
          </w:p>
        </w:tc>
        <w:tc>
          <w:tcPr>
            <w:tcW w:w="1079" w:type="dxa"/>
            <w:tcBorders>
              <w:top w:val="single" w:color="FFFFFF" w:sz="4" w:space="0"/>
              <w:left w:val="single" w:color="FFFFFF" w:sz="4" w:space="0"/>
              <w:bottom w:val="single" w:color="FFFFFF" w:sz="4" w:space="0"/>
              <w:right w:val="single" w:color="auto" w:sz="4" w:space="0"/>
              <w:tl2br w:val="nil"/>
              <w:tr2bl w:val="nil"/>
            </w:tcBorders>
            <w:shd w:val="clear" w:color="auto" w:fill="FFFFFF"/>
            <w:noWrap w:val="0"/>
            <w:vAlign w:val="center"/>
          </w:tcPr>
          <w:p w14:paraId="196B225B">
            <w:pPr>
              <w:rPr>
                <w:rFonts w:hint="default"/>
                <w:sz w:val="24"/>
                <w:szCs w:val="24"/>
              </w:rPr>
            </w:pPr>
          </w:p>
        </w:tc>
      </w:tr>
      <w:tr w14:paraId="4A055FC6">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7CC6F0B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7B389E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96D082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06F7BFB">
            <w:pPr>
              <w:rPr>
                <w:rFonts w:hint="default"/>
                <w:sz w:val="24"/>
                <w:szCs w:val="24"/>
              </w:rPr>
            </w:pPr>
          </w:p>
        </w:tc>
        <w:tc>
          <w:tcPr>
            <w:tcW w:w="2158" w:type="dxa"/>
            <w:gridSpan w:val="2"/>
            <w:vMerge w:val="continue"/>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2234F2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54C2282">
            <w:pPr>
              <w:rPr>
                <w:rFonts w:hint="default"/>
                <w:sz w:val="24"/>
                <w:szCs w:val="24"/>
              </w:rPr>
            </w:pPr>
          </w:p>
        </w:tc>
        <w:tc>
          <w:tcPr>
            <w:tcW w:w="1079" w:type="dxa"/>
            <w:tcBorders>
              <w:top w:val="single" w:color="FFFFFF" w:sz="4" w:space="0"/>
              <w:left w:val="single" w:color="FFFFFF" w:sz="4" w:space="0"/>
              <w:bottom w:val="single" w:color="FFFFFF" w:sz="4" w:space="0"/>
              <w:right w:val="single" w:color="auto" w:sz="4" w:space="0"/>
              <w:tl2br w:val="nil"/>
              <w:tr2bl w:val="nil"/>
            </w:tcBorders>
            <w:shd w:val="clear" w:color="auto" w:fill="FFFFFF"/>
            <w:noWrap w:val="0"/>
            <w:vAlign w:val="center"/>
          </w:tcPr>
          <w:p w14:paraId="4E12C6DA">
            <w:pPr>
              <w:rPr>
                <w:rFonts w:hint="default"/>
                <w:sz w:val="24"/>
                <w:szCs w:val="24"/>
              </w:rPr>
            </w:pPr>
          </w:p>
        </w:tc>
      </w:tr>
      <w:tr w14:paraId="07A7367A">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4DB26057">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BCE408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46D122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70E2B1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21650FA">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0470D16">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43E2F39">
            <w:pPr>
              <w:rPr>
                <w:rFonts w:hint="default"/>
                <w:sz w:val="24"/>
                <w:szCs w:val="24"/>
              </w:rPr>
            </w:pPr>
          </w:p>
        </w:tc>
        <w:tc>
          <w:tcPr>
            <w:tcW w:w="1079" w:type="dxa"/>
            <w:tcBorders>
              <w:top w:val="single" w:color="FFFFFF" w:sz="4" w:space="0"/>
              <w:left w:val="single" w:color="FFFFFF" w:sz="4" w:space="0"/>
              <w:bottom w:val="single" w:color="FFFFFF" w:sz="4" w:space="0"/>
              <w:right w:val="single" w:color="auto" w:sz="4" w:space="0"/>
              <w:tl2br w:val="nil"/>
              <w:tr2bl w:val="nil"/>
            </w:tcBorders>
            <w:shd w:val="clear" w:color="auto" w:fill="FFFFFF"/>
            <w:noWrap w:val="0"/>
            <w:vAlign w:val="center"/>
          </w:tcPr>
          <w:p w14:paraId="5C691C88">
            <w:pPr>
              <w:rPr>
                <w:rFonts w:hint="default"/>
                <w:sz w:val="24"/>
                <w:szCs w:val="24"/>
              </w:rPr>
            </w:pPr>
          </w:p>
        </w:tc>
      </w:tr>
      <w:tr w14:paraId="03EEB470">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6E2E20F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C6B7D9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2BD2ABC">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6487947">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6509C79">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F6629D2">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F83E3B2">
            <w:pPr>
              <w:rPr>
                <w:rFonts w:hint="default"/>
                <w:sz w:val="24"/>
                <w:szCs w:val="24"/>
              </w:rPr>
            </w:pPr>
          </w:p>
        </w:tc>
        <w:tc>
          <w:tcPr>
            <w:tcW w:w="1079" w:type="dxa"/>
            <w:tcBorders>
              <w:top w:val="single" w:color="FFFFFF" w:sz="4" w:space="0"/>
              <w:left w:val="single" w:color="FFFFFF" w:sz="4" w:space="0"/>
              <w:bottom w:val="single" w:color="FFFFFF" w:sz="4" w:space="0"/>
              <w:right w:val="single" w:color="auto" w:sz="4" w:space="0"/>
              <w:tl2br w:val="nil"/>
              <w:tr2bl w:val="nil"/>
            </w:tcBorders>
            <w:shd w:val="clear" w:color="auto" w:fill="FFFFFF"/>
            <w:noWrap w:val="0"/>
            <w:vAlign w:val="center"/>
          </w:tcPr>
          <w:p w14:paraId="1BC95887">
            <w:pPr>
              <w:rPr>
                <w:rFonts w:hint="default"/>
                <w:sz w:val="24"/>
                <w:szCs w:val="24"/>
              </w:rPr>
            </w:pPr>
          </w:p>
        </w:tc>
      </w:tr>
      <w:tr w14:paraId="7D25EDAB">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6A01F199">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C78ED4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5C1064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7968CF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CEF2BA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6EAD996">
            <w:pPr>
              <w:spacing w:line="288" w:lineRule="exact"/>
              <w:ind w:left="20"/>
              <w:rPr>
                <w:rFonts w:hint="eastAsia" w:ascii="宋体" w:hAnsi="宋体"/>
                <w:sz w:val="24"/>
                <w:szCs w:val="24"/>
              </w:rPr>
            </w:pPr>
            <w:r>
              <w:rPr>
                <w:rFonts w:hint="eastAsia" w:ascii="宋体" w:hAnsi="宋体"/>
                <w:sz w:val="24"/>
                <w:szCs w:val="24"/>
              </w:rPr>
              <w:t>年</w:t>
            </w: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00959F8">
            <w:pPr>
              <w:spacing w:line="288" w:lineRule="exact"/>
              <w:ind w:left="20"/>
              <w:rPr>
                <w:rFonts w:hint="eastAsia" w:ascii="宋体" w:hAnsi="宋体"/>
                <w:sz w:val="24"/>
                <w:szCs w:val="24"/>
              </w:rPr>
            </w:pPr>
            <w:r>
              <w:rPr>
                <w:rFonts w:hint="eastAsia" w:ascii="宋体" w:hAnsi="宋体"/>
                <w:sz w:val="24"/>
                <w:szCs w:val="24"/>
              </w:rPr>
              <w:t>月</w:t>
            </w:r>
          </w:p>
        </w:tc>
        <w:tc>
          <w:tcPr>
            <w:tcW w:w="1079" w:type="dxa"/>
            <w:tcBorders>
              <w:top w:val="single" w:color="FFFFFF" w:sz="4" w:space="0"/>
              <w:left w:val="single" w:color="FFFFFF" w:sz="4" w:space="0"/>
              <w:bottom w:val="single" w:color="FFFFFF" w:sz="4" w:space="0"/>
              <w:right w:val="single" w:color="auto" w:sz="4" w:space="0"/>
              <w:tl2br w:val="nil"/>
              <w:tr2bl w:val="nil"/>
            </w:tcBorders>
            <w:shd w:val="clear" w:color="auto" w:fill="FFFFFF"/>
            <w:noWrap w:val="0"/>
            <w:vAlign w:val="center"/>
          </w:tcPr>
          <w:p w14:paraId="45C1FBBF">
            <w:pPr>
              <w:spacing w:line="288" w:lineRule="exact"/>
              <w:ind w:left="20"/>
              <w:rPr>
                <w:rFonts w:hint="eastAsia" w:ascii="宋体" w:hAnsi="宋体"/>
                <w:sz w:val="24"/>
                <w:szCs w:val="24"/>
              </w:rPr>
            </w:pPr>
            <w:r>
              <w:rPr>
                <w:rFonts w:hint="eastAsia" w:ascii="宋体" w:hAnsi="宋体"/>
                <w:sz w:val="24"/>
                <w:szCs w:val="24"/>
              </w:rPr>
              <w:t>日</w:t>
            </w:r>
          </w:p>
        </w:tc>
      </w:tr>
      <w:tr w14:paraId="212DFB02">
        <w:trPr>
          <w:trHeight w:val="280" w:hRule="exact"/>
        </w:trPr>
        <w:tc>
          <w:tcPr>
            <w:tcW w:w="3237" w:type="dxa"/>
            <w:gridSpan w:val="3"/>
            <w:vMerge w:val="restart"/>
            <w:tcBorders>
              <w:top w:val="single" w:color="000000" w:sz="8" w:space="0"/>
              <w:left w:val="single" w:color="000000" w:sz="8" w:space="0"/>
              <w:bottom w:val="single" w:color="FFFFFF" w:sz="4" w:space="0"/>
              <w:right w:val="single" w:color="FFFFFF" w:sz="4" w:space="0"/>
              <w:tl2br w:val="nil"/>
              <w:tr2bl w:val="nil"/>
            </w:tcBorders>
            <w:shd w:val="clear" w:color="auto" w:fill="FFFFFF"/>
            <w:noWrap w:val="0"/>
            <w:vAlign w:val="center"/>
          </w:tcPr>
          <w:p w14:paraId="0CDB299F">
            <w:pPr>
              <w:spacing w:line="288" w:lineRule="exact"/>
              <w:ind w:left="20"/>
              <w:rPr>
                <w:rFonts w:hint="eastAsia" w:ascii="宋体" w:hAnsi="宋体"/>
                <w:sz w:val="24"/>
                <w:szCs w:val="24"/>
              </w:rPr>
            </w:pPr>
            <w:r>
              <w:rPr>
                <w:rFonts w:hint="eastAsia" w:ascii="宋体" w:hAnsi="宋体"/>
                <w:sz w:val="24"/>
                <w:szCs w:val="24"/>
              </w:rPr>
              <w:t>专家组意见：</w:t>
            </w:r>
          </w:p>
        </w:tc>
        <w:tc>
          <w:tcPr>
            <w:tcW w:w="1079"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0A02EC00">
            <w:pPr>
              <w:rPr>
                <w:rFonts w:hint="default"/>
                <w:sz w:val="24"/>
                <w:szCs w:val="24"/>
              </w:rPr>
            </w:pPr>
          </w:p>
        </w:tc>
        <w:tc>
          <w:tcPr>
            <w:tcW w:w="1079"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000D9126">
            <w:pPr>
              <w:rPr>
                <w:rFonts w:hint="default"/>
                <w:sz w:val="24"/>
                <w:szCs w:val="24"/>
              </w:rPr>
            </w:pPr>
          </w:p>
        </w:tc>
        <w:tc>
          <w:tcPr>
            <w:tcW w:w="1079"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6B5DD0B5">
            <w:pPr>
              <w:rPr>
                <w:rFonts w:hint="default"/>
                <w:sz w:val="24"/>
                <w:szCs w:val="24"/>
              </w:rPr>
            </w:pPr>
          </w:p>
        </w:tc>
        <w:tc>
          <w:tcPr>
            <w:tcW w:w="1079" w:type="dxa"/>
            <w:tcBorders>
              <w:top w:val="single" w:color="000000" w:sz="8" w:space="0"/>
              <w:left w:val="single" w:color="FFFFFF" w:sz="4" w:space="0"/>
              <w:bottom w:val="single" w:color="FFFFFF" w:sz="4" w:space="0"/>
              <w:right w:val="single" w:color="FFFFFF" w:sz="4" w:space="0"/>
              <w:tl2br w:val="nil"/>
              <w:tr2bl w:val="nil"/>
            </w:tcBorders>
            <w:shd w:val="clear" w:color="auto" w:fill="FFFFFF"/>
            <w:noWrap w:val="0"/>
            <w:vAlign w:val="center"/>
          </w:tcPr>
          <w:p w14:paraId="3BBA80BE">
            <w:pPr>
              <w:rPr>
                <w:rFonts w:hint="default"/>
                <w:sz w:val="24"/>
                <w:szCs w:val="24"/>
              </w:rPr>
            </w:pPr>
          </w:p>
        </w:tc>
        <w:tc>
          <w:tcPr>
            <w:tcW w:w="1079" w:type="dxa"/>
            <w:tcBorders>
              <w:top w:val="single" w:color="000000" w:sz="8" w:space="0"/>
              <w:left w:val="single" w:color="FFFFFF" w:sz="4" w:space="0"/>
              <w:bottom w:val="single" w:color="FFFFFF" w:sz="4" w:space="0"/>
              <w:right w:val="single" w:color="auto" w:sz="4" w:space="0"/>
              <w:tl2br w:val="nil"/>
              <w:tr2bl w:val="nil"/>
            </w:tcBorders>
            <w:shd w:val="clear" w:color="auto" w:fill="FFFFFF"/>
            <w:noWrap w:val="0"/>
            <w:vAlign w:val="center"/>
          </w:tcPr>
          <w:p w14:paraId="1B731722">
            <w:pPr>
              <w:rPr>
                <w:rFonts w:hint="default"/>
                <w:sz w:val="24"/>
                <w:szCs w:val="24"/>
              </w:rPr>
            </w:pPr>
          </w:p>
        </w:tc>
      </w:tr>
      <w:tr w14:paraId="1D0A40C5">
        <w:trPr>
          <w:trHeight w:val="280" w:hRule="exact"/>
        </w:trPr>
        <w:tc>
          <w:tcPr>
            <w:tcW w:w="3237" w:type="dxa"/>
            <w:gridSpan w:val="3"/>
            <w:vMerge w:val="continue"/>
            <w:tcBorders>
              <w:top w:val="single" w:color="000000" w:sz="8" w:space="0"/>
              <w:left w:val="single" w:color="000000" w:sz="8" w:space="0"/>
              <w:bottom w:val="single" w:color="FFFFFF" w:sz="4" w:space="0"/>
              <w:right w:val="single" w:color="FFFFFF" w:sz="4" w:space="0"/>
              <w:tl2br w:val="nil"/>
              <w:tr2bl w:val="nil"/>
            </w:tcBorders>
            <w:shd w:val="clear" w:color="auto" w:fill="FFFFFF"/>
            <w:noWrap w:val="0"/>
            <w:vAlign w:val="center"/>
          </w:tcPr>
          <w:p w14:paraId="55B3492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764C69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3552A1D">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D580D4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849D0C1">
            <w:pPr>
              <w:rPr>
                <w:rFonts w:hint="default"/>
                <w:sz w:val="24"/>
                <w:szCs w:val="24"/>
              </w:rPr>
            </w:pPr>
          </w:p>
        </w:tc>
        <w:tc>
          <w:tcPr>
            <w:tcW w:w="1079" w:type="dxa"/>
            <w:tcBorders>
              <w:top w:val="single" w:color="FFFFFF" w:sz="4" w:space="0"/>
              <w:left w:val="single" w:color="FFFFFF" w:sz="4" w:space="0"/>
              <w:bottom w:val="single" w:color="FFFFFF" w:sz="4" w:space="0"/>
              <w:right w:val="single" w:color="auto" w:sz="4" w:space="0"/>
              <w:tl2br w:val="nil"/>
              <w:tr2bl w:val="nil"/>
            </w:tcBorders>
            <w:shd w:val="clear" w:color="auto" w:fill="FFFFFF"/>
            <w:noWrap w:val="0"/>
            <w:vAlign w:val="center"/>
          </w:tcPr>
          <w:p w14:paraId="63C9C4D7">
            <w:pPr>
              <w:rPr>
                <w:rFonts w:hint="default"/>
                <w:sz w:val="24"/>
                <w:szCs w:val="24"/>
              </w:rPr>
            </w:pPr>
          </w:p>
        </w:tc>
      </w:tr>
      <w:tr w14:paraId="560E5380">
        <w:trPr>
          <w:trHeight w:val="280" w:hRule="exact"/>
        </w:trPr>
        <w:tc>
          <w:tcPr>
            <w:tcW w:w="8632" w:type="dxa"/>
            <w:gridSpan w:val="8"/>
            <w:vMerge w:val="restart"/>
            <w:tcBorders>
              <w:top w:val="single" w:color="FFFFFF" w:sz="4" w:space="0"/>
              <w:left w:val="single" w:color="000000" w:sz="8" w:space="0"/>
              <w:bottom w:val="single" w:color="FFFFFF" w:sz="4" w:space="0"/>
              <w:right w:val="single" w:color="auto" w:sz="4" w:space="0"/>
              <w:tl2br w:val="nil"/>
              <w:tr2bl w:val="nil"/>
            </w:tcBorders>
            <w:shd w:val="clear" w:color="auto" w:fill="FFFFFF"/>
            <w:noWrap w:val="0"/>
            <w:vAlign w:val="center"/>
          </w:tcPr>
          <w:p w14:paraId="5A9B39A6">
            <w:pPr>
              <w:rPr>
                <w:rFonts w:hint="default"/>
                <w:sz w:val="24"/>
                <w:szCs w:val="24"/>
              </w:rPr>
            </w:pPr>
          </w:p>
        </w:tc>
      </w:tr>
      <w:tr w14:paraId="429BD2E8">
        <w:trPr>
          <w:trHeight w:val="280" w:hRule="exact"/>
        </w:trPr>
        <w:tc>
          <w:tcPr>
            <w:tcW w:w="8632" w:type="dxa"/>
            <w:gridSpan w:val="8"/>
            <w:vMerge w:val="continue"/>
            <w:tcBorders>
              <w:top w:val="single" w:color="FFFFFF" w:sz="4" w:space="0"/>
              <w:left w:val="single" w:color="000000" w:sz="8" w:space="0"/>
              <w:bottom w:val="single" w:color="FFFFFF" w:sz="4" w:space="0"/>
              <w:right w:val="single" w:color="auto" w:sz="4" w:space="0"/>
              <w:tl2br w:val="nil"/>
              <w:tr2bl w:val="nil"/>
            </w:tcBorders>
            <w:shd w:val="clear" w:color="auto" w:fill="FFFFFF"/>
            <w:noWrap w:val="0"/>
            <w:vAlign w:val="center"/>
          </w:tcPr>
          <w:p w14:paraId="42F77F8A">
            <w:pPr>
              <w:rPr>
                <w:rFonts w:hint="default"/>
                <w:sz w:val="24"/>
                <w:szCs w:val="24"/>
              </w:rPr>
            </w:pPr>
          </w:p>
        </w:tc>
      </w:tr>
      <w:tr w14:paraId="0B5BC4CD">
        <w:trPr>
          <w:trHeight w:val="280" w:hRule="exact"/>
        </w:trPr>
        <w:tc>
          <w:tcPr>
            <w:tcW w:w="8632" w:type="dxa"/>
            <w:gridSpan w:val="8"/>
            <w:vMerge w:val="continue"/>
            <w:tcBorders>
              <w:top w:val="single" w:color="FFFFFF" w:sz="4" w:space="0"/>
              <w:left w:val="single" w:color="000000" w:sz="8" w:space="0"/>
              <w:bottom w:val="single" w:color="FFFFFF" w:sz="4" w:space="0"/>
              <w:right w:val="single" w:color="auto" w:sz="4" w:space="0"/>
              <w:tl2br w:val="nil"/>
              <w:tr2bl w:val="nil"/>
            </w:tcBorders>
            <w:shd w:val="clear" w:color="auto" w:fill="FFFFFF"/>
            <w:noWrap w:val="0"/>
            <w:vAlign w:val="center"/>
          </w:tcPr>
          <w:p w14:paraId="4BF39FBD">
            <w:pPr>
              <w:rPr>
                <w:rFonts w:hint="default"/>
                <w:sz w:val="24"/>
                <w:szCs w:val="24"/>
              </w:rPr>
            </w:pPr>
          </w:p>
        </w:tc>
      </w:tr>
      <w:tr w14:paraId="7EACB56B">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06DC3F0F">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852AE4E">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3C426E6A">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50E8410A">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79EF69DF">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20F06C55">
            <w:pPr>
              <w:rPr>
                <w:rFonts w:hint="default"/>
                <w:sz w:val="24"/>
                <w:szCs w:val="24"/>
              </w:rPr>
            </w:pPr>
          </w:p>
        </w:tc>
        <w:tc>
          <w:tcPr>
            <w:tcW w:w="1079" w:type="dxa"/>
            <w:tcBorders>
              <w:top w:val="single" w:color="FFFFFF" w:sz="8" w:space="0"/>
              <w:left w:val="single" w:color="FFFFFF" w:sz="8" w:space="0"/>
              <w:bottom w:val="single" w:color="FFFFFF" w:sz="8" w:space="0"/>
              <w:right w:val="single" w:color="FFFFFF" w:sz="8" w:space="0"/>
              <w:tl2br w:val="nil"/>
              <w:tr2bl w:val="nil"/>
            </w:tcBorders>
            <w:shd w:val="clear" w:color="auto" w:fill="FFFFFF"/>
            <w:noWrap w:val="0"/>
            <w:vAlign w:val="center"/>
          </w:tcPr>
          <w:p w14:paraId="0C6FBC86">
            <w:pPr>
              <w:rPr>
                <w:rFonts w:hint="default"/>
                <w:sz w:val="24"/>
                <w:szCs w:val="24"/>
              </w:rPr>
            </w:pPr>
          </w:p>
        </w:tc>
        <w:tc>
          <w:tcPr>
            <w:tcW w:w="1079" w:type="dxa"/>
            <w:tcBorders>
              <w:top w:val="single" w:color="FFFFFF" w:sz="4" w:space="0"/>
              <w:left w:val="single" w:color="FFFFFF" w:sz="4" w:space="0"/>
              <w:bottom w:val="single" w:color="FFFFFF" w:sz="4" w:space="0"/>
              <w:right w:val="single" w:color="auto" w:sz="4" w:space="0"/>
              <w:tl2br w:val="nil"/>
              <w:tr2bl w:val="nil"/>
            </w:tcBorders>
            <w:shd w:val="clear" w:color="auto" w:fill="FFFFFF"/>
            <w:noWrap w:val="0"/>
            <w:vAlign w:val="center"/>
          </w:tcPr>
          <w:p w14:paraId="60F4C564">
            <w:pPr>
              <w:rPr>
                <w:rFonts w:hint="default"/>
                <w:sz w:val="24"/>
                <w:szCs w:val="24"/>
              </w:rPr>
            </w:pPr>
          </w:p>
        </w:tc>
      </w:tr>
      <w:tr w14:paraId="0BDB4059">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0C35F78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36DCD17">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A99663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D0279D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851B32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6EA0369">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EEE69E4">
            <w:pPr>
              <w:rPr>
                <w:rFonts w:hint="default"/>
                <w:sz w:val="24"/>
                <w:szCs w:val="24"/>
              </w:rPr>
            </w:pPr>
          </w:p>
        </w:tc>
        <w:tc>
          <w:tcPr>
            <w:tcW w:w="1079" w:type="dxa"/>
            <w:tcBorders>
              <w:top w:val="single" w:color="FFFFFF" w:sz="4" w:space="0"/>
              <w:left w:val="single" w:color="FFFFFF" w:sz="4" w:space="0"/>
              <w:bottom w:val="single" w:color="FFFFFF" w:sz="4" w:space="0"/>
              <w:right w:val="single" w:color="auto" w:sz="4" w:space="0"/>
              <w:tl2br w:val="nil"/>
              <w:tr2bl w:val="nil"/>
            </w:tcBorders>
            <w:shd w:val="clear" w:color="auto" w:fill="FFFFFF"/>
            <w:noWrap w:val="0"/>
            <w:vAlign w:val="center"/>
          </w:tcPr>
          <w:p w14:paraId="725EB3CC">
            <w:pPr>
              <w:rPr>
                <w:rFonts w:hint="default"/>
                <w:sz w:val="24"/>
                <w:szCs w:val="24"/>
              </w:rPr>
            </w:pPr>
          </w:p>
        </w:tc>
      </w:tr>
      <w:tr w14:paraId="04728072">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658CE0D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1670C6B">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E2008B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3507D5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1DC2662">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C60A9F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45B4EF35">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40F910C7">
            <w:pPr>
              <w:rPr>
                <w:rFonts w:hint="default"/>
                <w:sz w:val="24"/>
                <w:szCs w:val="24"/>
              </w:rPr>
            </w:pPr>
          </w:p>
        </w:tc>
      </w:tr>
      <w:tr w14:paraId="025FF26C">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3EB08CA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ABB4DC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FF1BD8C">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ADC0ACE">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D9CDC22">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50FEFE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2394193">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2F7754F1">
            <w:pPr>
              <w:rPr>
                <w:rFonts w:hint="default"/>
                <w:sz w:val="24"/>
                <w:szCs w:val="24"/>
              </w:rPr>
            </w:pPr>
          </w:p>
        </w:tc>
      </w:tr>
      <w:tr w14:paraId="65FE0D20">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724CBE6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7862E2A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DEAAF66">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7D8E215">
            <w:pPr>
              <w:rPr>
                <w:rFonts w:hint="default"/>
                <w:sz w:val="24"/>
                <w:szCs w:val="24"/>
              </w:rPr>
            </w:pPr>
          </w:p>
        </w:tc>
        <w:tc>
          <w:tcPr>
            <w:tcW w:w="2158" w:type="dxa"/>
            <w:gridSpan w:val="2"/>
            <w:vMerge w:val="restart"/>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BBEF5A8">
            <w:pPr>
              <w:spacing w:line="288" w:lineRule="exact"/>
              <w:ind w:left="20"/>
              <w:rPr>
                <w:rFonts w:hint="eastAsia" w:ascii="宋体" w:hAnsi="宋体"/>
                <w:sz w:val="24"/>
                <w:szCs w:val="24"/>
              </w:rPr>
            </w:pPr>
            <w:r>
              <w:rPr>
                <w:rFonts w:hint="eastAsia" w:ascii="宋体" w:hAnsi="宋体"/>
                <w:sz w:val="24"/>
                <w:szCs w:val="24"/>
              </w:rPr>
              <w:t>专家组签名：</w:t>
            </w: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9901C75">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2848EDE6">
            <w:pPr>
              <w:rPr>
                <w:rFonts w:hint="default"/>
                <w:sz w:val="24"/>
                <w:szCs w:val="24"/>
              </w:rPr>
            </w:pPr>
          </w:p>
        </w:tc>
      </w:tr>
      <w:tr w14:paraId="59E739A1">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6DC2B40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A0FFBE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799C9B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AB5D55E">
            <w:pPr>
              <w:rPr>
                <w:rFonts w:hint="default"/>
                <w:sz w:val="24"/>
                <w:szCs w:val="24"/>
              </w:rPr>
            </w:pPr>
          </w:p>
        </w:tc>
        <w:tc>
          <w:tcPr>
            <w:tcW w:w="2158" w:type="dxa"/>
            <w:gridSpan w:val="2"/>
            <w:vMerge w:val="continue"/>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765A34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CA01736">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02DA7AA1">
            <w:pPr>
              <w:rPr>
                <w:rFonts w:hint="default"/>
                <w:sz w:val="24"/>
                <w:szCs w:val="24"/>
              </w:rPr>
            </w:pPr>
          </w:p>
        </w:tc>
      </w:tr>
      <w:tr w14:paraId="27996CCC">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5C49F7F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935413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914F500">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2525E81">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FF4E5E3">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63E76195">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8D57550">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3D818494">
            <w:pPr>
              <w:rPr>
                <w:rFonts w:hint="default"/>
                <w:sz w:val="24"/>
                <w:szCs w:val="24"/>
              </w:rPr>
            </w:pPr>
          </w:p>
        </w:tc>
      </w:tr>
      <w:tr w14:paraId="7AF0AA70">
        <w:trPr>
          <w:trHeight w:val="280" w:hRule="exact"/>
        </w:trPr>
        <w:tc>
          <w:tcPr>
            <w:tcW w:w="1079" w:type="dxa"/>
            <w:tcBorders>
              <w:top w:val="single" w:color="FFFFFF" w:sz="4" w:space="0"/>
              <w:left w:val="single" w:color="000000" w:sz="8" w:space="0"/>
              <w:bottom w:val="single" w:color="FFFFFF" w:sz="4" w:space="0"/>
              <w:right w:val="single" w:color="FFFFFF" w:sz="4" w:space="0"/>
              <w:tl2br w:val="nil"/>
              <w:tr2bl w:val="nil"/>
            </w:tcBorders>
            <w:shd w:val="clear" w:color="auto" w:fill="FFFFFF"/>
            <w:noWrap w:val="0"/>
            <w:vAlign w:val="center"/>
          </w:tcPr>
          <w:p w14:paraId="4EFD2A18">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17B9A064">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7FE7AAA">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373DA332">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057E50BE">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511B627E">
            <w:pPr>
              <w:rPr>
                <w:rFonts w:hint="default"/>
                <w:sz w:val="24"/>
                <w:szCs w:val="24"/>
              </w:rPr>
            </w:pPr>
          </w:p>
        </w:tc>
        <w:tc>
          <w:tcPr>
            <w:tcW w:w="1079" w:type="dxa"/>
            <w:tcBorders>
              <w:top w:val="single" w:color="FFFFFF" w:sz="4" w:space="0"/>
              <w:left w:val="single" w:color="FFFFFF" w:sz="4" w:space="0"/>
              <w:bottom w:val="single" w:color="FFFFFF" w:sz="4" w:space="0"/>
              <w:right w:val="single" w:color="FFFFFF" w:sz="4" w:space="0"/>
              <w:tl2br w:val="nil"/>
              <w:tr2bl w:val="nil"/>
            </w:tcBorders>
            <w:shd w:val="clear" w:color="auto" w:fill="FFFFFF"/>
            <w:noWrap w:val="0"/>
            <w:vAlign w:val="center"/>
          </w:tcPr>
          <w:p w14:paraId="2E0655BB">
            <w:pPr>
              <w:rPr>
                <w:rFonts w:hint="default"/>
                <w:sz w:val="24"/>
                <w:szCs w:val="24"/>
              </w:rPr>
            </w:pPr>
          </w:p>
        </w:tc>
        <w:tc>
          <w:tcPr>
            <w:tcW w:w="1079" w:type="dxa"/>
            <w:tcBorders>
              <w:top w:val="single" w:color="FFFFFF" w:sz="4" w:space="0"/>
              <w:left w:val="single" w:color="FFFFFF" w:sz="4" w:space="0"/>
              <w:bottom w:val="single" w:color="FFFFFF" w:sz="4" w:space="0"/>
              <w:right w:val="single" w:color="000000" w:sz="8" w:space="0"/>
              <w:tl2br w:val="nil"/>
              <w:tr2bl w:val="nil"/>
            </w:tcBorders>
            <w:shd w:val="clear" w:color="auto" w:fill="FFFFFF"/>
            <w:noWrap w:val="0"/>
            <w:vAlign w:val="center"/>
          </w:tcPr>
          <w:p w14:paraId="0A77C1AA">
            <w:pPr>
              <w:rPr>
                <w:rFonts w:hint="default"/>
                <w:sz w:val="24"/>
                <w:szCs w:val="24"/>
              </w:rPr>
            </w:pPr>
          </w:p>
        </w:tc>
      </w:tr>
      <w:tr w14:paraId="6E6528ED">
        <w:trPr>
          <w:trHeight w:val="280" w:hRule="exact"/>
        </w:trPr>
        <w:tc>
          <w:tcPr>
            <w:tcW w:w="1079" w:type="dxa"/>
            <w:tcBorders>
              <w:top w:val="single" w:color="FFFFFF" w:sz="4" w:space="0"/>
              <w:left w:val="single" w:color="000000" w:sz="8" w:space="0"/>
              <w:bottom w:val="single" w:color="000000" w:sz="8" w:space="0"/>
              <w:right w:val="single" w:color="FFFFFF" w:sz="4" w:space="0"/>
              <w:tl2br w:val="nil"/>
              <w:tr2bl w:val="nil"/>
            </w:tcBorders>
            <w:shd w:val="clear" w:color="auto" w:fill="FFFFFF"/>
            <w:noWrap w:val="0"/>
            <w:vAlign w:val="center"/>
          </w:tcPr>
          <w:p w14:paraId="0444C4A0">
            <w:pPr>
              <w:rPr>
                <w:rFonts w:hint="default"/>
                <w:sz w:val="24"/>
                <w:szCs w:val="24"/>
              </w:rPr>
            </w:pPr>
          </w:p>
        </w:tc>
        <w:tc>
          <w:tcPr>
            <w:tcW w:w="1079"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3D7EB5FE">
            <w:pPr>
              <w:rPr>
                <w:rFonts w:hint="default"/>
                <w:sz w:val="24"/>
                <w:szCs w:val="24"/>
              </w:rPr>
            </w:pPr>
          </w:p>
        </w:tc>
        <w:tc>
          <w:tcPr>
            <w:tcW w:w="1079"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C3B361F">
            <w:pPr>
              <w:rPr>
                <w:rFonts w:hint="default"/>
                <w:sz w:val="24"/>
                <w:szCs w:val="24"/>
              </w:rPr>
            </w:pPr>
          </w:p>
        </w:tc>
        <w:tc>
          <w:tcPr>
            <w:tcW w:w="1079"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3670F289">
            <w:pPr>
              <w:rPr>
                <w:rFonts w:hint="default"/>
                <w:sz w:val="24"/>
                <w:szCs w:val="24"/>
              </w:rPr>
            </w:pPr>
          </w:p>
        </w:tc>
        <w:tc>
          <w:tcPr>
            <w:tcW w:w="1079"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5F946FFC">
            <w:pPr>
              <w:rPr>
                <w:rFonts w:hint="default"/>
                <w:sz w:val="24"/>
                <w:szCs w:val="24"/>
              </w:rPr>
            </w:pPr>
          </w:p>
        </w:tc>
        <w:tc>
          <w:tcPr>
            <w:tcW w:w="1079"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0152D9A7">
            <w:pPr>
              <w:spacing w:line="288" w:lineRule="exact"/>
              <w:ind w:left="20"/>
              <w:rPr>
                <w:rFonts w:hint="eastAsia" w:ascii="宋体" w:hAnsi="宋体"/>
                <w:sz w:val="24"/>
                <w:szCs w:val="24"/>
              </w:rPr>
            </w:pPr>
            <w:r>
              <w:rPr>
                <w:rFonts w:hint="eastAsia" w:ascii="宋体" w:hAnsi="宋体"/>
                <w:sz w:val="24"/>
                <w:szCs w:val="24"/>
              </w:rPr>
              <w:t>年</w:t>
            </w:r>
          </w:p>
        </w:tc>
        <w:tc>
          <w:tcPr>
            <w:tcW w:w="1079" w:type="dxa"/>
            <w:tcBorders>
              <w:top w:val="single" w:color="FFFFFF" w:sz="4" w:space="0"/>
              <w:left w:val="single" w:color="FFFFFF" w:sz="4" w:space="0"/>
              <w:bottom w:val="single" w:color="000000" w:sz="8" w:space="0"/>
              <w:right w:val="single" w:color="FFFFFF" w:sz="4" w:space="0"/>
              <w:tl2br w:val="nil"/>
              <w:tr2bl w:val="nil"/>
            </w:tcBorders>
            <w:shd w:val="clear" w:color="auto" w:fill="FFFFFF"/>
            <w:noWrap w:val="0"/>
            <w:vAlign w:val="center"/>
          </w:tcPr>
          <w:p w14:paraId="799E48A1">
            <w:pPr>
              <w:spacing w:line="288" w:lineRule="exact"/>
              <w:ind w:left="20"/>
              <w:rPr>
                <w:rFonts w:hint="eastAsia" w:ascii="宋体" w:hAnsi="宋体"/>
                <w:sz w:val="24"/>
                <w:szCs w:val="24"/>
              </w:rPr>
            </w:pPr>
            <w:r>
              <w:rPr>
                <w:rFonts w:hint="eastAsia" w:ascii="宋体" w:hAnsi="宋体"/>
                <w:sz w:val="24"/>
                <w:szCs w:val="24"/>
              </w:rPr>
              <w:t>月</w:t>
            </w:r>
          </w:p>
        </w:tc>
        <w:tc>
          <w:tcPr>
            <w:tcW w:w="1079" w:type="dxa"/>
            <w:tcBorders>
              <w:top w:val="single" w:color="FFFFFF" w:sz="4" w:space="0"/>
              <w:left w:val="single" w:color="FFFFFF" w:sz="4" w:space="0"/>
              <w:bottom w:val="single" w:color="000000" w:sz="8" w:space="0"/>
              <w:right w:val="single" w:color="000000" w:sz="8" w:space="0"/>
              <w:tl2br w:val="nil"/>
              <w:tr2bl w:val="nil"/>
            </w:tcBorders>
            <w:shd w:val="clear" w:color="auto" w:fill="FFFFFF"/>
            <w:noWrap w:val="0"/>
            <w:vAlign w:val="center"/>
          </w:tcPr>
          <w:p w14:paraId="21301906">
            <w:pPr>
              <w:spacing w:line="288" w:lineRule="exact"/>
              <w:ind w:left="20"/>
              <w:rPr>
                <w:rFonts w:hint="eastAsia" w:ascii="宋体" w:hAnsi="宋体"/>
                <w:sz w:val="24"/>
                <w:szCs w:val="24"/>
              </w:rPr>
            </w:pPr>
            <w:r>
              <w:rPr>
                <w:rFonts w:hint="eastAsia" w:ascii="宋体" w:hAnsi="宋体"/>
                <w:sz w:val="24"/>
                <w:szCs w:val="24"/>
              </w:rPr>
              <w:t>日</w:t>
            </w:r>
          </w:p>
        </w:tc>
      </w:tr>
    </w:tbl>
    <w:p w14:paraId="2B89263E">
      <w:pPr>
        <w:rPr>
          <w:rFonts w:hint="default"/>
          <w:sz w:val="24"/>
          <w:szCs w:val="24"/>
        </w:rPr>
      </w:pPr>
    </w:p>
    <w:p w14:paraId="6FF9D81A">
      <w:pPr>
        <w:rPr>
          <w:rFonts w:hint="eastAsia" w:eastAsiaTheme="minorEastAsia"/>
          <w:lang w:eastAsia="zh-CN"/>
        </w:rPr>
      </w:pPr>
    </w:p>
    <w:sectPr>
      <w:pgSz w:w="11905" w:h="16837"/>
      <w:pgMar w:top="388" w:right="1080" w:bottom="388" w:left="1080" w:header="720" w:footer="720" w:gutter="0"/>
      <w:lnNumType w:countBy="0" w:distance="36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NotoSerifCJKjp">
    <w:altName w:val="苹方-简"/>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Wingdings">
    <w:panose1 w:val="05000000000000000000"/>
    <w:charset w:val="00"/>
    <w:family w:val="auto"/>
    <w:pitch w:val="default"/>
    <w:sig w:usb0="00000000" w:usb1="00000000" w:usb2="00000000" w:usb3="00000000" w:csb0="80000000" w:csb1="00000000"/>
  </w:font>
  <w:font w:name="Arial">
    <w:panose1 w:val="020B0704020202020204"/>
    <w:charset w:val="00"/>
    <w:family w:val="auto"/>
    <w:pitch w:val="default"/>
    <w:sig w:usb0="E0002AFF" w:usb1="C0007843" w:usb2="00000009" w:usb3="00000000" w:csb0="400001FF" w:csb1="FFFF0000"/>
  </w:font>
  <w:font w:name="Aria">
    <w:altName w:val="苹方-简"/>
    <w:panose1 w:val="00000000000000000000"/>
    <w:charset w:val="00"/>
    <w:family w:val="auto"/>
    <w:pitch w:val="default"/>
    <w:sig w:usb0="00000000" w:usb1="00000000" w:usb2="00000000" w:usb3="00000000" w:csb0="00000000" w:csb1="00000000"/>
  </w:font>
  <w:font w:name="Ari">
    <w:altName w:val="苹方-简"/>
    <w:panose1 w:val="00000000000000000000"/>
    <w:charset w:val="00"/>
    <w:family w:val="auto"/>
    <w:pitch w:val="default"/>
    <w:sig w:usb0="00000000" w:usb1="00000000" w:usb2="00000000" w:usb3="00000000" w:csb0="00000000" w:csb1="00000000"/>
  </w:font>
  <w:font w:name="Ar">
    <w:altName w:val="苹方-简"/>
    <w:panose1 w:val="00000000000000000000"/>
    <w:charset w:val="00"/>
    <w:family w:val="auto"/>
    <w:pitch w:val="default"/>
    <w:sig w:usb0="00000000" w:usb1="00000000" w:usb2="00000000" w:usb3="00000000" w:csb0="00000000" w:csb1="00000000"/>
  </w:font>
  <w:font w:name="A">
    <w:altName w:val="苹方-简"/>
    <w:panose1 w:val="00000000000000000000"/>
    <w:charset w:val="00"/>
    <w:family w:val="auto"/>
    <w:pitch w:val="default"/>
    <w:sig w:usb0="00000000" w:usb1="00000000" w:usb2="00000000" w:usb3="00000000" w:csb0="00000000" w:csb1="00000000"/>
  </w:font>
  <w:font w:name="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Ti">
    <w:altName w:val="苹方-简"/>
    <w:panose1 w:val="00000000000000000000"/>
    <w:charset w:val="00"/>
    <w:family w:val="auto"/>
    <w:pitch w:val="default"/>
    <w:sig w:usb0="00000000" w:usb1="00000000" w:usb2="00000000" w:usb3="00000000" w:csb0="00000000" w:csb1="00000000"/>
  </w:font>
  <w:font w:name="Tim">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F74972"/>
    <w:multiLevelType w:val="singleLevel"/>
    <w:tmpl w:val="D1F74972"/>
    <w:lvl w:ilvl="0" w:tentative="0">
      <w:start w:val="3"/>
      <w:numFmt w:val="decimal"/>
      <w:suff w:val="space"/>
      <w:lvlText w:val="%1."/>
      <w:lvlJc w:val="left"/>
    </w:lvl>
  </w:abstractNum>
  <w:abstractNum w:abstractNumId="1">
    <w:nsid w:val="F6CF14AF"/>
    <w:multiLevelType w:val="singleLevel"/>
    <w:tmpl w:val="F6CF14AF"/>
    <w:lvl w:ilvl="0" w:tentative="0">
      <w:start w:val="2"/>
      <w:numFmt w:val="chineseCounting"/>
      <w:suff w:val="nothing"/>
      <w:lvlText w:val="%1、"/>
      <w:lvlJc w:val="left"/>
      <w:rPr>
        <w:rFonts w:hint="eastAsia"/>
      </w:rPr>
    </w:lvl>
  </w:abstractNum>
  <w:abstractNum w:abstractNumId="2">
    <w:nsid w:val="FEBE55A5"/>
    <w:multiLevelType w:val="singleLevel"/>
    <w:tmpl w:val="FEBE55A5"/>
    <w:lvl w:ilvl="0" w:tentative="0">
      <w:start w:val="1"/>
      <w:numFmt w:val="decimal"/>
      <w:suff w:val="space"/>
      <w:lvlText w:val="%1."/>
      <w:lvlJc w:val="left"/>
    </w:lvl>
  </w:abstractNum>
  <w:abstractNum w:abstractNumId="3">
    <w:nsid w:val="6B72F89D"/>
    <w:multiLevelType w:val="singleLevel"/>
    <w:tmpl w:val="6B72F89D"/>
    <w:lvl w:ilvl="0" w:tentative="0">
      <w:start w:val="1"/>
      <w:numFmt w:val="decimal"/>
      <w:suff w:val="space"/>
      <w:lvlText w:val="[%1]"/>
      <w:lvlJc w:val="left"/>
      <w:pPr>
        <w:tabs>
          <w:tab w:val="left" w:pos="420"/>
        </w:tabs>
        <w:ind w:left="0" w:leftChars="0" w:firstLine="0"/>
      </w:pPr>
      <w:rPr>
        <w:rFonts w:hint="default" w:ascii="Times New Roman" w:hAnsi="Times New Roman" w:cs="Arial"/>
      </w:rPr>
    </w:lvl>
  </w:abstractNum>
  <w:abstractNum w:abstractNumId="4">
    <w:nsid w:val="79FF34EA"/>
    <w:multiLevelType w:val="singleLevel"/>
    <w:tmpl w:val="79FF34EA"/>
    <w:lvl w:ilvl="0" w:tentative="0">
      <w:start w:val="1"/>
      <w:numFmt w:val="decimal"/>
      <w:suff w:val="space"/>
      <w:lvlText w:val="%1."/>
      <w:lvlJc w:val="left"/>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C741698"/>
    <w:rsid w:val="3F5A8660"/>
    <w:rsid w:val="5FFFAE3C"/>
    <w:rsid w:val="6BFC8ECD"/>
    <w:rsid w:val="6BFD7FC0"/>
    <w:rsid w:val="7BE8125C"/>
    <w:rsid w:val="7DB66BD8"/>
    <w:rsid w:val="7DFBBEA4"/>
    <w:rsid w:val="7DFE3FD0"/>
    <w:rsid w:val="7F61D13D"/>
    <w:rsid w:val="7FFFD9A7"/>
    <w:rsid w:val="DD7F323B"/>
    <w:rsid w:val="E6B51589"/>
    <w:rsid w:val="EACCE7BF"/>
    <w:rsid w:val="EC741698"/>
    <w:rsid w:val="F6FE2AD7"/>
    <w:rsid w:val="FDFFDA22"/>
    <w:rsid w:val="FF9FF745"/>
    <w:rsid w:val="FFB6B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uiPriority w:val="99"/>
    <w:pPr>
      <w:widowControl w:val="0"/>
      <w:autoSpaceDE w:val="0"/>
      <w:autoSpaceDN w:val="0"/>
      <w:adjustRightInd w:val="0"/>
      <w:spacing w:line="360" w:lineRule="auto"/>
      <w:ind w:firstLine="480" w:firstLineChars="200"/>
    </w:pPr>
    <w:rPr>
      <w:rFonts w:hint="default" w:ascii="Arial" w:hAnsi="Arial" w:eastAsia="宋体" w:cs="Times New Roman"/>
      <w:color w:val="000000"/>
      <w:sz w:val="24"/>
      <w:szCs w:val="24"/>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125</TotalTime>
  <ScaleCrop>false</ScaleCrop>
  <LinksUpToDate>false</LinksUpToDate>
  <CharactersWithSpaces>0</CharactersWithSpaces>
  <Application>WPS Office_12.1.22526.22526_F1E327BC-269C-435d-A152-05C5408002CA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2025-12-24T00:08:00Z</dcterms:created>
  <dc:creator>Wenke Liu</dc:creator>
  <cp:lastModifiedBy>Wenke Liu</cp:lastModifiedBy>
  <dcterms:modified xsi:type="dcterms:W3CDTF">2025-12-24T18:11:45Z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2052-12.1.22526.22526</vt:lpwstr>
  </property>
  <property fmtid="{D5CDD505-2E9C-101B-9397-08002B2CF9AE}" pid="3" name="ICV">
    <vt:lpwstr>51A76BDAD8642CEBFF4D4A69A7956D4A_41</vt:lpwstr>
  </property>
</Properties>
</file>