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8EBDF" w14:textId="15C26ADB" w:rsidR="00D102AD" w:rsidRPr="005E3A20" w:rsidRDefault="00D102AD" w:rsidP="00F41ACB">
      <w:pPr>
        <w:jc w:val="both"/>
        <w:rPr>
          <w:b/>
          <w:sz w:val="24"/>
        </w:rPr>
      </w:pPr>
      <w:r w:rsidRPr="005E3A20">
        <w:rPr>
          <w:b/>
          <w:sz w:val="24"/>
        </w:rPr>
        <w:t>Methods</w:t>
      </w:r>
    </w:p>
    <w:p w14:paraId="46EAC3D9" w14:textId="57E6DD69" w:rsidR="0079284E" w:rsidRPr="00407A74" w:rsidRDefault="004C1E12" w:rsidP="00F41ACB">
      <w:pPr>
        <w:jc w:val="both"/>
        <w:rPr>
          <w:b/>
        </w:rPr>
      </w:pPr>
      <w:r w:rsidRPr="00407A74">
        <w:rPr>
          <w:b/>
        </w:rPr>
        <w:t>Dynamic simulation of the clonal expansion of deletions within mtDNA populations</w:t>
      </w:r>
    </w:p>
    <w:p w14:paraId="1DC0F088" w14:textId="1ECFD259" w:rsidR="005E3A20" w:rsidRPr="005E3A20" w:rsidRDefault="005E3A20" w:rsidP="00F41ACB">
      <w:pPr>
        <w:jc w:val="both"/>
        <w:rPr>
          <w:i/>
        </w:rPr>
      </w:pPr>
      <w:r w:rsidRPr="005E3A20">
        <w:rPr>
          <w:i/>
        </w:rPr>
        <w:t>Between-division model</w:t>
      </w:r>
    </w:p>
    <w:p w14:paraId="1FE43ED7" w14:textId="22CB3846" w:rsidR="00407A74" w:rsidRDefault="004C1E12" w:rsidP="00F41ACB">
      <w:pPr>
        <w:jc w:val="both"/>
      </w:pPr>
      <w:r>
        <w:t>We developed an exact</w:t>
      </w:r>
      <w:r w:rsidR="00F52659">
        <w:t xml:space="preserve">, discrete </w:t>
      </w:r>
      <w:r>
        <w:t xml:space="preserve">stochastic model of the expansion of </w:t>
      </w:r>
      <w:r w:rsidR="00DA7C41">
        <w:t xml:space="preserve">mtDNA mutations during </w:t>
      </w:r>
      <w:r w:rsidR="00E40115">
        <w:t xml:space="preserve">mtDNA </w:t>
      </w:r>
      <w:r w:rsidR="00DA7C41">
        <w:t>replication</w:t>
      </w:r>
      <w:r>
        <w:t xml:space="preserve"> </w:t>
      </w:r>
      <w:r w:rsidR="00407A74">
        <w:t>between</w:t>
      </w:r>
      <w:r>
        <w:t xml:space="preserve"> cell</w:t>
      </w:r>
      <w:r w:rsidR="00407A74">
        <w:t xml:space="preserve"> divisions</w:t>
      </w:r>
      <w:r w:rsidR="00DA7C41">
        <w:t xml:space="preserve">.  </w:t>
      </w:r>
      <w:r w:rsidR="00407A74">
        <w:t>The model is general enough to simulate the dynamics of random genetic drift (</w:t>
      </w:r>
      <w:hyperlink r:id="rId4" w:history="1">
        <w:r w:rsidR="00407A74" w:rsidRPr="00E920FD">
          <w:rPr>
            <w:rStyle w:val="Hyperlink"/>
          </w:rPr>
          <w:t>Elson et al.</w:t>
        </w:r>
        <w:r w:rsidR="00E920FD" w:rsidRPr="00E920FD">
          <w:rPr>
            <w:rStyle w:val="Hyperlink"/>
          </w:rPr>
          <w:t xml:space="preserve"> (2001)</w:t>
        </w:r>
      </w:hyperlink>
      <w:r w:rsidR="00407A74">
        <w:t xml:space="preserve">) </w:t>
      </w:r>
      <w:r w:rsidR="00EF5BCD">
        <w:t>or</w:t>
      </w:r>
      <w:r w:rsidR="00407A74">
        <w:t xml:space="preserve"> the effects of a putative replicative advantage for smaller mtDNA molecules (</w:t>
      </w:r>
      <w:hyperlink r:id="rId5" w:history="1">
        <w:r w:rsidR="00E920FD" w:rsidRPr="00E920FD">
          <w:rPr>
            <w:rStyle w:val="Hyperlink"/>
          </w:rPr>
          <w:t>Wallace (1992)</w:t>
        </w:r>
      </w:hyperlink>
      <w:r w:rsidR="00407A74">
        <w:t>).</w:t>
      </w:r>
    </w:p>
    <w:p w14:paraId="08F42697" w14:textId="7F1D056E" w:rsidR="00C65DCE" w:rsidRDefault="00407A74" w:rsidP="00F41ACB">
      <w:pPr>
        <w:jc w:val="both"/>
      </w:pPr>
      <w:r>
        <w:t xml:space="preserve">The model describes a population </w:t>
      </w:r>
      <w:r w:rsidR="00EF5BCD">
        <w:t>of</w:t>
      </w:r>
      <w:r>
        <w:t xml:space="preserve"> </w:t>
      </w:r>
      <w:r w:rsidRPr="00D102AD">
        <w:rPr>
          <w:i/>
        </w:rPr>
        <w:t>W</w:t>
      </w:r>
      <w:r>
        <w:t xml:space="preserve"> wild-type mtDNA molecules and </w:t>
      </w:r>
      <w:r w:rsidRPr="00D102AD">
        <w:rPr>
          <w:i/>
        </w:rPr>
        <w:t>M</w:t>
      </w:r>
      <w:r>
        <w:t xml:space="preserve"> mtDNA mutations</w:t>
      </w:r>
      <w:r w:rsidR="00D102AD">
        <w:t xml:space="preserve"> </w:t>
      </w:r>
      <w:r w:rsidR="00EF5BCD">
        <w:t xml:space="preserve">within </w:t>
      </w:r>
      <w:r w:rsidR="00D102AD">
        <w:t xml:space="preserve">a single cell.  </w:t>
      </w:r>
      <w:r w:rsidR="007A27AD">
        <w:t xml:space="preserve">The proportion of wild-type mtDNA is defined as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 W</m:t>
            </m:r>
          </m:num>
          <m:den>
            <m:r>
              <w:rPr>
                <w:rFonts w:ascii="Cambria Math" w:hAnsi="Cambria Math"/>
              </w:rPr>
              <m:t>W+M</m:t>
            </m:r>
          </m:den>
        </m:f>
      </m:oMath>
      <w:r w:rsidR="007A27AD">
        <w:t xml:space="preserve"> and the proportion of mutant mtDNA (or the mutation load) is defined as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 M</m:t>
            </m:r>
          </m:num>
          <m:den>
            <m:r>
              <w:rPr>
                <w:rFonts w:ascii="Cambria Math" w:hAnsi="Cambria Math"/>
              </w:rPr>
              <m:t>W+M</m:t>
            </m:r>
          </m:den>
        </m:f>
      </m:oMath>
      <w:r w:rsidR="007A27AD">
        <w:t xml:space="preserve">.  </w:t>
      </w:r>
      <w:r w:rsidR="00D102AD">
        <w:t xml:space="preserve">The initial state of the population is </w:t>
      </w:r>
      <w:r w:rsidR="00D102AD" w:rsidRPr="007B5818">
        <w:rPr>
          <w:i/>
        </w:rPr>
        <w:t>W</w:t>
      </w:r>
      <w:r w:rsidR="00D102AD" w:rsidRPr="00EF5BCD">
        <w:rPr>
          <w:i/>
          <w:vertAlign w:val="subscript"/>
        </w:rPr>
        <w:t>0</w:t>
      </w:r>
      <w:r w:rsidR="00D102AD">
        <w:t xml:space="preserve">, </w:t>
      </w:r>
      <w:r w:rsidR="00D102AD" w:rsidRPr="007B5818">
        <w:rPr>
          <w:i/>
        </w:rPr>
        <w:t>M</w:t>
      </w:r>
      <w:r w:rsidR="00D102AD" w:rsidRPr="00EF5BCD">
        <w:rPr>
          <w:i/>
          <w:vertAlign w:val="subscript"/>
        </w:rPr>
        <w:t>0</w:t>
      </w:r>
      <w:r w:rsidR="007B5818">
        <w:t xml:space="preserve"> and the population evolves between time </w:t>
      </w:r>
      <w:r w:rsidR="007B5818" w:rsidRPr="007B5818">
        <w:rPr>
          <w:i/>
        </w:rPr>
        <w:t>t = 0</w:t>
      </w:r>
      <w:r w:rsidR="007B5818">
        <w:t xml:space="preserve"> and </w:t>
      </w:r>
      <w:r w:rsidR="00EF5BCD">
        <w:t xml:space="preserve">a </w:t>
      </w:r>
      <w:r w:rsidR="007B5818">
        <w:t xml:space="preserve">specified stopping time, </w:t>
      </w:r>
      <w:r w:rsidR="007B5818" w:rsidRPr="007B5818">
        <w:rPr>
          <w:i/>
        </w:rPr>
        <w:t xml:space="preserve">t = </w:t>
      </w:r>
      <w:proofErr w:type="spellStart"/>
      <w:r w:rsidR="007B5818" w:rsidRPr="007B5818">
        <w:rPr>
          <w:i/>
        </w:rPr>
        <w:t>t</w:t>
      </w:r>
      <w:r w:rsidR="007B5818" w:rsidRPr="007B5818">
        <w:rPr>
          <w:i/>
          <w:vertAlign w:val="subscript"/>
        </w:rPr>
        <w:t>stop</w:t>
      </w:r>
      <w:proofErr w:type="spellEnd"/>
      <w:r w:rsidR="007A27AD">
        <w:t xml:space="preserve">, </w:t>
      </w:r>
      <w:r w:rsidR="007A27AD" w:rsidRPr="008E04DC">
        <w:t xml:space="preserve">or until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m:t>
        </m:r>
      </m:oMath>
      <w:r w:rsidR="007A27AD" w:rsidRPr="008E04DC">
        <w:rPr>
          <w:rFonts w:eastAsiaTheme="minorEastAsia"/>
        </w:rPr>
        <w:t xml:space="preserve">, where </w:t>
      </w:r>
      <w:r w:rsidR="007A27AD" w:rsidRPr="008E04DC">
        <w:rPr>
          <w:rFonts w:eastAsiaTheme="minorEastAsia"/>
          <w:i/>
        </w:rPr>
        <w:t xml:space="preserve">L </w:t>
      </w:r>
      <w:r w:rsidR="007A27AD" w:rsidRPr="008E04DC">
        <w:rPr>
          <w:rFonts w:eastAsiaTheme="minorEastAsia"/>
        </w:rPr>
        <w:t>is the lethal mutation load</w:t>
      </w:r>
      <w:r w:rsidR="007A27AD">
        <w:rPr>
          <w:rFonts w:eastAsiaTheme="minorEastAsia"/>
        </w:rPr>
        <w:t xml:space="preserve">.  The system evolves </w:t>
      </w:r>
      <w:r w:rsidR="007B5818">
        <w:t xml:space="preserve">according to the following </w:t>
      </w:r>
      <w:r w:rsidR="00C65DCE">
        <w:t xml:space="preserve">network of </w:t>
      </w:r>
      <w:r w:rsidR="007B5818">
        <w:t>reactions</w:t>
      </w:r>
      <w:r w:rsidR="00DA7C41">
        <w:t xml:space="preserve"> and </w:t>
      </w:r>
      <w:r w:rsidR="007A27AD">
        <w:t>we</w:t>
      </w:r>
      <w:r w:rsidR="00DA7C41">
        <w:t xml:space="preserve"> simulate</w:t>
      </w:r>
      <w:r w:rsidR="007A27AD">
        <w:t xml:space="preserve"> it</w:t>
      </w:r>
      <w:r w:rsidR="00DA7C41">
        <w:t xml:space="preserve"> </w:t>
      </w:r>
      <w:r w:rsidR="007A27AD">
        <w:t>using</w:t>
      </w:r>
      <w:r w:rsidR="00DA7C41">
        <w:t xml:space="preserve"> the Gillespie algorithm (</w:t>
      </w:r>
      <w:hyperlink r:id="rId6" w:history="1">
        <w:r w:rsidR="00DA7C41" w:rsidRPr="00E920FD">
          <w:rPr>
            <w:rStyle w:val="Hyperlink"/>
          </w:rPr>
          <w:t xml:space="preserve">Gillespie </w:t>
        </w:r>
        <w:r w:rsidR="00E920FD" w:rsidRPr="00E920FD">
          <w:rPr>
            <w:rStyle w:val="Hyperlink"/>
          </w:rPr>
          <w:t>(</w:t>
        </w:r>
        <w:r w:rsidR="00DA7C41" w:rsidRPr="00E920FD">
          <w:rPr>
            <w:rStyle w:val="Hyperlink"/>
          </w:rPr>
          <w:t>1976</w:t>
        </w:r>
        <w:r w:rsidR="00E920FD" w:rsidRPr="00E920FD">
          <w:rPr>
            <w:rStyle w:val="Hyperlink"/>
          </w:rPr>
          <w:t>)</w:t>
        </w:r>
      </w:hyperlink>
      <w:r w:rsidR="00DA7C41">
        <w:t>)</w:t>
      </w:r>
      <w:r w:rsidR="00C65DCE">
        <w:t>:</w:t>
      </w:r>
    </w:p>
    <w:p w14:paraId="30F680D6" w14:textId="5AAA6FE2" w:rsidR="006637E0" w:rsidRDefault="00D06E1B" w:rsidP="00F41ACB">
      <w:pPr>
        <w:rPr>
          <w:rFonts w:eastAsiaTheme="minorEastAsia"/>
        </w:rPr>
      </w:pPr>
      <m:oMath>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e>
                    </m:d>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T+r</m:t>
                    </m:r>
                  </m:e>
                  <m:sub>
                    <m:r>
                      <w:rPr>
                        <w:rFonts w:ascii="Cambria Math" w:hAnsi="Cambria Math"/>
                      </w:rPr>
                      <m:t>w</m:t>
                    </m:r>
                  </m:sub>
                </m:sSub>
                <m:r>
                  <w:rPr>
                    <w:rFonts w:ascii="Cambria Math" w:hAnsi="Cambria Math"/>
                  </w:rPr>
                  <m:t>W</m:t>
                </m:r>
                <m:d>
                  <m:dPr>
                    <m:ctrlPr>
                      <w:rPr>
                        <w:rFonts w:ascii="Cambria Math" w:hAnsi="Cambria Math"/>
                        <w:i/>
                      </w:rPr>
                    </m:ctrlPr>
                  </m:dPr>
                  <m:e>
                    <m:r>
                      <w:rPr>
                        <w:rFonts w:ascii="Cambria Math" w:hAnsi="Cambria Math"/>
                      </w:rPr>
                      <m:t>1-m</m:t>
                    </m:r>
                  </m:e>
                </m:d>
              </m:e>
            </m:groupChr>
          </m:e>
        </m:box>
        <m:r>
          <w:rPr>
            <w:rFonts w:ascii="Cambria Math" w:hAnsi="Cambria Math"/>
          </w:rPr>
          <m:t>2W</m:t>
        </m:r>
      </m:oMath>
      <w:r>
        <w:rPr>
          <w:rFonts w:eastAsiaTheme="minorEastAsia"/>
        </w:rPr>
        <w:tab/>
        <w:t>Replication of wild-type mtDNA</w:t>
      </w:r>
      <w:r w:rsidR="006637E0">
        <w:rPr>
          <w:rFonts w:eastAsiaTheme="minorEastAsia"/>
        </w:rPr>
        <w:t xml:space="preserve"> molecule</w:t>
      </w:r>
      <w:r>
        <w:rPr>
          <w:rFonts w:eastAsiaTheme="minorEastAsia"/>
        </w:rPr>
        <w:t xml:space="preserve"> without mutation</w:t>
      </w:r>
      <m:oMath>
        <m:r>
          <m:rPr>
            <m:sty m:val="p"/>
          </m:rPr>
          <w:rPr>
            <w:rFonts w:ascii="Cambria Math" w:hAnsi="Cambria Math"/>
          </w:rPr>
          <w:br/>
        </m:r>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e>
                </m:d>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Wm</m:t>
                </m:r>
              </m:e>
            </m:groupChr>
          </m:e>
        </m:box>
        <m:r>
          <w:rPr>
            <w:rFonts w:ascii="Cambria Math" w:hAnsi="Cambria Math"/>
          </w:rPr>
          <m:t>W+M</m:t>
        </m:r>
      </m:oMath>
      <w:r>
        <w:rPr>
          <w:rFonts w:eastAsiaTheme="minorEastAsia"/>
        </w:rPr>
        <w:tab/>
        <w:t xml:space="preserve">Replication of wild-type mtDNA </w:t>
      </w:r>
      <w:r w:rsidR="006637E0">
        <w:rPr>
          <w:rFonts w:eastAsiaTheme="minorEastAsia"/>
        </w:rPr>
        <w:t xml:space="preserve">molecule </w:t>
      </w:r>
      <w:r>
        <w:rPr>
          <w:rFonts w:eastAsiaTheme="minorEastAsia"/>
        </w:rPr>
        <w:t>with</w:t>
      </w:r>
      <w:r w:rsidR="006637E0">
        <w:rPr>
          <w:rFonts w:eastAsiaTheme="minorEastAsia"/>
        </w:rPr>
        <w:t xml:space="preserve"> mutation</w:t>
      </w:r>
      <m:oMath>
        <m:r>
          <m:rPr>
            <m:sty m:val="p"/>
          </m:rPr>
          <w:rPr>
            <w:rFonts w:ascii="Cambria Math" w:hAnsi="Cambria Math"/>
          </w:rPr>
          <w:br/>
        </m:r>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T r</m:t>
                    </m:r>
                  </m:e>
                  <m:sub>
                    <m:r>
                      <w:rPr>
                        <w:rFonts w:ascii="Cambria Math" w:hAnsi="Cambria Math"/>
                      </w:rPr>
                      <m:t>m</m:t>
                    </m:r>
                  </m:sub>
                </m:sSub>
                <m:r>
                  <w:rPr>
                    <w:rFonts w:ascii="Cambria Math" w:hAnsi="Cambria Math"/>
                  </w:rPr>
                  <m:t>M</m:t>
                </m:r>
              </m:e>
            </m:groupChr>
          </m:e>
        </m:box>
        <m:r>
          <w:rPr>
            <w:rFonts w:ascii="Cambria Math" w:hAnsi="Cambria Math"/>
          </w:rPr>
          <m:t>2M</m:t>
        </m:r>
      </m:oMath>
      <w:r w:rsidR="006637E0">
        <w:rPr>
          <w:rFonts w:eastAsiaTheme="minorEastAsia"/>
        </w:rPr>
        <w:tab/>
      </w:r>
      <w:r w:rsidR="006637E0">
        <w:rPr>
          <w:rFonts w:eastAsiaTheme="minorEastAsia"/>
        </w:rPr>
        <w:tab/>
        <w:t>Replication of mutant mtDNA molecule</w:t>
      </w:r>
      <m:oMath>
        <m:r>
          <m:rPr>
            <m:sty m:val="p"/>
          </m:rPr>
          <w:rPr>
            <w:rFonts w:eastAsiaTheme="minorEastAsia"/>
          </w:rPr>
          <w:br/>
        </m:r>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w</m:t>
                    </m:r>
                  </m:sub>
                </m:sSub>
              </m:e>
            </m:groupChr>
          </m:e>
        </m:box>
        <m:r>
          <w:rPr>
            <w:rFonts w:ascii="Cambria Math" w:hAnsi="Cambria Math"/>
          </w:rPr>
          <m:t>∅</m:t>
        </m:r>
      </m:oMath>
      <w:r w:rsidR="006637E0">
        <w:rPr>
          <w:rFonts w:eastAsiaTheme="minorEastAsia"/>
        </w:rPr>
        <w:tab/>
      </w:r>
      <w:r w:rsidR="006637E0">
        <w:rPr>
          <w:rFonts w:eastAsiaTheme="minorEastAsia"/>
        </w:rPr>
        <w:tab/>
      </w:r>
      <w:r w:rsidR="006637E0">
        <w:rPr>
          <w:rFonts w:eastAsiaTheme="minorEastAsia"/>
        </w:rPr>
        <w:tab/>
      </w:r>
      <w:r w:rsidR="0029296B">
        <w:rPr>
          <w:rFonts w:eastAsiaTheme="minorEastAsia"/>
        </w:rPr>
        <w:tab/>
      </w:r>
      <w:r w:rsidR="006637E0">
        <w:rPr>
          <w:rFonts w:eastAsiaTheme="minorEastAsia"/>
        </w:rPr>
        <w:t>Degradation of wild-type mtDNA molecule</w:t>
      </w:r>
      <m:oMath>
        <m:r>
          <m:rPr>
            <m:sty m:val="p"/>
          </m:rPr>
          <w:rPr>
            <w:rFonts w:ascii="Cambria Math" w:hAnsi="Cambria Math"/>
          </w:rPr>
          <w:br/>
        </m:r>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m</m:t>
                    </m:r>
                  </m:sub>
                </m:sSub>
              </m:e>
            </m:groupChr>
          </m:e>
        </m:box>
        <m:r>
          <w:rPr>
            <w:rFonts w:ascii="Cambria Math" w:hAnsi="Cambria Math"/>
          </w:rPr>
          <m:t>∅</m:t>
        </m:r>
      </m:oMath>
      <w:r w:rsidR="006637E0">
        <w:rPr>
          <w:rFonts w:eastAsiaTheme="minorEastAsia"/>
        </w:rPr>
        <w:tab/>
      </w:r>
      <w:r w:rsidR="006637E0">
        <w:rPr>
          <w:rFonts w:eastAsiaTheme="minorEastAsia"/>
        </w:rPr>
        <w:tab/>
      </w:r>
      <w:r w:rsidR="006637E0">
        <w:rPr>
          <w:rFonts w:eastAsiaTheme="minorEastAsia"/>
        </w:rPr>
        <w:tab/>
      </w:r>
      <w:r w:rsidR="0029296B">
        <w:rPr>
          <w:rFonts w:eastAsiaTheme="minorEastAsia"/>
        </w:rPr>
        <w:tab/>
      </w:r>
      <w:r w:rsidR="006637E0">
        <w:rPr>
          <w:rFonts w:eastAsiaTheme="minorEastAsia"/>
        </w:rPr>
        <w:t>Degradation of mutant mtDNA molecule</w:t>
      </w:r>
    </w:p>
    <w:p w14:paraId="79BBEF06" w14:textId="57883872" w:rsidR="00AD0EB7" w:rsidRDefault="006637E0" w:rsidP="00F41ACB">
      <w:pPr>
        <w:jc w:val="both"/>
        <w:rPr>
          <w:rFonts w:eastAsiaTheme="minorEastAsia"/>
        </w:rPr>
      </w:pPr>
      <w:proofErr w:type="spellStart"/>
      <w:r w:rsidRPr="006637E0">
        <w:rPr>
          <w:rFonts w:eastAsiaTheme="minorEastAsia"/>
          <w:i/>
        </w:rPr>
        <w:t>r</w:t>
      </w:r>
      <w:r w:rsidRPr="006637E0">
        <w:rPr>
          <w:rFonts w:eastAsiaTheme="minorEastAsia"/>
          <w:i/>
          <w:vertAlign w:val="subscript"/>
        </w:rPr>
        <w:t>w</w:t>
      </w:r>
      <w:proofErr w:type="spellEnd"/>
      <w:r>
        <w:rPr>
          <w:rFonts w:eastAsiaTheme="minorEastAsia"/>
        </w:rPr>
        <w:t xml:space="preserve"> is the rate constant describing replication of wild-type molecules according to first order mass-action kinetics</w:t>
      </w:r>
      <w:r w:rsidR="0029296B">
        <w:rPr>
          <w:rFonts w:eastAsiaTheme="minorEastAsia"/>
        </w:rPr>
        <w:t xml:space="preserve"> and </w:t>
      </w:r>
      <w:proofErr w:type="spellStart"/>
      <w:r w:rsidR="0029296B" w:rsidRPr="0029296B">
        <w:rPr>
          <w:rFonts w:eastAsiaTheme="minorEastAsia"/>
          <w:i/>
        </w:rPr>
        <w:t>d</w:t>
      </w:r>
      <w:r w:rsidR="0029296B" w:rsidRPr="0029296B">
        <w:rPr>
          <w:rFonts w:eastAsiaTheme="minorEastAsia"/>
          <w:i/>
          <w:vertAlign w:val="subscript"/>
        </w:rPr>
        <w:t>w</w:t>
      </w:r>
      <w:proofErr w:type="spellEnd"/>
      <w:r w:rsidR="0029296B">
        <w:rPr>
          <w:rFonts w:eastAsiaTheme="minorEastAsia"/>
        </w:rPr>
        <w:t xml:space="preserve"> is the equivalent degradation rate</w:t>
      </w:r>
      <w:r>
        <w:rPr>
          <w:rFonts w:eastAsiaTheme="minorEastAsia"/>
        </w:rPr>
        <w:t xml:space="preserve">.  </w:t>
      </w:r>
      <w:r w:rsidR="0029296B" w:rsidRPr="0029296B">
        <w:rPr>
          <w:rFonts w:eastAsiaTheme="minorEastAsia"/>
          <w:i/>
        </w:rPr>
        <w:t>T</w:t>
      </w:r>
      <w:r w:rsidR="0029296B">
        <w:rPr>
          <w:rFonts w:eastAsiaTheme="minorEastAsia"/>
        </w:rPr>
        <w:t xml:space="preserve"> is a target, stead-state total mtDNA population size and, in the absence of any other known mechanism, </w:t>
      </w:r>
      <w:r w:rsidR="00B915FF">
        <w:rPr>
          <w:rFonts w:eastAsiaTheme="minorEastAsia"/>
        </w:rPr>
        <w:t xml:space="preserve">copy number homeostasis </w:t>
      </w:r>
      <w:r w:rsidR="0029296B">
        <w:rPr>
          <w:rFonts w:eastAsiaTheme="minorEastAsia"/>
        </w:rPr>
        <w:t xml:space="preserve">is modelled here with a linear controller which increases replication when total mtDNA number is lower than </w:t>
      </w:r>
      <w:r w:rsidR="0029296B" w:rsidRPr="0029296B">
        <w:rPr>
          <w:rFonts w:eastAsiaTheme="minorEastAsia"/>
          <w:i/>
        </w:rPr>
        <w:t>T</w:t>
      </w:r>
      <w:r w:rsidR="0029296B">
        <w:rPr>
          <w:rFonts w:eastAsiaTheme="minorEastAsia"/>
        </w:rPr>
        <w:t xml:space="preserve"> and decreases replication when it is greater than </w:t>
      </w:r>
      <w:r w:rsidR="0029296B" w:rsidRPr="0029296B">
        <w:rPr>
          <w:rFonts w:eastAsiaTheme="minorEastAsia"/>
          <w:i/>
        </w:rPr>
        <w:t>T</w:t>
      </w:r>
      <w:r w:rsidR="0029296B">
        <w:rPr>
          <w:rFonts w:eastAsiaTheme="minorEastAsia"/>
        </w:rPr>
        <w:t xml:space="preserve">.  </w:t>
      </w:r>
      <w:r w:rsidRPr="006637E0">
        <w:rPr>
          <w:rFonts w:eastAsiaTheme="minorEastAsia"/>
          <w:i/>
        </w:rPr>
        <w:t>m</w:t>
      </w:r>
      <w:r>
        <w:rPr>
          <w:rFonts w:eastAsiaTheme="minorEastAsia"/>
        </w:rPr>
        <w:t xml:space="preserve"> is the probability that a replication event gives rise to a mutant mtDNA molecule.  </w:t>
      </w:r>
      <w:r w:rsidRPr="006637E0">
        <w:rPr>
          <w:rFonts w:eastAsiaTheme="minorEastAsia"/>
          <w:i/>
        </w:rPr>
        <w:t>r</w:t>
      </w:r>
      <w:r w:rsidRPr="006637E0">
        <w:rPr>
          <w:rFonts w:eastAsiaTheme="minorEastAsia"/>
          <w:i/>
          <w:vertAlign w:val="subscript"/>
        </w:rPr>
        <w:t>m</w:t>
      </w:r>
      <w:r>
        <w:rPr>
          <w:rFonts w:eastAsiaTheme="minorEastAsia"/>
        </w:rPr>
        <w:t xml:space="preserve"> is the rate constant describing replication of mutant molecules (set equal to </w:t>
      </w:r>
      <w:proofErr w:type="spellStart"/>
      <w:r w:rsidRPr="006637E0">
        <w:rPr>
          <w:rFonts w:eastAsiaTheme="minorEastAsia"/>
          <w:i/>
        </w:rPr>
        <w:t>r</w:t>
      </w:r>
      <w:r w:rsidRPr="006637E0">
        <w:rPr>
          <w:rFonts w:eastAsiaTheme="minorEastAsia"/>
          <w:i/>
          <w:vertAlign w:val="subscript"/>
        </w:rPr>
        <w:t>w</w:t>
      </w:r>
      <w:proofErr w:type="spellEnd"/>
      <w:r>
        <w:rPr>
          <w:rFonts w:eastAsiaTheme="minorEastAsia"/>
        </w:rPr>
        <w:t xml:space="preserve"> to simulate no selective advantage for deletions).</w:t>
      </w:r>
      <w:r w:rsidR="0029296B">
        <w:rPr>
          <w:rFonts w:eastAsiaTheme="minorEastAsia"/>
        </w:rPr>
        <w:t xml:space="preserve">  </w:t>
      </w:r>
    </w:p>
    <w:p w14:paraId="1446B146" w14:textId="7937105F" w:rsidR="00407A74" w:rsidRDefault="0029296B" w:rsidP="00F41ACB">
      <w:pPr>
        <w:jc w:val="both"/>
      </w:pPr>
      <w:r>
        <w:rPr>
          <w:rFonts w:eastAsiaTheme="minorEastAsia"/>
        </w:rPr>
        <w:t>To simulate mtDNA population dynamics in a post-mitotic skeletal muscle</w:t>
      </w:r>
      <w:r w:rsidR="00D92ED4">
        <w:rPr>
          <w:rFonts w:eastAsiaTheme="minorEastAsia"/>
        </w:rPr>
        <w:t xml:space="preserve">, we set the model parameters </w:t>
      </w:r>
      <w:proofErr w:type="spellStart"/>
      <w:r w:rsidR="00AD0EB7" w:rsidRPr="006637E0">
        <w:rPr>
          <w:rFonts w:eastAsiaTheme="minorEastAsia"/>
          <w:i/>
        </w:rPr>
        <w:t>r</w:t>
      </w:r>
      <w:r w:rsidR="00AD0EB7" w:rsidRPr="006637E0">
        <w:rPr>
          <w:rFonts w:eastAsiaTheme="minorEastAsia"/>
          <w:i/>
          <w:vertAlign w:val="subscript"/>
        </w:rPr>
        <w:t>w</w:t>
      </w:r>
      <w:proofErr w:type="spellEnd"/>
      <w:r w:rsidR="00AD0EB7">
        <w:rPr>
          <w:rFonts w:eastAsiaTheme="minorEastAsia"/>
        </w:rPr>
        <w:t xml:space="preserve">, </w:t>
      </w:r>
      <w:proofErr w:type="spellStart"/>
      <w:r w:rsidR="00AD0EB7" w:rsidRPr="0029296B">
        <w:rPr>
          <w:rFonts w:eastAsiaTheme="minorEastAsia"/>
          <w:i/>
        </w:rPr>
        <w:t>d</w:t>
      </w:r>
      <w:r w:rsidR="00AD0EB7" w:rsidRPr="0029296B">
        <w:rPr>
          <w:rFonts w:eastAsiaTheme="minorEastAsia"/>
          <w:i/>
          <w:vertAlign w:val="subscript"/>
        </w:rPr>
        <w:t>w</w:t>
      </w:r>
      <w:proofErr w:type="spellEnd"/>
      <w:r w:rsidR="00AD0EB7">
        <w:rPr>
          <w:rFonts w:eastAsiaTheme="minorEastAsia"/>
          <w:i/>
        </w:rPr>
        <w:t>,</w:t>
      </w:r>
      <w:r w:rsidR="00AD0EB7" w:rsidRPr="00AD0EB7">
        <w:rPr>
          <w:rFonts w:eastAsiaTheme="minorEastAsia"/>
          <w:i/>
        </w:rPr>
        <w:t xml:space="preserve"> </w:t>
      </w:r>
      <w:r w:rsidR="00AD0EB7" w:rsidRPr="006637E0">
        <w:rPr>
          <w:rFonts w:eastAsiaTheme="minorEastAsia"/>
          <w:i/>
        </w:rPr>
        <w:t>r</w:t>
      </w:r>
      <w:r w:rsidR="00AD0EB7">
        <w:rPr>
          <w:rFonts w:eastAsiaTheme="minorEastAsia"/>
          <w:i/>
          <w:vertAlign w:val="subscript"/>
        </w:rPr>
        <w:t>m</w:t>
      </w:r>
      <w:r w:rsidR="00AD0EB7">
        <w:rPr>
          <w:rFonts w:eastAsiaTheme="minorEastAsia"/>
          <w:i/>
        </w:rPr>
        <w:t>,</w:t>
      </w:r>
      <w:r w:rsidR="00AD0EB7">
        <w:rPr>
          <w:rFonts w:eastAsiaTheme="minorEastAsia"/>
        </w:rPr>
        <w:t xml:space="preserve"> </w:t>
      </w:r>
      <w:r w:rsidR="00AD0EB7" w:rsidRPr="00AD0EB7">
        <w:rPr>
          <w:rFonts w:eastAsiaTheme="minorEastAsia"/>
          <w:i/>
        </w:rPr>
        <w:t>d</w:t>
      </w:r>
      <w:r w:rsidR="00AD0EB7" w:rsidRPr="00AD0EB7">
        <w:rPr>
          <w:rFonts w:eastAsiaTheme="minorEastAsia"/>
          <w:i/>
          <w:vertAlign w:val="subscript"/>
        </w:rPr>
        <w:t>m</w:t>
      </w:r>
      <w:r w:rsidR="00FA0D6A">
        <w:rPr>
          <w:rFonts w:eastAsiaTheme="minorEastAsia"/>
          <w:i/>
        </w:rPr>
        <w:t>, m</w:t>
      </w:r>
      <w:r w:rsidR="00D97AAC">
        <w:rPr>
          <w:rFonts w:eastAsiaTheme="minorEastAsia"/>
          <w:i/>
          <w:vertAlign w:val="subscript"/>
        </w:rPr>
        <w:t>,</w:t>
      </w:r>
      <w:r w:rsidR="00AD0EB7">
        <w:rPr>
          <w:rFonts w:eastAsiaTheme="minorEastAsia"/>
        </w:rPr>
        <w:t xml:space="preserve"> </w:t>
      </w:r>
      <w:r w:rsidR="00AD0EB7" w:rsidRPr="00AD0EB7">
        <w:rPr>
          <w:rFonts w:eastAsiaTheme="minorEastAsia"/>
          <w:i/>
        </w:rPr>
        <w:t>T</w:t>
      </w:r>
      <w:r w:rsidR="00D97AAC">
        <w:rPr>
          <w:rFonts w:eastAsiaTheme="minorEastAsia"/>
        </w:rPr>
        <w:t xml:space="preserve"> and </w:t>
      </w:r>
      <w:r w:rsidR="00D97AAC" w:rsidRPr="00D97AAC">
        <w:rPr>
          <w:rFonts w:eastAsiaTheme="minorEastAsia"/>
          <w:i/>
        </w:rPr>
        <w:t>L</w:t>
      </w:r>
      <w:r w:rsidR="00AD0EB7">
        <w:rPr>
          <w:rFonts w:eastAsiaTheme="minorEastAsia"/>
        </w:rPr>
        <w:t xml:space="preserve">, </w:t>
      </w:r>
      <w:r w:rsidR="00D92ED4">
        <w:rPr>
          <w:rFonts w:eastAsiaTheme="minorEastAsia"/>
        </w:rPr>
        <w:t xml:space="preserve">chose appropriate initial conditions </w:t>
      </w:r>
      <w:r w:rsidR="00D92ED4" w:rsidRPr="007B5818">
        <w:rPr>
          <w:i/>
        </w:rPr>
        <w:t>W</w:t>
      </w:r>
      <w:r w:rsidR="00D92ED4" w:rsidRPr="00EF5BCD">
        <w:rPr>
          <w:i/>
          <w:vertAlign w:val="subscript"/>
        </w:rPr>
        <w:t>0</w:t>
      </w:r>
      <w:r w:rsidR="00D92ED4">
        <w:t xml:space="preserve"> &amp; </w:t>
      </w:r>
      <w:r w:rsidR="00D92ED4" w:rsidRPr="007B5818">
        <w:rPr>
          <w:i/>
        </w:rPr>
        <w:t>M</w:t>
      </w:r>
      <w:r w:rsidR="00D92ED4" w:rsidRPr="00EF5BCD">
        <w:rPr>
          <w:i/>
          <w:vertAlign w:val="subscript"/>
        </w:rPr>
        <w:t>0</w:t>
      </w:r>
      <w:r w:rsidR="00D92ED4">
        <w:t xml:space="preserve"> and </w:t>
      </w:r>
      <w:r w:rsidR="00AD0EB7">
        <w:t>simulate</w:t>
      </w:r>
      <w:r w:rsidR="005D630C">
        <w:t>d</w:t>
      </w:r>
      <w:r w:rsidR="00AD0EB7">
        <w:t xml:space="preserve"> each replication, mutation and degradation event from </w:t>
      </w:r>
      <w:r w:rsidR="00AD0EB7" w:rsidRPr="006528FA">
        <w:rPr>
          <w:i/>
        </w:rPr>
        <w:t>t = 0</w:t>
      </w:r>
      <w:r w:rsidR="00AD0EB7">
        <w:t xml:space="preserve"> until </w:t>
      </w:r>
      <w:r w:rsidR="00AD0EB7" w:rsidRPr="00AD0EB7">
        <w:rPr>
          <w:i/>
        </w:rPr>
        <w:t xml:space="preserve">t </w:t>
      </w:r>
      <w:r w:rsidR="00AD0EB7" w:rsidRPr="00AD0EB7">
        <w:rPr>
          <w:rFonts w:cstheme="minorHAnsi"/>
          <w:i/>
        </w:rPr>
        <w:t>≥</w:t>
      </w:r>
      <w:r w:rsidR="00AD0EB7" w:rsidRPr="00AD0EB7">
        <w:rPr>
          <w:i/>
        </w:rPr>
        <w:t xml:space="preserve"> </w:t>
      </w:r>
      <w:proofErr w:type="spellStart"/>
      <w:r w:rsidR="00AD0EB7" w:rsidRPr="00AD0EB7">
        <w:rPr>
          <w:i/>
        </w:rPr>
        <w:t>t</w:t>
      </w:r>
      <w:r w:rsidR="006528FA">
        <w:rPr>
          <w:i/>
          <w:vertAlign w:val="subscript"/>
        </w:rPr>
        <w:t>stop</w:t>
      </w:r>
      <w:proofErr w:type="spellEnd"/>
      <w:r w:rsidR="00AD0EB7">
        <w:t xml:space="preserve"> </w:t>
      </w:r>
      <w:r w:rsidR="005D630C">
        <w:t>(where</w:t>
      </w:r>
      <w:r w:rsidR="00E40115">
        <w:t xml:space="preserve"> </w:t>
      </w:r>
      <w:proofErr w:type="spellStart"/>
      <w:r w:rsidR="005D630C" w:rsidRPr="005D630C">
        <w:rPr>
          <w:i/>
        </w:rPr>
        <w:t>t</w:t>
      </w:r>
      <w:r w:rsidR="006528FA">
        <w:rPr>
          <w:i/>
          <w:vertAlign w:val="subscript"/>
        </w:rPr>
        <w:t>stop</w:t>
      </w:r>
      <w:proofErr w:type="spellEnd"/>
      <w:r w:rsidR="005D630C" w:rsidRPr="005D630C">
        <w:rPr>
          <w:i/>
        </w:rPr>
        <w:t xml:space="preserve"> </w:t>
      </w:r>
      <w:r w:rsidR="00E40115" w:rsidRPr="00E40115">
        <w:t>is chosen to suit the biological system under examination</w:t>
      </w:r>
      <w:r w:rsidR="005D630C">
        <w:t xml:space="preserve">) </w:t>
      </w:r>
      <w:r w:rsidR="00AD0EB7">
        <w:t>using the Gillespie algorithm (</w:t>
      </w:r>
      <w:hyperlink r:id="rId7" w:history="1">
        <w:r w:rsidR="00E920FD" w:rsidRPr="00E920FD">
          <w:rPr>
            <w:rStyle w:val="Hyperlink"/>
          </w:rPr>
          <w:t>Gillespie (1976)</w:t>
        </w:r>
      </w:hyperlink>
      <w:r w:rsidR="00AD0EB7">
        <w:t>).  To capture the range of possible dynamics from this stochastic model we simulate 1,</w:t>
      </w:r>
      <w:r w:rsidR="00B915FF">
        <w:t>2</w:t>
      </w:r>
      <w:r w:rsidR="00AD0EB7">
        <w:t>00 times and examine distributions of e.g. mutation loads before comparing with experimental results.</w:t>
      </w:r>
    </w:p>
    <w:p w14:paraId="21859756" w14:textId="0B37EBB7" w:rsidR="005E3A20" w:rsidRPr="005E3A20" w:rsidRDefault="005E3A20" w:rsidP="00F41ACB">
      <w:pPr>
        <w:jc w:val="both"/>
        <w:rPr>
          <w:i/>
        </w:rPr>
      </w:pPr>
      <w:r w:rsidRPr="005E3A20">
        <w:rPr>
          <w:i/>
        </w:rPr>
        <w:t>Stem cell niche model</w:t>
      </w:r>
    </w:p>
    <w:p w14:paraId="20B49A8D" w14:textId="428E133B" w:rsidR="004C1E12" w:rsidRDefault="004C1E12" w:rsidP="00F41ACB">
      <w:pPr>
        <w:jc w:val="both"/>
      </w:pPr>
      <w:r>
        <w:t>We also developed an exact, individual</w:t>
      </w:r>
      <w:r w:rsidR="00F33EBC">
        <w:t>-</w:t>
      </w:r>
      <w:r>
        <w:t>based stochastic model of the dynamics of the stem cell niche at the base of epithelial crypts</w:t>
      </w:r>
      <w:r w:rsidR="00D102AD">
        <w:t>.</w:t>
      </w:r>
      <w:r w:rsidR="00FA0D6A">
        <w:t xml:space="preserve"> </w:t>
      </w:r>
      <w:r w:rsidR="00D76BAF">
        <w:t xml:space="preserve"> </w:t>
      </w:r>
      <w:r w:rsidR="00FA0D6A" w:rsidRPr="00B445EF">
        <w:t>We define</w:t>
      </w:r>
      <w:r w:rsidR="00D76BAF" w:rsidRPr="00B445EF">
        <w:t xml:space="preserve"> </w:t>
      </w:r>
      <w:r w:rsidR="00D76BAF" w:rsidRPr="00B445EF">
        <w:rPr>
          <w:i/>
        </w:rPr>
        <w:t>N</w:t>
      </w:r>
      <w:r w:rsidR="00FA0D6A" w:rsidRPr="00B445EF">
        <w:t xml:space="preserve">, the number of </w:t>
      </w:r>
      <w:r w:rsidR="00D76BAF" w:rsidRPr="00B445EF">
        <w:t>stem cells in the niche</w:t>
      </w:r>
      <w:r w:rsidR="00FA0D6A">
        <w:t xml:space="preserve"> and </w:t>
      </w:r>
      <w:proofErr w:type="spellStart"/>
      <w:r w:rsidR="00FA0D6A" w:rsidRPr="00FA0D6A">
        <w:rPr>
          <w:i/>
        </w:rPr>
        <w:t>N</w:t>
      </w:r>
      <w:r w:rsidR="00FA0D6A" w:rsidRPr="00FA0D6A">
        <w:rPr>
          <w:i/>
          <w:vertAlign w:val="subscript"/>
        </w:rPr>
        <w:t>targ</w:t>
      </w:r>
      <w:proofErr w:type="spellEnd"/>
      <w:r w:rsidR="00FA0D6A">
        <w:t xml:space="preserve"> the target, steady-state number of stem cells</w:t>
      </w:r>
      <w:r w:rsidR="00B445EF">
        <w:t xml:space="preserve">.  The initial condition: </w:t>
      </w:r>
      <w:r w:rsidR="00B445EF" w:rsidRPr="00B445EF">
        <w:rPr>
          <w:i/>
        </w:rPr>
        <w:t>N</w:t>
      </w:r>
      <w:r w:rsidR="00B445EF" w:rsidRPr="00B445EF">
        <w:rPr>
          <w:i/>
          <w:vertAlign w:val="subscript"/>
        </w:rPr>
        <w:t>0</w:t>
      </w:r>
      <w:r w:rsidR="00B445EF" w:rsidRPr="00B445EF">
        <w:rPr>
          <w:i/>
        </w:rPr>
        <w:t xml:space="preserve"> = </w:t>
      </w:r>
      <w:proofErr w:type="spellStart"/>
      <w:r w:rsidR="00B445EF" w:rsidRPr="00B445EF">
        <w:rPr>
          <w:i/>
        </w:rPr>
        <w:t>N</w:t>
      </w:r>
      <w:r w:rsidR="00B445EF" w:rsidRPr="00B445EF">
        <w:rPr>
          <w:i/>
          <w:vertAlign w:val="subscript"/>
        </w:rPr>
        <w:t>targ</w:t>
      </w:r>
      <w:proofErr w:type="spellEnd"/>
      <w:r w:rsidR="00FA0D6A">
        <w:t xml:space="preserve">.  </w:t>
      </w:r>
      <w:r w:rsidR="00B445EF">
        <w:t>E</w:t>
      </w:r>
      <w:r w:rsidR="00FA0D6A">
        <w:t>ach cell is defined by the time it was born (</w:t>
      </w:r>
      <w:r w:rsidR="00FA0D6A" w:rsidRPr="00FA0D6A">
        <w:rPr>
          <w:i/>
        </w:rPr>
        <w:t>t</w:t>
      </w:r>
      <w:r w:rsidR="00B915FF">
        <w:rPr>
          <w:i/>
          <w:vertAlign w:val="subscript"/>
        </w:rPr>
        <w:t>b</w:t>
      </w:r>
      <w:r w:rsidR="00FA0D6A">
        <w:t xml:space="preserve">), </w:t>
      </w:r>
      <w:r w:rsidR="00F67E57">
        <w:t>its mtDNA population at birth (</w:t>
      </w:r>
      <w:r w:rsidR="00F67E57" w:rsidRPr="00F67E57">
        <w:rPr>
          <w:i/>
        </w:rPr>
        <w:t>M</w:t>
      </w:r>
      <w:r w:rsidR="00B445EF">
        <w:rPr>
          <w:i/>
          <w:vertAlign w:val="subscript"/>
        </w:rPr>
        <w:t>b</w:t>
      </w:r>
      <w:r w:rsidR="00F67E57">
        <w:t xml:space="preserve"> &amp; </w:t>
      </w:r>
      <w:r w:rsidR="00F67E57" w:rsidRPr="00F67E57">
        <w:rPr>
          <w:i/>
        </w:rPr>
        <w:t>W</w:t>
      </w:r>
      <w:r w:rsidR="00B445EF">
        <w:rPr>
          <w:i/>
          <w:vertAlign w:val="subscript"/>
        </w:rPr>
        <w:t>b</w:t>
      </w:r>
      <w:r w:rsidR="00F67E57" w:rsidRPr="00F67E57">
        <w:t>) and</w:t>
      </w:r>
      <w:r w:rsidR="00F67E57" w:rsidRPr="00F67E57">
        <w:rPr>
          <w:vertAlign w:val="subscript"/>
        </w:rPr>
        <w:t xml:space="preserve"> </w:t>
      </w:r>
      <w:r w:rsidR="00FA0D6A">
        <w:t>the time to next division (</w:t>
      </w:r>
      <w:proofErr w:type="spellStart"/>
      <w:r w:rsidR="00FA0D6A" w:rsidRPr="00FA0D6A">
        <w:rPr>
          <w:i/>
        </w:rPr>
        <w:t>t</w:t>
      </w:r>
      <w:r w:rsidR="00FA0D6A" w:rsidRPr="00FA0D6A">
        <w:rPr>
          <w:i/>
          <w:vertAlign w:val="subscript"/>
        </w:rPr>
        <w:t>div</w:t>
      </w:r>
      <w:proofErr w:type="spellEnd"/>
      <w:r w:rsidR="00FA0D6A">
        <w:t xml:space="preserve">).  </w:t>
      </w:r>
      <w:proofErr w:type="spellStart"/>
      <w:r w:rsidR="00FA0D6A" w:rsidRPr="00FA0D6A">
        <w:rPr>
          <w:i/>
        </w:rPr>
        <w:t>t</w:t>
      </w:r>
      <w:r w:rsidR="00FA0D6A" w:rsidRPr="00FA0D6A">
        <w:rPr>
          <w:i/>
          <w:vertAlign w:val="subscript"/>
        </w:rPr>
        <w:t>div</w:t>
      </w:r>
      <w:proofErr w:type="spellEnd"/>
      <w:r w:rsidR="00FA0D6A">
        <w:t xml:space="preserve"> is sampled from the Gaussian distribution with mean </w:t>
      </w:r>
      <w:r w:rsidR="00FA0D6A" w:rsidRPr="00FA0D6A">
        <w:rPr>
          <w:rFonts w:cstheme="minorHAnsi"/>
          <w:i/>
        </w:rPr>
        <w:t>µ</w:t>
      </w:r>
      <w:r w:rsidR="00FA0D6A">
        <w:t xml:space="preserve"> and standard deviation </w:t>
      </w:r>
      <w:r w:rsidR="00FA0D6A" w:rsidRPr="00FA0D6A">
        <w:rPr>
          <w:rFonts w:cstheme="minorHAnsi"/>
          <w:i/>
        </w:rPr>
        <w:t>σ</w:t>
      </w:r>
      <w:r w:rsidR="00FA0D6A">
        <w:t>.</w:t>
      </w:r>
      <w:r w:rsidR="00F67E57">
        <w:t xml:space="preserve">  We simulate cell divisions by selecting the cell in the niche with the smallest value of </w:t>
      </w:r>
      <w:proofErr w:type="spellStart"/>
      <w:r w:rsidR="00F67E57" w:rsidRPr="00F67E57">
        <w:rPr>
          <w:i/>
        </w:rPr>
        <w:t>t</w:t>
      </w:r>
      <w:r w:rsidR="00F67E57" w:rsidRPr="00F67E57">
        <w:rPr>
          <w:i/>
          <w:vertAlign w:val="subscript"/>
        </w:rPr>
        <w:t>div</w:t>
      </w:r>
      <w:proofErr w:type="spellEnd"/>
      <w:r w:rsidR="00F67E57">
        <w:t xml:space="preserve"> and then use the </w:t>
      </w:r>
      <w:r w:rsidR="005E3A20">
        <w:t>between-division</w:t>
      </w:r>
      <w:r w:rsidR="00F67E57">
        <w:t xml:space="preserve"> model to simulate mtDNA population from </w:t>
      </w:r>
      <w:r w:rsidR="00F67E57" w:rsidRPr="00F67E57">
        <w:rPr>
          <w:i/>
        </w:rPr>
        <w:t>t</w:t>
      </w:r>
      <w:r w:rsidR="00B915FF">
        <w:rPr>
          <w:i/>
          <w:vertAlign w:val="subscript"/>
        </w:rPr>
        <w:t>b</w:t>
      </w:r>
      <w:r w:rsidR="00F67E57">
        <w:t xml:space="preserve"> to </w:t>
      </w:r>
      <w:proofErr w:type="spellStart"/>
      <w:r w:rsidR="00F67E57" w:rsidRPr="00F67E57">
        <w:rPr>
          <w:i/>
        </w:rPr>
        <w:t>t</w:t>
      </w:r>
      <w:r w:rsidR="00F67E57" w:rsidRPr="00F67E57">
        <w:rPr>
          <w:i/>
          <w:vertAlign w:val="subscript"/>
        </w:rPr>
        <w:t>div</w:t>
      </w:r>
      <w:proofErr w:type="spellEnd"/>
      <w:r w:rsidR="008E04DC">
        <w:t xml:space="preserve"> </w:t>
      </w:r>
      <w:r w:rsidR="008E04DC" w:rsidRPr="008E04DC">
        <w:t xml:space="preserve">or until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m:t>
        </m:r>
      </m:oMath>
      <w:r w:rsidR="00F67E57">
        <w:t xml:space="preserve">.  To simulate mtDNA replication during cell division, we note that mtDNA copy number increases before </w:t>
      </w:r>
      <w:r w:rsidR="00551D6C">
        <w:t>cell division (</w:t>
      </w:r>
      <w:hyperlink r:id="rId8" w:history="1">
        <w:r w:rsidR="00EA1848" w:rsidRPr="00EA1848">
          <w:rPr>
            <w:rStyle w:val="Hyperlink"/>
          </w:rPr>
          <w:t>Smith et al. (1968)</w:t>
        </w:r>
      </w:hyperlink>
      <w:r w:rsidR="00EA1848">
        <w:t>)</w:t>
      </w:r>
      <w:r w:rsidR="00551D6C">
        <w:t xml:space="preserve"> and </w:t>
      </w:r>
      <w:r w:rsidR="00551D6C">
        <w:lastRenderedPageBreak/>
        <w:t>so</w:t>
      </w:r>
      <w:r w:rsidR="008E04DC">
        <w:t xml:space="preserve">, if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&lt;L</m:t>
        </m:r>
      </m:oMath>
      <w:r w:rsidR="008E04DC">
        <w:t xml:space="preserve"> ,</w:t>
      </w:r>
      <w:r w:rsidR="00551D6C">
        <w:t xml:space="preserve"> we double the</w:t>
      </w:r>
      <w:r w:rsidR="007A27AD">
        <w:t xml:space="preserve"> mtDNA population before randomly sampling approximately half of the doubled population for each of the two resulting daughter cells.</w:t>
      </w:r>
      <w:r w:rsidR="008E04DC">
        <w:t xml:space="preserve">  </w:t>
      </w:r>
      <w:r w:rsidR="00EB2DAB">
        <w:t xml:space="preserve">In the absence of mechanistic information about how the niche maintains </w:t>
      </w:r>
      <w:r w:rsidR="00EB2DAB" w:rsidRPr="00B445EF">
        <w:rPr>
          <w:i/>
        </w:rPr>
        <w:t>N</w:t>
      </w:r>
      <w:r w:rsidR="00EB2DAB">
        <w:t xml:space="preserve">, we simulate control by assuming that division is always symmetric, giving rise to two stem cells if </w:t>
      </w:r>
      <w:r w:rsidR="00EB2DAB" w:rsidRPr="00EB2DAB">
        <w:rPr>
          <w:i/>
        </w:rPr>
        <w:t xml:space="preserve">N &lt; </w:t>
      </w:r>
      <w:proofErr w:type="spellStart"/>
      <w:r w:rsidR="00EB2DAB" w:rsidRPr="00EB2DAB">
        <w:rPr>
          <w:i/>
        </w:rPr>
        <w:t>N</w:t>
      </w:r>
      <w:r w:rsidR="00EB2DAB" w:rsidRPr="00EB2DAB">
        <w:rPr>
          <w:i/>
          <w:vertAlign w:val="subscript"/>
        </w:rPr>
        <w:t>targ</w:t>
      </w:r>
      <w:proofErr w:type="spellEnd"/>
      <w:r w:rsidR="00EB2DAB" w:rsidRPr="00EB2DAB">
        <w:rPr>
          <w:i/>
        </w:rPr>
        <w:t xml:space="preserve"> – </w:t>
      </w:r>
      <w:r w:rsidR="00EB2DAB" w:rsidRPr="00EB2DAB">
        <w:rPr>
          <w:rFonts w:cstheme="minorHAnsi"/>
          <w:i/>
        </w:rPr>
        <w:t>δ</w:t>
      </w:r>
      <w:r w:rsidR="00EB2DAB" w:rsidRPr="00EB2DAB">
        <w:rPr>
          <w:i/>
        </w:rPr>
        <w:t xml:space="preserve"> </w:t>
      </w:r>
      <w:r w:rsidR="00EB2DAB">
        <w:t xml:space="preserve">and always symmetric giving rise to two non-stem cells if </w:t>
      </w:r>
      <w:r w:rsidR="00EB2DAB" w:rsidRPr="00EB2DAB">
        <w:rPr>
          <w:i/>
        </w:rPr>
        <w:t xml:space="preserve">N &gt; </w:t>
      </w:r>
      <w:proofErr w:type="spellStart"/>
      <w:r w:rsidR="00EB2DAB" w:rsidRPr="00EB2DAB">
        <w:rPr>
          <w:i/>
        </w:rPr>
        <w:t>N</w:t>
      </w:r>
      <w:r w:rsidR="00EB2DAB" w:rsidRPr="00EB2DAB">
        <w:rPr>
          <w:i/>
          <w:vertAlign w:val="subscript"/>
        </w:rPr>
        <w:t>targ</w:t>
      </w:r>
      <w:proofErr w:type="spellEnd"/>
      <w:r w:rsidR="00EB2DAB" w:rsidRPr="00EB2DAB">
        <w:rPr>
          <w:i/>
        </w:rPr>
        <w:t xml:space="preserve"> + </w:t>
      </w:r>
      <w:r w:rsidR="00EB2DAB" w:rsidRPr="00EB2DAB">
        <w:rPr>
          <w:rFonts w:cstheme="minorHAnsi"/>
          <w:i/>
        </w:rPr>
        <w:t>δ</w:t>
      </w:r>
      <w:r w:rsidR="00EB2DAB">
        <w:t>.  Otherwise, t</w:t>
      </w:r>
      <w:r w:rsidR="008E04DC">
        <w:t xml:space="preserve">he type of the two daughter cells is defined by the parameter </w:t>
      </w:r>
      <w:r w:rsidR="008E04DC" w:rsidRPr="008E04DC">
        <w:rPr>
          <w:i/>
        </w:rPr>
        <w:t>P</w:t>
      </w:r>
      <w:r w:rsidR="008E04DC">
        <w:t>, the probability of asymmetric division</w:t>
      </w:r>
      <w:r w:rsidR="00EB2DAB">
        <w:t>.</w:t>
      </w:r>
    </w:p>
    <w:p w14:paraId="5DF2510B" w14:textId="74DACFBB" w:rsidR="00EF16A9" w:rsidRPr="00E40115" w:rsidRDefault="00EF16A9" w:rsidP="00F41ACB">
      <w:pPr>
        <w:jc w:val="both"/>
        <w:rPr>
          <w:i/>
        </w:rPr>
      </w:pPr>
      <w:r w:rsidRPr="00E40115">
        <w:rPr>
          <w:i/>
        </w:rPr>
        <w:t>Si</w:t>
      </w:r>
      <w:r w:rsidR="00E40115" w:rsidRPr="00E40115">
        <w:rPr>
          <w:i/>
        </w:rPr>
        <w:t>mulating from models</w:t>
      </w:r>
    </w:p>
    <w:p w14:paraId="3AE0CAEB" w14:textId="66B0BEAF" w:rsidR="00D102AD" w:rsidRDefault="00D102AD" w:rsidP="00F41ACB">
      <w:pPr>
        <w:jc w:val="both"/>
      </w:pPr>
      <w:r>
        <w:t xml:space="preserve">The output from stochastic models such as these typically requires thousands of </w:t>
      </w:r>
      <w:r w:rsidR="006528FA">
        <w:t xml:space="preserve">independent, typically parallel, </w:t>
      </w:r>
      <w:r w:rsidR="005D630C">
        <w:t>simulations</w:t>
      </w:r>
      <w:r>
        <w:t xml:space="preserve"> </w:t>
      </w:r>
      <w:r w:rsidR="006528FA">
        <w:t>to capture the distribution of possible outcomes resulting from the random nature of modelled processes.  Carrying out this number of simulations re</w:t>
      </w:r>
      <w:r>
        <w:t>quires a lot of CPU time.  Models were coded in Julia</w:t>
      </w:r>
      <w:r w:rsidR="00B915FF">
        <w:t xml:space="preserve"> (</w:t>
      </w:r>
      <w:proofErr w:type="spellStart"/>
      <w:r w:rsidR="00B915FF">
        <w:fldChar w:fldCharType="begin"/>
      </w:r>
      <w:r w:rsidR="00B915FF">
        <w:instrText xml:space="preserve"> HYPERLINK "http://dx.doi.org/10.1137/141000671" </w:instrText>
      </w:r>
      <w:r w:rsidR="00B915FF">
        <w:fldChar w:fldCharType="separate"/>
      </w:r>
      <w:r w:rsidR="00B915FF" w:rsidRPr="00B915FF">
        <w:rPr>
          <w:rStyle w:val="Hyperlink"/>
        </w:rPr>
        <w:t>Bezanson</w:t>
      </w:r>
      <w:proofErr w:type="spellEnd"/>
      <w:r w:rsidR="00B915FF" w:rsidRPr="00B915FF">
        <w:rPr>
          <w:rStyle w:val="Hyperlink"/>
        </w:rPr>
        <w:t xml:space="preserve"> et al. (2017)</w:t>
      </w:r>
      <w:r w:rsidR="00B915FF">
        <w:fldChar w:fldCharType="end"/>
      </w:r>
      <w:r w:rsidR="00B915FF">
        <w:t>)</w:t>
      </w:r>
      <w:r>
        <w:t xml:space="preserve">, a scientific programming language, to allow </w:t>
      </w:r>
      <w:r w:rsidR="006528FA">
        <w:t xml:space="preserve">fast simulation and </w:t>
      </w:r>
      <w:r>
        <w:t xml:space="preserve">easy </w:t>
      </w:r>
      <w:r w:rsidR="006528FA">
        <w:t>deployment across multiple CPUs.</w:t>
      </w:r>
    </w:p>
    <w:p w14:paraId="5855976D" w14:textId="400B0114" w:rsidR="006528FA" w:rsidRDefault="006528FA" w:rsidP="00F41ACB">
      <w:pPr>
        <w:jc w:val="both"/>
      </w:pPr>
      <w:r>
        <w:t>Code for carrying out simulations, together with experimental data from this work can be found in a GitHub repository:</w:t>
      </w:r>
      <w:r w:rsidR="004E0F76">
        <w:t xml:space="preserve"> </w:t>
      </w:r>
      <w:hyperlink r:id="rId9" w:history="1">
        <w:r w:rsidR="004E0F76">
          <w:rPr>
            <w:rStyle w:val="Hyperlink"/>
          </w:rPr>
          <w:t>https://github.com/CnrLwlss/Su_2019</w:t>
        </w:r>
      </w:hyperlink>
    </w:p>
    <w:p w14:paraId="013523C0" w14:textId="6EA93B2A" w:rsidR="004E0F76" w:rsidRDefault="004E0F76" w:rsidP="00F41ACB">
      <w:pPr>
        <w:jc w:val="both"/>
      </w:pPr>
    </w:p>
    <w:p w14:paraId="6D4F9FDC" w14:textId="3EC64111" w:rsidR="004E0F76" w:rsidRPr="005E3A20" w:rsidRDefault="004E0F76" w:rsidP="00F41ACB">
      <w:pPr>
        <w:jc w:val="both"/>
        <w:rPr>
          <w:b/>
          <w:sz w:val="24"/>
        </w:rPr>
      </w:pPr>
      <w:r w:rsidRPr="005E3A20">
        <w:rPr>
          <w:b/>
          <w:sz w:val="24"/>
        </w:rPr>
        <w:t>Results</w:t>
      </w:r>
    </w:p>
    <w:p w14:paraId="56BAFC32" w14:textId="16391931" w:rsidR="004E0F76" w:rsidRPr="005E3A20" w:rsidRDefault="005E3A20" w:rsidP="00F41ACB">
      <w:pPr>
        <w:jc w:val="both"/>
        <w:rPr>
          <w:b/>
        </w:rPr>
      </w:pPr>
      <w:r w:rsidRPr="005E3A20">
        <w:rPr>
          <w:b/>
        </w:rPr>
        <w:t>Extra mtDNA replication due to cell division in mitotic cells can explain difference between the mutation load dynamics observed in skeletal muscle fibres and epithelial crypts</w:t>
      </w:r>
    </w:p>
    <w:p w14:paraId="278828BF" w14:textId="62D6FCB6" w:rsidR="005E3A20" w:rsidRDefault="00E40115" w:rsidP="00F41ACB">
      <w:pPr>
        <w:jc w:val="both"/>
      </w:pPr>
      <w:r>
        <w:t>Assuming that the mutation load dynamics observed in dissected epithelial crypts is a good proxy for the mutation load dynamics within crypt stem cell niche, we s</w:t>
      </w:r>
      <w:r w:rsidR="005E3A20">
        <w:t>imulat</w:t>
      </w:r>
      <w:r>
        <w:t>ed both</w:t>
      </w:r>
      <w:r w:rsidR="005E3A20">
        <w:t xml:space="preserve"> post-mitotic </w:t>
      </w:r>
      <w:r>
        <w:t xml:space="preserve">skeletal muscle fibres (between-division model alone) and </w:t>
      </w:r>
      <w:r w:rsidR="00B445EF">
        <w:t xml:space="preserve">mitotic </w:t>
      </w:r>
      <w:r>
        <w:t xml:space="preserve">epithelial stem cell niche (stem cell niche model) with the same set of parameters, where appropriate.  </w:t>
      </w:r>
      <w:r w:rsidR="00BB737C">
        <w:t xml:space="preserve">We did not carry out formal parameter inference, but the simulated output was fit to the data by eye.  </w:t>
      </w:r>
      <w:r>
        <w:t>The parameters</w:t>
      </w:r>
      <w:r w:rsidR="00BB737C">
        <w:t xml:space="preserve"> common to both models</w:t>
      </w:r>
      <w:r>
        <w:t xml:space="preserve"> were:</w:t>
      </w:r>
    </w:p>
    <w:p w14:paraId="27CC7650" w14:textId="77777777" w:rsidR="007C7008" w:rsidRPr="007C7008" w:rsidRDefault="00E40115" w:rsidP="007C7008">
      <w:pPr>
        <w:spacing w:after="0"/>
        <w:jc w:val="both"/>
        <w:rPr>
          <w:rFonts w:eastAsiaTheme="minorEastAsia"/>
          <w:vertAlign w:val="subscript"/>
        </w:rPr>
      </w:pPr>
      <w:proofErr w:type="spellStart"/>
      <w:r w:rsidRPr="006637E0">
        <w:rPr>
          <w:rFonts w:eastAsiaTheme="minorEastAsia"/>
          <w:i/>
        </w:rPr>
        <w:t>r</w:t>
      </w:r>
      <w:r w:rsidRPr="006637E0">
        <w:rPr>
          <w:rFonts w:eastAsiaTheme="minorEastAsia"/>
          <w:i/>
          <w:vertAlign w:val="subscript"/>
        </w:rPr>
        <w:t>w</w:t>
      </w:r>
      <w:proofErr w:type="spellEnd"/>
      <w:r w:rsidR="00A62073">
        <w:rPr>
          <w:rFonts w:eastAsiaTheme="minorEastAsia"/>
          <w:i/>
        </w:rPr>
        <w:t xml:space="preserve"> = 0.001875 d</w:t>
      </w:r>
      <w:r w:rsidR="00A62073" w:rsidRPr="00A62073">
        <w:rPr>
          <w:rFonts w:eastAsiaTheme="minorEastAsia"/>
          <w:i/>
          <w:vertAlign w:val="superscript"/>
        </w:rPr>
        <w:t>-1</w:t>
      </w:r>
    </w:p>
    <w:p w14:paraId="77D3DC38" w14:textId="77777777" w:rsidR="007C7008" w:rsidRPr="007C7008" w:rsidRDefault="00E40115" w:rsidP="007C7008">
      <w:pPr>
        <w:spacing w:after="0"/>
        <w:jc w:val="both"/>
        <w:rPr>
          <w:rFonts w:eastAsiaTheme="minorEastAsia"/>
          <w:vertAlign w:val="subscript"/>
        </w:rPr>
      </w:pPr>
      <w:proofErr w:type="spellStart"/>
      <w:r w:rsidRPr="0029296B">
        <w:rPr>
          <w:rFonts w:eastAsiaTheme="minorEastAsia"/>
          <w:i/>
        </w:rPr>
        <w:t>d</w:t>
      </w:r>
      <w:r w:rsidRPr="0029296B">
        <w:rPr>
          <w:rFonts w:eastAsiaTheme="minorEastAsia"/>
          <w:i/>
          <w:vertAlign w:val="subscript"/>
        </w:rPr>
        <w:t>w</w:t>
      </w:r>
      <w:proofErr w:type="spellEnd"/>
      <w:r w:rsidR="00A62073">
        <w:rPr>
          <w:rFonts w:eastAsiaTheme="minorEastAsia"/>
          <w:i/>
        </w:rPr>
        <w:t xml:space="preserve"> = </w:t>
      </w:r>
      <w:r w:rsidR="00A62073" w:rsidRPr="00A62073">
        <w:rPr>
          <w:rFonts w:eastAsiaTheme="minorEastAsia"/>
          <w:i/>
        </w:rPr>
        <w:t>0.0075</w:t>
      </w:r>
      <w:r w:rsidR="00A62073">
        <w:rPr>
          <w:rFonts w:eastAsiaTheme="minorEastAsia"/>
          <w:i/>
        </w:rPr>
        <w:t xml:space="preserve"> d</w:t>
      </w:r>
      <w:r w:rsidR="00A62073" w:rsidRPr="00A62073">
        <w:rPr>
          <w:rFonts w:eastAsiaTheme="minorEastAsia"/>
          <w:i/>
          <w:vertAlign w:val="superscript"/>
        </w:rPr>
        <w:t>-1</w:t>
      </w:r>
    </w:p>
    <w:p w14:paraId="23054A70" w14:textId="77777777" w:rsidR="007C7008" w:rsidRPr="007C7008" w:rsidRDefault="00E40115" w:rsidP="007C7008">
      <w:pPr>
        <w:spacing w:after="0"/>
        <w:jc w:val="both"/>
        <w:rPr>
          <w:rFonts w:eastAsiaTheme="minorEastAsia"/>
          <w:vertAlign w:val="subscript"/>
        </w:rPr>
      </w:pPr>
      <w:r w:rsidRPr="006637E0">
        <w:rPr>
          <w:rFonts w:eastAsiaTheme="minorEastAsia"/>
          <w:i/>
        </w:rPr>
        <w:t>r</w:t>
      </w:r>
      <w:r>
        <w:rPr>
          <w:rFonts w:eastAsiaTheme="minorEastAsia"/>
          <w:i/>
          <w:vertAlign w:val="subscript"/>
        </w:rPr>
        <w:t>m</w:t>
      </w:r>
      <w:r w:rsidR="00A62073">
        <w:rPr>
          <w:rFonts w:eastAsiaTheme="minorEastAsia"/>
          <w:i/>
        </w:rPr>
        <w:t xml:space="preserve"> = 0.001875 d</w:t>
      </w:r>
      <w:r w:rsidR="00A62073" w:rsidRPr="00A62073">
        <w:rPr>
          <w:rFonts w:eastAsiaTheme="minorEastAsia"/>
          <w:i/>
          <w:vertAlign w:val="superscript"/>
        </w:rPr>
        <w:t>-1</w:t>
      </w:r>
    </w:p>
    <w:p w14:paraId="0380CE6D" w14:textId="77777777" w:rsidR="007C7008" w:rsidRPr="007C7008" w:rsidRDefault="00E40115" w:rsidP="007C7008">
      <w:pPr>
        <w:spacing w:after="0"/>
        <w:jc w:val="both"/>
        <w:rPr>
          <w:rFonts w:eastAsiaTheme="minorEastAsia"/>
          <w:vertAlign w:val="subscript"/>
        </w:rPr>
      </w:pPr>
      <w:r w:rsidRPr="00AD0EB7">
        <w:rPr>
          <w:rFonts w:eastAsiaTheme="minorEastAsia"/>
          <w:i/>
        </w:rPr>
        <w:t>d</w:t>
      </w:r>
      <w:r w:rsidRPr="00AD0EB7">
        <w:rPr>
          <w:rFonts w:eastAsiaTheme="minorEastAsia"/>
          <w:i/>
          <w:vertAlign w:val="subscript"/>
        </w:rPr>
        <w:t>m</w:t>
      </w:r>
      <w:r w:rsidR="00A62073">
        <w:rPr>
          <w:rFonts w:eastAsiaTheme="minorEastAsia"/>
          <w:i/>
        </w:rPr>
        <w:t xml:space="preserve"> = </w:t>
      </w:r>
      <w:r w:rsidR="00A62073" w:rsidRPr="00A62073">
        <w:rPr>
          <w:rFonts w:eastAsiaTheme="minorEastAsia"/>
          <w:i/>
        </w:rPr>
        <w:t>0.0075</w:t>
      </w:r>
      <w:r w:rsidR="00A62073">
        <w:rPr>
          <w:rFonts w:eastAsiaTheme="minorEastAsia"/>
          <w:i/>
        </w:rPr>
        <w:t xml:space="preserve"> d</w:t>
      </w:r>
      <w:r w:rsidR="00A62073" w:rsidRPr="00A62073">
        <w:rPr>
          <w:rFonts w:eastAsiaTheme="minorEastAsia"/>
          <w:i/>
          <w:vertAlign w:val="superscript"/>
        </w:rPr>
        <w:t>-1</w:t>
      </w:r>
    </w:p>
    <w:p w14:paraId="127169A1" w14:textId="15947810" w:rsidR="007C7008" w:rsidRPr="007C7008" w:rsidRDefault="00E40115" w:rsidP="007C7008">
      <w:pPr>
        <w:spacing w:after="0"/>
        <w:jc w:val="both"/>
        <w:rPr>
          <w:rFonts w:eastAsiaTheme="minorEastAsia"/>
        </w:rPr>
      </w:pPr>
      <w:r>
        <w:rPr>
          <w:rFonts w:eastAsiaTheme="minorEastAsia"/>
          <w:i/>
        </w:rPr>
        <w:t>m</w:t>
      </w:r>
      <w:r w:rsidR="00A62073">
        <w:rPr>
          <w:rFonts w:eastAsiaTheme="minorEastAsia"/>
          <w:i/>
        </w:rPr>
        <w:t xml:space="preserve"> = 0.00003</w:t>
      </w:r>
      <w:r w:rsidR="007C7008">
        <w:rPr>
          <w:rFonts w:eastAsiaTheme="minorEastAsia"/>
          <w:i/>
        </w:rPr>
        <w:tab/>
      </w:r>
      <w:r w:rsidR="007C7008">
        <w:rPr>
          <w:rFonts w:eastAsiaTheme="minorEastAsia"/>
          <w:i/>
        </w:rPr>
        <w:tab/>
      </w:r>
      <w:hyperlink r:id="rId10" w:history="1">
        <w:proofErr w:type="spellStart"/>
        <w:r w:rsidR="007C7008" w:rsidRPr="007C7008">
          <w:rPr>
            <w:rStyle w:val="Hyperlink"/>
            <w:rFonts w:eastAsiaTheme="minorEastAsia"/>
          </w:rPr>
          <w:t>Vermulst</w:t>
        </w:r>
        <w:proofErr w:type="spellEnd"/>
        <w:r w:rsidR="007C7008" w:rsidRPr="007C7008">
          <w:rPr>
            <w:rStyle w:val="Hyperlink"/>
            <w:rFonts w:eastAsiaTheme="minorEastAsia"/>
          </w:rPr>
          <w:t xml:space="preserve"> et al. (2007)</w:t>
        </w:r>
      </w:hyperlink>
    </w:p>
    <w:p w14:paraId="2E7464ED" w14:textId="594B5A1A" w:rsidR="007C7008" w:rsidRPr="007C7008" w:rsidRDefault="00E40115" w:rsidP="007C7008">
      <w:pPr>
        <w:spacing w:after="0"/>
        <w:jc w:val="both"/>
        <w:rPr>
          <w:rFonts w:eastAsiaTheme="minorEastAsia"/>
        </w:rPr>
      </w:pPr>
      <w:r w:rsidRPr="00AD0EB7">
        <w:rPr>
          <w:rFonts w:eastAsiaTheme="minorEastAsia"/>
          <w:i/>
        </w:rPr>
        <w:t>T</w:t>
      </w:r>
      <w:r w:rsidR="00A62073">
        <w:rPr>
          <w:rFonts w:eastAsiaTheme="minorEastAsia"/>
          <w:i/>
        </w:rPr>
        <w:t xml:space="preserve"> = 200</w:t>
      </w:r>
      <w:r w:rsidR="007C7008">
        <w:rPr>
          <w:rFonts w:eastAsiaTheme="minorEastAsia"/>
          <w:i/>
        </w:rPr>
        <w:t xml:space="preserve"> </w:t>
      </w:r>
      <w:r w:rsidR="007C7008">
        <w:rPr>
          <w:rFonts w:eastAsiaTheme="minorEastAsia"/>
          <w:i/>
        </w:rPr>
        <w:tab/>
      </w:r>
      <w:r w:rsidR="007C7008">
        <w:rPr>
          <w:rFonts w:eastAsiaTheme="minorEastAsia"/>
          <w:i/>
        </w:rPr>
        <w:tab/>
      </w:r>
      <w:r w:rsidR="007C7008">
        <w:rPr>
          <w:rFonts w:eastAsiaTheme="minorEastAsia"/>
          <w:i/>
        </w:rPr>
        <w:tab/>
      </w:r>
      <w:hyperlink r:id="rId11" w:history="1">
        <w:r w:rsidR="007C7008" w:rsidRPr="007C7008">
          <w:rPr>
            <w:rStyle w:val="Hyperlink"/>
            <w:rFonts w:eastAsiaTheme="minorEastAsia"/>
          </w:rPr>
          <w:t>Lee et al. (2015)</w:t>
        </w:r>
      </w:hyperlink>
    </w:p>
    <w:p w14:paraId="03205850" w14:textId="4959341F" w:rsidR="007C7008" w:rsidRPr="007C7008" w:rsidRDefault="00E40115" w:rsidP="007C7008">
      <w:pPr>
        <w:jc w:val="both"/>
        <w:rPr>
          <w:rFonts w:eastAsiaTheme="minorEastAsia"/>
        </w:rPr>
      </w:pPr>
      <w:r w:rsidRPr="00D97AAC">
        <w:rPr>
          <w:rFonts w:eastAsiaTheme="minorEastAsia"/>
          <w:i/>
        </w:rPr>
        <w:t>L</w:t>
      </w:r>
      <w:r w:rsidR="00A62073">
        <w:rPr>
          <w:rFonts w:eastAsiaTheme="minorEastAsia"/>
          <w:i/>
        </w:rPr>
        <w:t xml:space="preserve"> = 0.875</w:t>
      </w:r>
    </w:p>
    <w:p w14:paraId="72CC408A" w14:textId="69267340" w:rsidR="00E40115" w:rsidRPr="00B445EF" w:rsidRDefault="00E40115" w:rsidP="00F41ACB">
      <w:pPr>
        <w:jc w:val="both"/>
        <w:rPr>
          <w:rFonts w:eastAsiaTheme="minorEastAsia"/>
          <w:i/>
        </w:rPr>
      </w:pPr>
      <w:r w:rsidRPr="007B5818">
        <w:rPr>
          <w:i/>
        </w:rPr>
        <w:t>W</w:t>
      </w:r>
      <w:r w:rsidRPr="00EF5BCD">
        <w:rPr>
          <w:i/>
          <w:vertAlign w:val="subscript"/>
        </w:rPr>
        <w:t>0</w:t>
      </w:r>
      <w:r>
        <w:t xml:space="preserve"> &amp; </w:t>
      </w:r>
      <w:r w:rsidRPr="007B5818">
        <w:rPr>
          <w:i/>
        </w:rPr>
        <w:t>M</w:t>
      </w:r>
      <w:r w:rsidRPr="00EF5BCD">
        <w:rPr>
          <w:i/>
          <w:vertAlign w:val="subscript"/>
        </w:rPr>
        <w:t>0</w:t>
      </w:r>
      <w:r w:rsidR="00A62073">
        <w:t xml:space="preserve"> were estimated from mutation loads experimentally observed at </w:t>
      </w:r>
      <w:r w:rsidR="00B445EF">
        <w:t xml:space="preserve">10 d, assuming </w:t>
      </w:r>
      <w:r w:rsidR="00BB737C">
        <w:t xml:space="preserve">initial </w:t>
      </w:r>
      <w:r w:rsidR="00B445EF">
        <w:t xml:space="preserve">total copy number was equal to </w:t>
      </w:r>
      <w:r w:rsidR="00B445EF" w:rsidRPr="00B445EF">
        <w:rPr>
          <w:i/>
        </w:rPr>
        <w:t>T</w:t>
      </w:r>
      <w:r w:rsidR="00B445EF">
        <w:t>.</w:t>
      </w:r>
    </w:p>
    <w:p w14:paraId="511FC3CF" w14:textId="77777777" w:rsidR="007C7008" w:rsidRDefault="00B445EF" w:rsidP="00F41ACB">
      <w:pPr>
        <w:jc w:val="both"/>
        <w:rPr>
          <w:rFonts w:eastAsiaTheme="minorEastAsia"/>
        </w:rPr>
      </w:pPr>
      <w:r>
        <w:rPr>
          <w:rFonts w:cstheme="minorHAnsi"/>
        </w:rPr>
        <w:t xml:space="preserve">Post-mitotic skeletal muscle fibres were simulated with </w:t>
      </w:r>
      <w:proofErr w:type="spellStart"/>
      <w:r>
        <w:rPr>
          <w:rFonts w:eastAsiaTheme="minorEastAsia"/>
          <w:i/>
        </w:rPr>
        <w:t>t</w:t>
      </w:r>
      <w:r w:rsidRPr="00A62073">
        <w:rPr>
          <w:rFonts w:eastAsiaTheme="minorEastAsia"/>
          <w:i/>
          <w:vertAlign w:val="subscript"/>
        </w:rPr>
        <w:t>stop</w:t>
      </w:r>
      <w:proofErr w:type="spellEnd"/>
      <w:r>
        <w:rPr>
          <w:rFonts w:eastAsiaTheme="minorEastAsia"/>
          <w:i/>
        </w:rPr>
        <w:t xml:space="preserve"> = 730 d</w:t>
      </w:r>
      <w:r w:rsidRPr="00B445EF">
        <w:rPr>
          <w:rFonts w:eastAsiaTheme="minorEastAsia"/>
        </w:rPr>
        <w:t>, whereas</w:t>
      </w:r>
      <w:r>
        <w:rPr>
          <w:rFonts w:eastAsiaTheme="minorEastAsia"/>
        </w:rPr>
        <w:t xml:space="preserve"> for the epithelial stem cell niche the </w:t>
      </w:r>
      <w:proofErr w:type="spellStart"/>
      <w:r w:rsidRPr="00B445EF">
        <w:rPr>
          <w:rFonts w:eastAsiaTheme="minorEastAsia"/>
          <w:i/>
        </w:rPr>
        <w:t>t</w:t>
      </w:r>
      <w:r w:rsidRPr="00B445EF">
        <w:rPr>
          <w:rFonts w:eastAsiaTheme="minorEastAsia"/>
          <w:i/>
          <w:vertAlign w:val="subscript"/>
        </w:rPr>
        <w:t>stop</w:t>
      </w:r>
      <w:proofErr w:type="spellEnd"/>
      <w:r>
        <w:rPr>
          <w:rFonts w:eastAsiaTheme="minorEastAsia"/>
        </w:rPr>
        <w:t xml:space="preserve"> varied for each stem cell division.  Parameters specific to the stem cell niche simulation were: </w:t>
      </w:r>
    </w:p>
    <w:p w14:paraId="4FBB32C4" w14:textId="005E0E3C" w:rsidR="007C7008" w:rsidRDefault="00B445EF" w:rsidP="007C7008">
      <w:pPr>
        <w:spacing w:after="0"/>
        <w:jc w:val="both"/>
        <w:rPr>
          <w:rFonts w:cstheme="minorHAnsi"/>
          <w:i/>
        </w:rPr>
      </w:pPr>
      <w:proofErr w:type="spellStart"/>
      <w:r w:rsidRPr="00EB2DAB">
        <w:rPr>
          <w:i/>
        </w:rPr>
        <w:t>N</w:t>
      </w:r>
      <w:r w:rsidRPr="00EB2DAB">
        <w:rPr>
          <w:i/>
          <w:vertAlign w:val="subscript"/>
        </w:rPr>
        <w:t>targ</w:t>
      </w:r>
      <w:proofErr w:type="spellEnd"/>
      <w:r w:rsidRPr="00FA0D6A">
        <w:rPr>
          <w:rFonts w:cstheme="minorHAnsi"/>
          <w:i/>
        </w:rPr>
        <w:t xml:space="preserve"> </w:t>
      </w:r>
      <w:r>
        <w:rPr>
          <w:rFonts w:cstheme="minorHAnsi"/>
          <w:i/>
        </w:rPr>
        <w:t>= 7</w:t>
      </w:r>
      <w:r w:rsidR="007C7008">
        <w:rPr>
          <w:rFonts w:cstheme="minorHAnsi"/>
          <w:i/>
        </w:rPr>
        <w:tab/>
      </w:r>
      <w:r w:rsidR="007C7008">
        <w:rPr>
          <w:rFonts w:cstheme="minorHAnsi"/>
          <w:i/>
        </w:rPr>
        <w:tab/>
      </w:r>
      <w:r w:rsidR="007C7008">
        <w:rPr>
          <w:rFonts w:cstheme="minorHAnsi"/>
          <w:i/>
        </w:rPr>
        <w:tab/>
      </w:r>
      <w:hyperlink r:id="rId12" w:history="1">
        <w:proofErr w:type="spellStart"/>
        <w:r w:rsidR="007C7008" w:rsidRPr="007C7008">
          <w:rPr>
            <w:rStyle w:val="Hyperlink"/>
            <w:rFonts w:cstheme="minorHAnsi"/>
          </w:rPr>
          <w:t>Kozar</w:t>
        </w:r>
        <w:proofErr w:type="spellEnd"/>
        <w:r w:rsidR="007C7008" w:rsidRPr="007C7008">
          <w:rPr>
            <w:rStyle w:val="Hyperlink"/>
            <w:rFonts w:cstheme="minorHAnsi"/>
          </w:rPr>
          <w:t xml:space="preserve"> et al. (2013)</w:t>
        </w:r>
      </w:hyperlink>
    </w:p>
    <w:p w14:paraId="30A64728" w14:textId="3DABD02A" w:rsidR="007C7008" w:rsidRDefault="00E40115" w:rsidP="007C7008">
      <w:pPr>
        <w:spacing w:after="0"/>
        <w:jc w:val="both"/>
        <w:rPr>
          <w:rFonts w:cstheme="minorHAnsi"/>
          <w:i/>
        </w:rPr>
      </w:pPr>
      <w:r w:rsidRPr="00FA0D6A">
        <w:rPr>
          <w:rFonts w:cstheme="minorHAnsi"/>
          <w:i/>
        </w:rPr>
        <w:t>µ</w:t>
      </w:r>
      <w:r w:rsidR="00B445EF">
        <w:rPr>
          <w:rFonts w:cstheme="minorHAnsi"/>
          <w:i/>
        </w:rPr>
        <w:t xml:space="preserve"> = 3 d</w:t>
      </w:r>
      <w:r w:rsidR="007C7008">
        <w:rPr>
          <w:rFonts w:cstheme="minorHAnsi"/>
          <w:i/>
        </w:rPr>
        <w:tab/>
      </w:r>
      <w:r w:rsidR="007C7008">
        <w:rPr>
          <w:rFonts w:cstheme="minorHAnsi"/>
          <w:i/>
        </w:rPr>
        <w:tab/>
      </w:r>
      <w:r w:rsidR="007C7008">
        <w:rPr>
          <w:rFonts w:cstheme="minorHAnsi"/>
          <w:i/>
        </w:rPr>
        <w:tab/>
      </w:r>
      <w:hyperlink r:id="rId13" w:history="1">
        <w:proofErr w:type="spellStart"/>
        <w:r w:rsidR="007C7008" w:rsidRPr="007C7008">
          <w:rPr>
            <w:rStyle w:val="Hyperlink"/>
            <w:rFonts w:cstheme="minorHAnsi"/>
          </w:rPr>
          <w:t>Kozar</w:t>
        </w:r>
        <w:proofErr w:type="spellEnd"/>
        <w:r w:rsidR="007C7008" w:rsidRPr="007C7008">
          <w:rPr>
            <w:rStyle w:val="Hyperlink"/>
            <w:rFonts w:cstheme="minorHAnsi"/>
          </w:rPr>
          <w:t xml:space="preserve"> et al. (2013)</w:t>
        </w:r>
      </w:hyperlink>
    </w:p>
    <w:p w14:paraId="542DB7E1" w14:textId="77777777" w:rsidR="007C7008" w:rsidRDefault="00E40115" w:rsidP="007C7008">
      <w:pPr>
        <w:spacing w:after="0"/>
        <w:jc w:val="both"/>
        <w:rPr>
          <w:rFonts w:cstheme="minorHAnsi"/>
          <w:i/>
        </w:rPr>
      </w:pPr>
      <w:r w:rsidRPr="00FA0D6A">
        <w:rPr>
          <w:rFonts w:cstheme="minorHAnsi"/>
          <w:i/>
        </w:rPr>
        <w:t>σ</w:t>
      </w:r>
      <w:r w:rsidR="00B445EF">
        <w:rPr>
          <w:rFonts w:cstheme="minorHAnsi"/>
          <w:i/>
        </w:rPr>
        <w:t xml:space="preserve"> = 0.1 d</w:t>
      </w:r>
    </w:p>
    <w:p w14:paraId="6DF7CE5C" w14:textId="77777777" w:rsidR="007C7008" w:rsidRDefault="00E40115" w:rsidP="007C7008">
      <w:pPr>
        <w:spacing w:after="0"/>
        <w:jc w:val="both"/>
        <w:rPr>
          <w:rFonts w:cstheme="minorHAnsi"/>
          <w:i/>
        </w:rPr>
      </w:pPr>
      <w:r>
        <w:rPr>
          <w:rFonts w:cstheme="minorHAnsi"/>
          <w:i/>
        </w:rPr>
        <w:t>δ</w:t>
      </w:r>
      <w:r w:rsidR="00B445EF">
        <w:rPr>
          <w:rFonts w:cstheme="minorHAnsi"/>
          <w:i/>
        </w:rPr>
        <w:t xml:space="preserve"> = 2</w:t>
      </w:r>
    </w:p>
    <w:p w14:paraId="7027C587" w14:textId="1A8DB1E1" w:rsidR="00E40115" w:rsidRDefault="00E40115" w:rsidP="007C7008">
      <w:pPr>
        <w:jc w:val="both"/>
        <w:rPr>
          <w:rFonts w:cstheme="minorHAnsi"/>
        </w:rPr>
      </w:pPr>
      <w:r>
        <w:rPr>
          <w:rFonts w:cstheme="minorHAnsi"/>
          <w:i/>
        </w:rPr>
        <w:t>P</w:t>
      </w:r>
      <w:r w:rsidR="00B445EF">
        <w:rPr>
          <w:rFonts w:cstheme="minorHAnsi"/>
          <w:i/>
        </w:rPr>
        <w:t xml:space="preserve"> = 0.75</w:t>
      </w:r>
      <w:r w:rsidR="007C7008">
        <w:rPr>
          <w:rFonts w:cstheme="minorHAnsi"/>
          <w:i/>
        </w:rPr>
        <w:tab/>
      </w:r>
      <w:r w:rsidR="007C7008">
        <w:rPr>
          <w:rFonts w:cstheme="minorHAnsi"/>
          <w:i/>
        </w:rPr>
        <w:tab/>
      </w:r>
      <w:r w:rsidR="007C7008">
        <w:rPr>
          <w:rFonts w:cstheme="minorHAnsi"/>
          <w:i/>
        </w:rPr>
        <w:tab/>
      </w:r>
      <w:hyperlink r:id="rId14" w:history="1">
        <w:r w:rsidR="007C7008" w:rsidRPr="007C7008">
          <w:rPr>
            <w:rStyle w:val="Hyperlink"/>
            <w:rFonts w:cstheme="minorHAnsi"/>
          </w:rPr>
          <w:t>Stamp et al. (2018)</w:t>
        </w:r>
      </w:hyperlink>
    </w:p>
    <w:p w14:paraId="487AF688" w14:textId="0CF2182A" w:rsidR="00BB737C" w:rsidRDefault="00BB737C" w:rsidP="00F41ACB">
      <w:pPr>
        <w:jc w:val="both"/>
        <w:rPr>
          <w:rFonts w:cstheme="minorHAnsi"/>
        </w:rPr>
      </w:pPr>
      <w:r>
        <w:rPr>
          <w:rFonts w:cstheme="minorHAnsi"/>
        </w:rPr>
        <w:lastRenderedPageBreak/>
        <w:t xml:space="preserve">Examining experimental results (Figure X) we can see that there is negligible change in the mutation load distribution in skeletal muscle fibres with age and that the mutation load distribution in epithelial crypts in young mice is very similar to that from skeletal muscle fibres in old mice (p-values?).  However, </w:t>
      </w:r>
      <w:r w:rsidR="000C3930">
        <w:rPr>
          <w:rFonts w:cstheme="minorHAnsi"/>
        </w:rPr>
        <w:t>we observed a</w:t>
      </w:r>
      <w:r>
        <w:rPr>
          <w:rFonts w:cstheme="minorHAnsi"/>
        </w:rPr>
        <w:t xml:space="preserve"> considerably broader range of mutation loads in the epithelial crypts in older mice.  Simulated results match the pattern in the experimental data</w:t>
      </w:r>
      <w:r w:rsidR="00480978">
        <w:rPr>
          <w:rFonts w:cstheme="minorHAnsi"/>
        </w:rPr>
        <w:t xml:space="preserve"> distributions</w:t>
      </w:r>
      <w:r w:rsidR="000C3930">
        <w:rPr>
          <w:rFonts w:cstheme="minorHAnsi"/>
        </w:rPr>
        <w:t xml:space="preserve">.  </w:t>
      </w:r>
      <w:r w:rsidR="00A14A1F">
        <w:rPr>
          <w:rFonts w:cstheme="minorHAnsi"/>
        </w:rPr>
        <w:t>In skeletal muscle, t</w:t>
      </w:r>
      <w:r w:rsidR="000C3930">
        <w:rPr>
          <w:rFonts w:cstheme="minorHAnsi"/>
        </w:rPr>
        <w:t xml:space="preserve">he distributions of experimentally observed </w:t>
      </w:r>
      <w:r w:rsidR="00A14A1F">
        <w:rPr>
          <w:rFonts w:cstheme="minorHAnsi"/>
        </w:rPr>
        <w:t>mutation loads in</w:t>
      </w:r>
      <w:r w:rsidR="000C3930">
        <w:rPr>
          <w:rFonts w:cstheme="minorHAnsi"/>
        </w:rPr>
        <w:t xml:space="preserve"> both young and old mice are tightly distributed with means of 69% (SD = 0.07%) and 68% (SD = </w:t>
      </w:r>
      <w:r w:rsidR="00A14A1F">
        <w:rPr>
          <w:rFonts w:cstheme="minorHAnsi"/>
        </w:rPr>
        <w:t>0.08%)</w:t>
      </w:r>
      <w:r w:rsidR="000C3930">
        <w:rPr>
          <w:rFonts w:cstheme="minorHAnsi"/>
        </w:rPr>
        <w:t>.  The equivalent simulated results are</w:t>
      </w:r>
      <w:r w:rsidR="00A14A1F">
        <w:rPr>
          <w:rFonts w:cstheme="minorHAnsi"/>
        </w:rPr>
        <w:t xml:space="preserve"> similar</w:t>
      </w:r>
      <w:r w:rsidR="00480978">
        <w:rPr>
          <w:rFonts w:cstheme="minorHAnsi"/>
        </w:rPr>
        <w:t xml:space="preserve">, with means of </w:t>
      </w:r>
      <w:r w:rsidR="00A14A1F">
        <w:rPr>
          <w:rFonts w:cstheme="minorHAnsi"/>
        </w:rPr>
        <w:t>74%</w:t>
      </w:r>
      <w:r w:rsidR="00480978">
        <w:rPr>
          <w:rFonts w:cstheme="minorHAnsi"/>
        </w:rPr>
        <w:t xml:space="preserve"> (</w:t>
      </w:r>
      <w:r w:rsidR="00A14A1F">
        <w:rPr>
          <w:rFonts w:cstheme="minorHAnsi"/>
        </w:rPr>
        <w:t>SD = 0.06%</w:t>
      </w:r>
      <w:r w:rsidR="00480978">
        <w:rPr>
          <w:rFonts w:cstheme="minorHAnsi"/>
        </w:rPr>
        <w:t>)</w:t>
      </w:r>
      <w:r w:rsidR="00A14A1F">
        <w:rPr>
          <w:rFonts w:cstheme="minorHAnsi"/>
        </w:rPr>
        <w:t xml:space="preserve"> and 73%</w:t>
      </w:r>
      <w:r w:rsidR="00480978">
        <w:rPr>
          <w:rFonts w:cstheme="minorHAnsi"/>
        </w:rPr>
        <w:t xml:space="preserve"> (</w:t>
      </w:r>
      <w:r w:rsidR="00A14A1F">
        <w:rPr>
          <w:rFonts w:cstheme="minorHAnsi"/>
        </w:rPr>
        <w:t>SD = 0.08%</w:t>
      </w:r>
      <w:r w:rsidR="00480978">
        <w:rPr>
          <w:rFonts w:cstheme="minorHAnsi"/>
        </w:rPr>
        <w:t>)</w:t>
      </w:r>
      <w:r w:rsidR="000C3930">
        <w:rPr>
          <w:rFonts w:cstheme="minorHAnsi"/>
        </w:rPr>
        <w:t xml:space="preserve"> </w:t>
      </w:r>
      <w:r>
        <w:rPr>
          <w:rFonts w:cstheme="minorHAnsi"/>
        </w:rPr>
        <w:t>(Figure X</w:t>
      </w:r>
      <w:r w:rsidR="00A14A1F">
        <w:rPr>
          <w:rFonts w:cstheme="minorHAnsi"/>
        </w:rPr>
        <w:t>A</w:t>
      </w:r>
      <w:r>
        <w:rPr>
          <w:rFonts w:cstheme="minorHAnsi"/>
        </w:rPr>
        <w:t>).</w:t>
      </w:r>
      <w:r w:rsidR="00A14A1F">
        <w:rPr>
          <w:rFonts w:cstheme="minorHAnsi"/>
        </w:rPr>
        <w:t xml:space="preserve">  However, in epithelial crypts, </w:t>
      </w:r>
      <w:r w:rsidR="00480978">
        <w:rPr>
          <w:rFonts w:cstheme="minorHAnsi"/>
        </w:rPr>
        <w:t>experimentally observed mutation loads in young mice have mean 68% (SD = 0.1%) and in old mice have mean 61% (SD = 0.19%).  The equivalent simulated results are similar with means of 71% (SD = 0.07%) and 60% (SD = 0.15%).</w:t>
      </w:r>
    </w:p>
    <w:p w14:paraId="3604041A" w14:textId="29C11029" w:rsidR="0024632E" w:rsidRDefault="0024632E" w:rsidP="00F41ACB">
      <w:pPr>
        <w:jc w:val="both"/>
        <w:rPr>
          <w:rFonts w:cstheme="minorHAnsi"/>
        </w:rPr>
      </w:pPr>
      <w:r>
        <w:rPr>
          <w:noProof/>
        </w:rPr>
        <w:drawing>
          <wp:inline distT="0" distB="0" distL="0" distR="0" wp14:anchorId="0472D3A3" wp14:editId="52F0F521">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588ECE3" w14:textId="0F64B922" w:rsidR="0024632E" w:rsidRDefault="0024632E" w:rsidP="00F41ACB">
      <w:pPr>
        <w:jc w:val="both"/>
        <w:rPr>
          <w:rFonts w:cstheme="minorHAnsi"/>
        </w:rPr>
      </w:pPr>
      <w:r w:rsidRPr="000C3930">
        <w:rPr>
          <w:rFonts w:cstheme="minorHAnsi"/>
          <w:b/>
          <w:i/>
        </w:rPr>
        <w:t>Figure X</w:t>
      </w:r>
      <w:r w:rsidRPr="0024632E">
        <w:rPr>
          <w:rFonts w:cstheme="minorHAnsi"/>
          <w:i/>
        </w:rPr>
        <w:t xml:space="preserve"> Comparing experimental observations of mtDNA population dynamics with model predictions</w:t>
      </w:r>
      <w:r>
        <w:rPr>
          <w:rFonts w:cstheme="minorHAnsi"/>
        </w:rPr>
        <w:t xml:space="preserve">  A) 88 experimental observations of mutation load in skeletal muscle from young mice and 100 observations in old mice (red) together with </w:t>
      </w:r>
      <w:r w:rsidR="000C3930">
        <w:rPr>
          <w:rFonts w:cstheme="minorHAnsi"/>
        </w:rPr>
        <w:t>50 simulations of mutation load dynamics drawn randomly from 1,200 simulations (blue)</w:t>
      </w:r>
      <w:r>
        <w:rPr>
          <w:rFonts w:cstheme="minorHAnsi"/>
        </w:rPr>
        <w:t xml:space="preserve"> B) 125 experimental observations of mutation load in epithelial crypts from young mice and 141 observations in old mice (red)</w:t>
      </w:r>
      <w:r w:rsidR="000C3930" w:rsidRPr="000C3930">
        <w:rPr>
          <w:rFonts w:cstheme="minorHAnsi"/>
        </w:rPr>
        <w:t xml:space="preserve"> </w:t>
      </w:r>
      <w:r w:rsidR="000C3930">
        <w:rPr>
          <w:rFonts w:cstheme="minorHAnsi"/>
        </w:rPr>
        <w:t>together with 50 simulations of mutation load dynamics drawn randomly from 1,200 simulations (blue) C) Density plots comparing the experimental and observed distributions for young and old mice.  Simulation distributions constructed based on all 1,200 simulations.</w:t>
      </w:r>
    </w:p>
    <w:p w14:paraId="6BD59ED1" w14:textId="77777777" w:rsidR="00480978" w:rsidRDefault="00480978" w:rsidP="00F41ACB">
      <w:pPr>
        <w:jc w:val="both"/>
        <w:rPr>
          <w:rFonts w:cstheme="minorHAnsi"/>
        </w:rPr>
      </w:pPr>
    </w:p>
    <w:p w14:paraId="09FA4988" w14:textId="7D3AAD43" w:rsidR="00BB737C" w:rsidRDefault="00480978" w:rsidP="00F41ACB">
      <w:pPr>
        <w:jc w:val="both"/>
        <w:rPr>
          <w:rFonts w:cstheme="minorHAnsi"/>
        </w:rPr>
      </w:pPr>
      <w:r w:rsidRPr="00480978">
        <w:rPr>
          <w:rFonts w:cstheme="minorHAnsi"/>
          <w:b/>
        </w:rPr>
        <w:t>Discussion</w:t>
      </w:r>
    </w:p>
    <w:p w14:paraId="02A9616C" w14:textId="3EDEB4C9" w:rsidR="006528FA" w:rsidRDefault="00480978" w:rsidP="00F41ACB">
      <w:pPr>
        <w:jc w:val="both"/>
      </w:pPr>
      <w:r>
        <w:rPr>
          <w:rFonts w:cstheme="minorHAnsi"/>
        </w:rPr>
        <w:t xml:space="preserve">We observed </w:t>
      </w:r>
      <w:r w:rsidR="00F41ACB">
        <w:rPr>
          <w:rFonts w:cstheme="minorHAnsi"/>
        </w:rPr>
        <w:t xml:space="preserve">two very distinct ageing phenotypes in mutation load from different tissues from the same mice.  We developed two simple models of mtDNA population dynamics and stem cell niche dynamics and showed that, simulating from these models, using the same model parameters, where </w:t>
      </w:r>
      <w:r w:rsidR="00F41ACB">
        <w:rPr>
          <w:rFonts w:cstheme="minorHAnsi"/>
        </w:rPr>
        <w:lastRenderedPageBreak/>
        <w:t xml:space="preserve">applicable, we can capture these two distinct phenotypes.  The main difference between these two strongly related models is the extra replication undergone by mtDNA molecules in cells which are undergoing division.  We conclude that this extra replication could be sufficient to describe the differences </w:t>
      </w:r>
      <w:r w:rsidR="00A16CD1">
        <w:rPr>
          <w:rFonts w:cstheme="minorHAnsi"/>
        </w:rPr>
        <w:t>in how</w:t>
      </w:r>
      <w:bookmarkStart w:id="0" w:name="_GoBack"/>
      <w:bookmarkEnd w:id="0"/>
      <w:r w:rsidR="00F41ACB">
        <w:rPr>
          <w:rFonts w:cstheme="minorHAnsi"/>
        </w:rPr>
        <w:t xml:space="preserve"> mutation load develops with age in these two tissues.  One major assumption we made when building the model of post-mitotic skeletal muscle fibres was that the total copy number was the same as that in stem cells: 200.  Clearly there are several thousand mtDNA inside an individual muscle fibre, since these cells are much bigger than epithelial crypt stem cells.  However, we assume that there is an effective population size within fibres, outside of which mtDNA molecules do not typically move.  We plan to carry out further investigation to investigate this effective population size in muscle fibres.</w:t>
      </w:r>
    </w:p>
    <w:sectPr w:rsidR="0065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12"/>
    <w:rsid w:val="0000443D"/>
    <w:rsid w:val="000C3930"/>
    <w:rsid w:val="001D0171"/>
    <w:rsid w:val="0024632E"/>
    <w:rsid w:val="0029296B"/>
    <w:rsid w:val="00407A74"/>
    <w:rsid w:val="00480978"/>
    <w:rsid w:val="004C1E12"/>
    <w:rsid w:val="004E0F76"/>
    <w:rsid w:val="00511D39"/>
    <w:rsid w:val="00551D6C"/>
    <w:rsid w:val="005D630C"/>
    <w:rsid w:val="005E3A20"/>
    <w:rsid w:val="005F247A"/>
    <w:rsid w:val="006528FA"/>
    <w:rsid w:val="006637E0"/>
    <w:rsid w:val="006B3540"/>
    <w:rsid w:val="0079284E"/>
    <w:rsid w:val="007A27AD"/>
    <w:rsid w:val="007B5818"/>
    <w:rsid w:val="007C7008"/>
    <w:rsid w:val="008E04DC"/>
    <w:rsid w:val="009B4F60"/>
    <w:rsid w:val="00A14A1F"/>
    <w:rsid w:val="00A16CD1"/>
    <w:rsid w:val="00A62073"/>
    <w:rsid w:val="00AD0EB7"/>
    <w:rsid w:val="00B445EF"/>
    <w:rsid w:val="00B915FF"/>
    <w:rsid w:val="00BB737C"/>
    <w:rsid w:val="00C65DCE"/>
    <w:rsid w:val="00D06E1B"/>
    <w:rsid w:val="00D102AD"/>
    <w:rsid w:val="00D76BAF"/>
    <w:rsid w:val="00D92ED4"/>
    <w:rsid w:val="00D97AAC"/>
    <w:rsid w:val="00DA7C41"/>
    <w:rsid w:val="00E40115"/>
    <w:rsid w:val="00E920FD"/>
    <w:rsid w:val="00EA1848"/>
    <w:rsid w:val="00EB2DAB"/>
    <w:rsid w:val="00EF16A9"/>
    <w:rsid w:val="00EF5BCD"/>
    <w:rsid w:val="00F33EBC"/>
    <w:rsid w:val="00F41ACB"/>
    <w:rsid w:val="00F52659"/>
    <w:rsid w:val="00F67E57"/>
    <w:rsid w:val="00FA0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526F"/>
  <w15:chartTrackingRefBased/>
  <w15:docId w15:val="{16547578-7532-4C2E-AB7F-34008FB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DCE"/>
    <w:rPr>
      <w:color w:val="808080"/>
    </w:rPr>
  </w:style>
  <w:style w:type="character" w:styleId="Hyperlink">
    <w:name w:val="Hyperlink"/>
    <w:basedOn w:val="DefaultParagraphFont"/>
    <w:uiPriority w:val="99"/>
    <w:unhideWhenUsed/>
    <w:rsid w:val="004E0F76"/>
    <w:rPr>
      <w:color w:val="0000FF"/>
      <w:u w:val="single"/>
    </w:rPr>
  </w:style>
  <w:style w:type="paragraph" w:styleId="BalloonText">
    <w:name w:val="Balloon Text"/>
    <w:basedOn w:val="Normal"/>
    <w:link w:val="BalloonTextChar"/>
    <w:uiPriority w:val="99"/>
    <w:semiHidden/>
    <w:unhideWhenUsed/>
    <w:rsid w:val="00246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2E"/>
    <w:rPr>
      <w:rFonts w:ascii="Segoe UI" w:hAnsi="Segoe UI" w:cs="Segoe UI"/>
      <w:sz w:val="18"/>
      <w:szCs w:val="18"/>
    </w:rPr>
  </w:style>
  <w:style w:type="character" w:styleId="UnresolvedMention">
    <w:name w:val="Unresolved Mention"/>
    <w:basedOn w:val="DefaultParagraphFont"/>
    <w:uiPriority w:val="99"/>
    <w:semiHidden/>
    <w:unhideWhenUsed/>
    <w:rsid w:val="00E9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60.3.936" TargetMode="External"/><Relationship Id="rId13" Type="http://schemas.openxmlformats.org/officeDocument/2006/relationships/hyperlink" Target="https://doi.org/10.1016/j.stem.2013.08.001" TargetMode="External"/><Relationship Id="rId3" Type="http://schemas.openxmlformats.org/officeDocument/2006/relationships/webSettings" Target="webSettings.xml"/><Relationship Id="rId7" Type="http://schemas.openxmlformats.org/officeDocument/2006/relationships/hyperlink" Target="https://doi.org/10.1016%2F0021-9991%2876%2990041-3" TargetMode="External"/><Relationship Id="rId12" Type="http://schemas.openxmlformats.org/officeDocument/2006/relationships/hyperlink" Target="https://doi.org/10.1016/j.stem.2013.08.0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2F0021-9991%2876%2990041-3" TargetMode="External"/><Relationship Id="rId11" Type="http://schemas.openxmlformats.org/officeDocument/2006/relationships/hyperlink" Target="https://www.ncbi.nlm.nih.gov/pubmed/25719248" TargetMode="External"/><Relationship Id="rId5" Type="http://schemas.openxmlformats.org/officeDocument/2006/relationships/hyperlink" Target="https://doi.org/10.1126/science.1533953" TargetMode="External"/><Relationship Id="rId15" Type="http://schemas.openxmlformats.org/officeDocument/2006/relationships/image" Target="media/image1.png"/><Relationship Id="rId10" Type="http://schemas.openxmlformats.org/officeDocument/2006/relationships/hyperlink" Target="https://www.nature.com/articles/ng1988" TargetMode="External"/><Relationship Id="rId4" Type="http://schemas.openxmlformats.org/officeDocument/2006/relationships/hyperlink" Target="https://doi.org/10.1086/318801" TargetMode="External"/><Relationship Id="rId9" Type="http://schemas.openxmlformats.org/officeDocument/2006/relationships/hyperlink" Target="https://github.com/CnrLwlss/Su_2019" TargetMode="External"/><Relationship Id="rId14" Type="http://schemas.openxmlformats.org/officeDocument/2006/relationships/hyperlink" Target="https://doi.org/10.1016/j.ebiom.2018.04.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Lawless</dc:creator>
  <cp:keywords/>
  <dc:description/>
  <cp:lastModifiedBy>Conor Lawless</cp:lastModifiedBy>
  <cp:revision>3</cp:revision>
  <dcterms:created xsi:type="dcterms:W3CDTF">2019-04-29T09:00:00Z</dcterms:created>
  <dcterms:modified xsi:type="dcterms:W3CDTF">2019-04-29T22:08:00Z</dcterms:modified>
</cp:coreProperties>
</file>