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 補件與業務說明</w:t>
      </w:r>
    </w:p>
    <w:p>
      <w:r>
        <w:t>Finance Cowork 課程資料　教學合成案例</w:t>
      </w:r>
    </w:p>
    <w:p>
      <w:r>
        <w:t>依手冊指定的情境時間閱讀；後續事件尚未發生時，請保留但暫不採用。</w:t>
      </w:r>
    </w:p>
    <w:p>
      <w:r>
        <w:t>10/06 10:00 應付窗口確認 AP-108 是 AP-101 重複匯入，尚未付款、未入帳，請保留原列與重複關係供覆核，不刪除。</w:t>
      </w:r>
    </w:p>
    <w:p>
      <w:r>
        <w:t>營運主管李志遠說明費用差異：新增工作量造成外包費增加 40,000，依據 PO-0923 與九月驗收單；另外 20,000 是原排十月的保養提前於九月完成，依據驗收單 SV-0930。兩項皆已入帳於 GL-09。</w:t>
      </w:r>
    </w:p>
    <w:p>
      <w:r>
        <w:t>何佩珊尚未覆核差異說明。沒有提供費用重要性門檻、後續全年預測或調整分錄核准。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教學合成資料　finance-cowork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24" w:lineRule="auto"/>
    </w:pPr>
    <w:rPr>
      <w:rFonts w:ascii="Noto Sans CJK TC" w:hAnsi="Noto Sans CJK TC" w:eastAsia="Noto Sans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