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覆核與期後新資訊</w:t>
      </w:r>
    </w:p>
    <w:p>
      <w:r>
        <w:t>Finance Cowork 課程資料　教學合成案例</w:t>
      </w:r>
    </w:p>
    <w:p>
      <w:r>
        <w:t>依手冊指定的情境時間閱讀；後續事件尚未發生時，請保留但暫不採用。</w:t>
      </w:r>
    </w:p>
    <w:p>
      <w:r>
        <w:t>10/07 11:20 何佩珊覆核 C1 完成，確認 GL-09 v1 660,000 與支持明細一致。10/07 14:00 覆核 C2 差異分析完成；40,000 工作量、20,000 時點，合計 60,000。</w:t>
      </w:r>
    </w:p>
    <w:p>
      <w:r>
        <w:t>10/07 15:10 管理報告草稿 F-2609-R1 已完成，何佩珊尚未核准發送。ERP 期間是否鎖定未提供。</w:t>
      </w:r>
    </w:p>
    <w:p>
      <w:r>
        <w:t>10/08 09:00 供應商另外送來服務單 SV-1008，稱 12,000 元服務可能屬九月，但沒有驗收日期。這是期後待調查項，不在原 660,000 內，尚無調整核准。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finance-cowork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