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試行驗收與結果</w:t>
      </w:r>
    </w:p>
    <w:p>
      <w:r>
        <w:t>PM Cowork 課程資料　教學合成案例</w:t>
      </w:r>
    </w:p>
    <w:p>
      <w:r>
        <w:t>依手冊指定的情境時間閱讀；後續事件尚未發生時，請保留但暫不採用。</w:t>
      </w:r>
    </w:p>
    <w:p>
      <w:r>
        <w:t>10/16 P-01、P-02 功能測試通過；10/19 權限測試完成，所有本次測試案例通過，仍僅代表測試範圍。主管批准 10/20 開始採購部試行。</w:t>
      </w:r>
    </w:p>
    <w:p>
      <w:r>
        <w:t>試行使用相同定義的 20 件查詢：首次完整回覆平均 11 小時；目標 8 小時尚未達成。5 件卡在承辦每日只更新一次，不能把全部延遲歸因於系統。</w:t>
      </w:r>
    </w:p>
    <w:p>
      <w:r>
        <w:t>10/27 採購主管要求將狀態更新改成當日兩次；尚未觀察新流程效果。P-03 仍未排入已承諾版本。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pm-cowork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