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8415" w14:textId="26C6E6E6" w:rsidR="000176F5" w:rsidRDefault="00F1477A">
      <w:pPr>
        <w:spacing w:line="360" w:lineRule="auto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2021</w:t>
      </w:r>
      <w:r>
        <w:rPr>
          <w:rFonts w:hint="eastAsia"/>
          <w:sz w:val="40"/>
          <w:szCs w:val="40"/>
        </w:rPr>
        <w:t>年</w:t>
      </w:r>
      <w:r w:rsidR="004973EB">
        <w:rPr>
          <w:sz w:val="40"/>
          <w:szCs w:val="40"/>
        </w:rPr>
        <w:t>7</w:t>
      </w:r>
      <w:r>
        <w:rPr>
          <w:rFonts w:hint="eastAsia"/>
          <w:sz w:val="40"/>
          <w:szCs w:val="40"/>
        </w:rPr>
        <w:t>-</w:t>
      </w:r>
      <w:r w:rsidR="004973EB">
        <w:rPr>
          <w:sz w:val="40"/>
          <w:szCs w:val="40"/>
        </w:rPr>
        <w:t>9</w:t>
      </w:r>
      <w:r>
        <w:rPr>
          <w:rFonts w:hint="eastAsia"/>
          <w:sz w:val="40"/>
          <w:szCs w:val="40"/>
        </w:rPr>
        <w:t>月药品不良反应分析</w:t>
      </w:r>
    </w:p>
    <w:p w14:paraId="06E52779" w14:textId="77777777" w:rsidR="000176F5" w:rsidRDefault="000176F5">
      <w:pPr>
        <w:spacing w:line="360" w:lineRule="auto"/>
        <w:rPr>
          <w:sz w:val="24"/>
        </w:rPr>
      </w:pPr>
    </w:p>
    <w:p w14:paraId="2027FA97" w14:textId="334D6313" w:rsidR="000176F5" w:rsidRDefault="00F1477A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2021</w:t>
      </w:r>
      <w:r>
        <w:rPr>
          <w:rFonts w:hint="eastAsia"/>
          <w:sz w:val="24"/>
        </w:rPr>
        <w:t>年</w:t>
      </w:r>
      <w:r w:rsidR="004973EB">
        <w:rPr>
          <w:sz w:val="24"/>
        </w:rPr>
        <w:t>7-9</w:t>
      </w:r>
      <w:r>
        <w:rPr>
          <w:rFonts w:hint="eastAsia"/>
          <w:sz w:val="24"/>
        </w:rPr>
        <w:t>月，我院共向国家药品不良反应监测系统上报药品不良反应（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）报告</w:t>
      </w:r>
      <w:r>
        <w:rPr>
          <w:rFonts w:hint="eastAsia"/>
          <w:sz w:val="24"/>
        </w:rPr>
        <w:t>3</w:t>
      </w:r>
      <w:r w:rsidR="004973EB">
        <w:rPr>
          <w:sz w:val="24"/>
        </w:rPr>
        <w:t>6</w:t>
      </w:r>
      <w:r>
        <w:rPr>
          <w:rFonts w:hint="eastAsia"/>
          <w:sz w:val="24"/>
        </w:rPr>
        <w:t>例。通过对此</w:t>
      </w:r>
      <w:r>
        <w:rPr>
          <w:rFonts w:hint="eastAsia"/>
          <w:sz w:val="24"/>
        </w:rPr>
        <w:t>3</w:t>
      </w:r>
      <w:r w:rsidR="004973EB">
        <w:rPr>
          <w:sz w:val="24"/>
        </w:rPr>
        <w:t>6</w:t>
      </w:r>
      <w:r>
        <w:rPr>
          <w:rFonts w:hint="eastAsia"/>
          <w:sz w:val="24"/>
        </w:rPr>
        <w:t>例报告进行统计分析，结果如下：</w:t>
      </w:r>
    </w:p>
    <w:p w14:paraId="38C53E16" w14:textId="77777777" w:rsidR="000176F5" w:rsidRDefault="000176F5">
      <w:pPr>
        <w:spacing w:line="360" w:lineRule="auto"/>
        <w:rPr>
          <w:sz w:val="24"/>
        </w:rPr>
      </w:pPr>
    </w:p>
    <w:p w14:paraId="01EB938F" w14:textId="77777777" w:rsidR="000176F5" w:rsidRDefault="00F1477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患者基本信息</w:t>
      </w:r>
    </w:p>
    <w:p w14:paraId="458885F4" w14:textId="6C47CF06" w:rsidR="000176F5" w:rsidRDefault="00F1477A">
      <w:pPr>
        <w:spacing w:line="360" w:lineRule="auto"/>
        <w:rPr>
          <w:sz w:val="24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3</w:t>
      </w:r>
      <w:r w:rsidR="004973EB">
        <w:rPr>
          <w:sz w:val="24"/>
        </w:rPr>
        <w:t>6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报告中，男性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例（占</w:t>
      </w:r>
      <w:r w:rsidR="004973EB">
        <w:rPr>
          <w:sz w:val="24"/>
        </w:rPr>
        <w:t>36.1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），女性</w:t>
      </w:r>
      <w:r w:rsidR="004973EB">
        <w:rPr>
          <w:sz w:val="24"/>
        </w:rPr>
        <w:t>23</w:t>
      </w:r>
      <w:r>
        <w:rPr>
          <w:rFonts w:hint="eastAsia"/>
          <w:sz w:val="24"/>
        </w:rPr>
        <w:t>例（占</w:t>
      </w:r>
      <w:r w:rsidR="004973EB">
        <w:rPr>
          <w:sz w:val="24"/>
        </w:rPr>
        <w:t>63.9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），患者年龄最小的</w:t>
      </w:r>
      <w:r w:rsidR="004973EB">
        <w:rPr>
          <w:sz w:val="24"/>
        </w:rPr>
        <w:t>3</w:t>
      </w:r>
      <w:r>
        <w:rPr>
          <w:rFonts w:hint="eastAsia"/>
          <w:sz w:val="24"/>
        </w:rPr>
        <w:t>岁，最大的</w:t>
      </w:r>
      <w:r w:rsidR="004973EB">
        <w:rPr>
          <w:sz w:val="24"/>
        </w:rPr>
        <w:t>85</w:t>
      </w:r>
      <w:r>
        <w:rPr>
          <w:rFonts w:hint="eastAsia"/>
          <w:sz w:val="24"/>
        </w:rPr>
        <w:t>岁，患者年龄分布如下表：</w:t>
      </w:r>
    </w:p>
    <w:p w14:paraId="2187B38B" w14:textId="77777777" w:rsidR="000176F5" w:rsidRDefault="00F1477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</w:p>
    <w:p w14:paraId="6DFF9411" w14:textId="77777777" w:rsidR="000176F5" w:rsidRDefault="00F1477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患者年龄分布</w:t>
      </w:r>
    </w:p>
    <w:tbl>
      <w:tblPr>
        <w:tblStyle w:val="a3"/>
        <w:tblpPr w:leftFromText="180" w:rightFromText="180" w:vertAnchor="text" w:horzAnchor="page" w:tblpX="2509" w:tblpY="16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7"/>
        <w:gridCol w:w="1472"/>
        <w:gridCol w:w="1718"/>
      </w:tblGrid>
      <w:tr w:rsidR="000176F5" w14:paraId="13644B5C" w14:textId="77777777">
        <w:tc>
          <w:tcPr>
            <w:tcW w:w="27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E02F57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患者年龄（岁）</w:t>
            </w:r>
          </w:p>
        </w:tc>
        <w:tc>
          <w:tcPr>
            <w:tcW w:w="1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84C418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例数</w:t>
            </w:r>
          </w:p>
        </w:tc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639BFF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占比（</w:t>
            </w:r>
            <w:r>
              <w:rPr>
                <w:rFonts w:hint="eastAsia"/>
                <w:color w:val="000000"/>
                <w:sz w:val="24"/>
              </w:rPr>
              <w:t>%</w:t>
            </w:r>
            <w:r>
              <w:rPr>
                <w:rFonts w:hint="eastAsia"/>
                <w:color w:val="000000"/>
                <w:sz w:val="24"/>
              </w:rPr>
              <w:t>）</w:t>
            </w:r>
          </w:p>
        </w:tc>
      </w:tr>
      <w:tr w:rsidR="000176F5" w14:paraId="003E74BA" w14:textId="77777777">
        <w:tc>
          <w:tcPr>
            <w:tcW w:w="2727" w:type="dxa"/>
            <w:tcBorders>
              <w:top w:val="single" w:sz="4" w:space="0" w:color="auto"/>
            </w:tcBorders>
            <w:shd w:val="clear" w:color="auto" w:fill="auto"/>
          </w:tcPr>
          <w:p w14:paraId="09ABCFB8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0-18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auto"/>
          </w:tcPr>
          <w:p w14:paraId="1F4C8606" w14:textId="7FAD42E2" w:rsidR="000176F5" w:rsidRDefault="004973EB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1718" w:type="dxa"/>
            <w:tcBorders>
              <w:top w:val="single" w:sz="4" w:space="0" w:color="auto"/>
            </w:tcBorders>
            <w:shd w:val="clear" w:color="auto" w:fill="auto"/>
          </w:tcPr>
          <w:p w14:paraId="55BE4A8A" w14:textId="0632F7A7" w:rsidR="000176F5" w:rsidRDefault="004973EB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16.7</w:t>
            </w:r>
          </w:p>
        </w:tc>
      </w:tr>
      <w:tr w:rsidR="000176F5" w14:paraId="7E85AA92" w14:textId="77777777">
        <w:tc>
          <w:tcPr>
            <w:tcW w:w="2727" w:type="dxa"/>
            <w:shd w:val="clear" w:color="auto" w:fill="auto"/>
          </w:tcPr>
          <w:p w14:paraId="7710C49B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19-60</w:t>
            </w:r>
          </w:p>
        </w:tc>
        <w:tc>
          <w:tcPr>
            <w:tcW w:w="1472" w:type="dxa"/>
            <w:shd w:val="clear" w:color="auto" w:fill="auto"/>
          </w:tcPr>
          <w:p w14:paraId="595361A0" w14:textId="584309BB" w:rsidR="000176F5" w:rsidRDefault="004973EB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</w:t>
            </w:r>
          </w:p>
        </w:tc>
        <w:tc>
          <w:tcPr>
            <w:tcW w:w="1718" w:type="dxa"/>
            <w:shd w:val="clear" w:color="auto" w:fill="auto"/>
          </w:tcPr>
          <w:p w14:paraId="6ED50DF7" w14:textId="00B157EC" w:rsidR="000176F5" w:rsidRDefault="004973EB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22.2</w:t>
            </w:r>
          </w:p>
        </w:tc>
      </w:tr>
      <w:tr w:rsidR="000176F5" w14:paraId="54D8A3B6" w14:textId="77777777">
        <w:tc>
          <w:tcPr>
            <w:tcW w:w="2727" w:type="dxa"/>
            <w:shd w:val="clear" w:color="auto" w:fill="auto"/>
          </w:tcPr>
          <w:p w14:paraId="68EDAE54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60-70</w:t>
            </w:r>
          </w:p>
        </w:tc>
        <w:tc>
          <w:tcPr>
            <w:tcW w:w="1472" w:type="dxa"/>
            <w:shd w:val="clear" w:color="auto" w:fill="auto"/>
          </w:tcPr>
          <w:p w14:paraId="0145C022" w14:textId="0F7802A9" w:rsidR="000176F5" w:rsidRDefault="004973EB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</w:t>
            </w:r>
          </w:p>
        </w:tc>
        <w:tc>
          <w:tcPr>
            <w:tcW w:w="1718" w:type="dxa"/>
            <w:shd w:val="clear" w:color="auto" w:fill="auto"/>
          </w:tcPr>
          <w:p w14:paraId="6BE8963D" w14:textId="65030497" w:rsidR="000176F5" w:rsidRDefault="004973EB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22.2</w:t>
            </w:r>
          </w:p>
        </w:tc>
      </w:tr>
      <w:tr w:rsidR="000176F5" w14:paraId="3727FBB2" w14:textId="77777777">
        <w:tc>
          <w:tcPr>
            <w:tcW w:w="2727" w:type="dxa"/>
            <w:shd w:val="clear" w:color="auto" w:fill="auto"/>
          </w:tcPr>
          <w:p w14:paraId="160D64BF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70</w:t>
            </w:r>
            <w:r>
              <w:rPr>
                <w:rFonts w:hint="eastAsia"/>
                <w:color w:val="000000"/>
                <w:sz w:val="24"/>
              </w:rPr>
              <w:t>岁以上</w:t>
            </w:r>
          </w:p>
        </w:tc>
        <w:tc>
          <w:tcPr>
            <w:tcW w:w="1472" w:type="dxa"/>
            <w:shd w:val="clear" w:color="auto" w:fill="auto"/>
          </w:tcPr>
          <w:p w14:paraId="1ADEAEE2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14</w:t>
            </w:r>
          </w:p>
        </w:tc>
        <w:tc>
          <w:tcPr>
            <w:tcW w:w="1718" w:type="dxa"/>
            <w:shd w:val="clear" w:color="auto" w:fill="auto"/>
          </w:tcPr>
          <w:p w14:paraId="6BE7D01E" w14:textId="5B088079" w:rsidR="000176F5" w:rsidRDefault="004973EB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38.9</w:t>
            </w:r>
          </w:p>
        </w:tc>
      </w:tr>
      <w:tr w:rsidR="000176F5" w14:paraId="71A2346D" w14:textId="77777777"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13EFAB9E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合计</w:t>
            </w:r>
          </w:p>
        </w:tc>
        <w:tc>
          <w:tcPr>
            <w:tcW w:w="1472" w:type="dxa"/>
            <w:tcBorders>
              <w:bottom w:val="single" w:sz="4" w:space="0" w:color="auto"/>
            </w:tcBorders>
            <w:shd w:val="clear" w:color="auto" w:fill="auto"/>
          </w:tcPr>
          <w:p w14:paraId="6C97789B" w14:textId="77DCBDCB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  <w:r w:rsidR="004973EB">
              <w:rPr>
                <w:color w:val="000000"/>
                <w:sz w:val="24"/>
              </w:rPr>
              <w:t>6</w:t>
            </w:r>
          </w:p>
        </w:tc>
        <w:tc>
          <w:tcPr>
            <w:tcW w:w="1718" w:type="dxa"/>
            <w:tcBorders>
              <w:bottom w:val="single" w:sz="4" w:space="0" w:color="auto"/>
            </w:tcBorders>
            <w:shd w:val="clear" w:color="auto" w:fill="auto"/>
          </w:tcPr>
          <w:p w14:paraId="09FAB298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100</w:t>
            </w:r>
          </w:p>
        </w:tc>
      </w:tr>
    </w:tbl>
    <w:p w14:paraId="76C2372D" w14:textId="77777777" w:rsidR="000176F5" w:rsidRDefault="000176F5">
      <w:pPr>
        <w:spacing w:line="360" w:lineRule="auto"/>
        <w:rPr>
          <w:sz w:val="24"/>
        </w:rPr>
      </w:pPr>
    </w:p>
    <w:p w14:paraId="13CBA3AD" w14:textId="77777777" w:rsidR="000176F5" w:rsidRDefault="000176F5">
      <w:pPr>
        <w:spacing w:line="360" w:lineRule="auto"/>
        <w:rPr>
          <w:sz w:val="24"/>
        </w:rPr>
      </w:pPr>
    </w:p>
    <w:p w14:paraId="0652CDBD" w14:textId="77777777" w:rsidR="000176F5" w:rsidRDefault="000176F5">
      <w:pPr>
        <w:spacing w:line="360" w:lineRule="auto"/>
        <w:rPr>
          <w:sz w:val="24"/>
        </w:rPr>
      </w:pPr>
    </w:p>
    <w:p w14:paraId="31AB6D61" w14:textId="77777777" w:rsidR="000176F5" w:rsidRDefault="000176F5">
      <w:pPr>
        <w:spacing w:line="360" w:lineRule="auto"/>
        <w:rPr>
          <w:sz w:val="24"/>
        </w:rPr>
      </w:pPr>
    </w:p>
    <w:p w14:paraId="188FF20A" w14:textId="77777777" w:rsidR="000176F5" w:rsidRDefault="000176F5">
      <w:pPr>
        <w:spacing w:line="360" w:lineRule="auto"/>
      </w:pPr>
    </w:p>
    <w:p w14:paraId="65452E44" w14:textId="77777777" w:rsidR="000176F5" w:rsidRDefault="00F1477A">
      <w:pPr>
        <w:tabs>
          <w:tab w:val="left" w:pos="1419"/>
        </w:tabs>
        <w:spacing w:line="360" w:lineRule="auto"/>
        <w:jc w:val="left"/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</w:rPr>
        <w:t xml:space="preserve">  </w:t>
      </w:r>
    </w:p>
    <w:p w14:paraId="2A0CCF3B" w14:textId="77777777" w:rsidR="000176F5" w:rsidRDefault="00F1477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药品信息</w:t>
      </w:r>
    </w:p>
    <w:p w14:paraId="4876CCD2" w14:textId="77777777" w:rsidR="000176F5" w:rsidRDefault="00F1477A">
      <w:pPr>
        <w:numPr>
          <w:ilvl w:val="0"/>
          <w:numId w:val="1"/>
        </w:numPr>
        <w:tabs>
          <w:tab w:val="left" w:pos="1419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发生不良反应的药品种类</w:t>
      </w:r>
    </w:p>
    <w:p w14:paraId="109C6B95" w14:textId="1849A038" w:rsidR="000176F5" w:rsidRDefault="00F1477A">
      <w:pPr>
        <w:tabs>
          <w:tab w:val="left" w:pos="1419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报告中，发生不良反应例数较多的药品依次为</w:t>
      </w:r>
      <w:r w:rsidR="00AA3317">
        <w:rPr>
          <w:rFonts w:hint="eastAsia"/>
          <w:sz w:val="24"/>
        </w:rPr>
        <w:t>心脑血管系统药物</w:t>
      </w:r>
      <w:r>
        <w:rPr>
          <w:rFonts w:hint="eastAsia"/>
          <w:sz w:val="24"/>
        </w:rPr>
        <w:t>（占比</w:t>
      </w:r>
      <w:r w:rsidR="00C0148B">
        <w:rPr>
          <w:sz w:val="24"/>
        </w:rPr>
        <w:t>27.8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），</w:t>
      </w:r>
      <w:r w:rsidR="00AA3317">
        <w:rPr>
          <w:rFonts w:hint="eastAsia"/>
          <w:sz w:val="24"/>
        </w:rPr>
        <w:t>中成药</w:t>
      </w:r>
      <w:r>
        <w:rPr>
          <w:rFonts w:hint="eastAsia"/>
          <w:sz w:val="24"/>
        </w:rPr>
        <w:t>（占</w:t>
      </w:r>
      <w:r w:rsidR="00C0148B">
        <w:rPr>
          <w:sz w:val="24"/>
        </w:rPr>
        <w:t>22.2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），</w:t>
      </w:r>
      <w:r w:rsidR="00AA3317">
        <w:rPr>
          <w:rFonts w:hint="eastAsia"/>
          <w:sz w:val="24"/>
        </w:rPr>
        <w:t>抗菌药物</w:t>
      </w:r>
      <w:r>
        <w:rPr>
          <w:rFonts w:hint="eastAsia"/>
          <w:sz w:val="24"/>
        </w:rPr>
        <w:t>（占</w:t>
      </w:r>
      <w:r>
        <w:rPr>
          <w:rFonts w:hint="eastAsia"/>
          <w:sz w:val="24"/>
        </w:rPr>
        <w:t>1</w:t>
      </w:r>
      <w:r w:rsidR="00C0148B">
        <w:rPr>
          <w:sz w:val="24"/>
        </w:rPr>
        <w:t>3.9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）。具体内容见表</w:t>
      </w:r>
      <w:r>
        <w:rPr>
          <w:rFonts w:hint="eastAsia"/>
          <w:sz w:val="24"/>
        </w:rPr>
        <w:t xml:space="preserve">2.1. </w:t>
      </w:r>
      <w:r>
        <w:rPr>
          <w:rFonts w:hint="eastAsia"/>
          <w:sz w:val="24"/>
        </w:rPr>
        <w:t>其中抗菌药物共</w:t>
      </w:r>
      <w:r w:rsidR="00AA3317">
        <w:rPr>
          <w:sz w:val="24"/>
        </w:rPr>
        <w:t>5</w:t>
      </w:r>
      <w:r>
        <w:rPr>
          <w:rFonts w:hint="eastAsia"/>
          <w:sz w:val="24"/>
        </w:rPr>
        <w:t>例，分别为</w:t>
      </w:r>
      <w:r w:rsidR="00AA3317">
        <w:rPr>
          <w:rFonts w:hint="eastAsia"/>
          <w:sz w:val="24"/>
        </w:rPr>
        <w:t>头孢羟氨苄片</w:t>
      </w:r>
      <w:r w:rsidR="00AA3317">
        <w:rPr>
          <w:rFonts w:hint="eastAsia"/>
          <w:sz w:val="24"/>
        </w:rPr>
        <w:t>2</w:t>
      </w:r>
      <w:r w:rsidR="00AA3317">
        <w:rPr>
          <w:rFonts w:hint="eastAsia"/>
          <w:sz w:val="24"/>
        </w:rPr>
        <w:t>例，头孢拉定胶囊</w:t>
      </w:r>
      <w:r w:rsidR="00AA3317">
        <w:rPr>
          <w:rFonts w:hint="eastAsia"/>
          <w:sz w:val="24"/>
        </w:rPr>
        <w:t>1</w:t>
      </w:r>
      <w:r w:rsidR="00AA3317">
        <w:rPr>
          <w:rFonts w:hint="eastAsia"/>
          <w:sz w:val="24"/>
        </w:rPr>
        <w:t>例</w:t>
      </w:r>
      <w:r>
        <w:rPr>
          <w:rFonts w:hint="eastAsia"/>
          <w:sz w:val="24"/>
        </w:rPr>
        <w:t>，</w:t>
      </w:r>
      <w:r w:rsidR="00AA3317">
        <w:rPr>
          <w:rFonts w:hint="eastAsia"/>
          <w:sz w:val="24"/>
        </w:rPr>
        <w:t>盐酸</w:t>
      </w:r>
      <w:r>
        <w:rPr>
          <w:rFonts w:hint="eastAsia"/>
          <w:sz w:val="24"/>
        </w:rPr>
        <w:t>左氧氟沙星</w:t>
      </w:r>
      <w:r w:rsidR="00AA3317">
        <w:rPr>
          <w:rFonts w:hint="eastAsia"/>
          <w:sz w:val="24"/>
        </w:rPr>
        <w:t>氯化钠</w:t>
      </w:r>
      <w:r>
        <w:rPr>
          <w:rFonts w:hint="eastAsia"/>
          <w:sz w:val="24"/>
        </w:rPr>
        <w:t>注射液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例，盐酸克林霉素棕榈酸酯分散片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例。</w:t>
      </w:r>
    </w:p>
    <w:p w14:paraId="5BD7FE0E" w14:textId="77777777" w:rsidR="000176F5" w:rsidRDefault="000176F5">
      <w:pPr>
        <w:tabs>
          <w:tab w:val="left" w:pos="1419"/>
        </w:tabs>
        <w:spacing w:line="360" w:lineRule="auto"/>
        <w:ind w:firstLineChars="200" w:firstLine="480"/>
        <w:jc w:val="left"/>
        <w:rPr>
          <w:sz w:val="24"/>
        </w:rPr>
      </w:pPr>
    </w:p>
    <w:p w14:paraId="083A5181" w14:textId="77777777" w:rsidR="000176F5" w:rsidRDefault="00F1477A">
      <w:pPr>
        <w:ind w:firstLine="505"/>
        <w:jc w:val="left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2.1 </w:t>
      </w:r>
      <w:r>
        <w:rPr>
          <w:rFonts w:hint="eastAsia"/>
          <w:sz w:val="24"/>
        </w:rPr>
        <w:t>药品种类分布情况</w:t>
      </w:r>
    </w:p>
    <w:tbl>
      <w:tblPr>
        <w:tblStyle w:val="a3"/>
        <w:tblpPr w:leftFromText="180" w:rightFromText="180" w:vertAnchor="text" w:horzAnchor="page" w:tblpX="2387" w:tblpY="477"/>
        <w:tblOverlap w:val="never"/>
        <w:tblW w:w="0" w:type="auto"/>
        <w:tblLook w:val="04A0" w:firstRow="1" w:lastRow="0" w:firstColumn="1" w:lastColumn="0" w:noHBand="0" w:noVBand="1"/>
      </w:tblPr>
      <w:tblGrid>
        <w:gridCol w:w="2727"/>
        <w:gridCol w:w="1472"/>
        <w:gridCol w:w="1718"/>
      </w:tblGrid>
      <w:tr w:rsidR="000176F5" w14:paraId="0EF81438" w14:textId="77777777"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55835A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药品种类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9CE418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例数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E742BD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占比（</w:t>
            </w:r>
            <w:r>
              <w:rPr>
                <w:rFonts w:hint="eastAsia"/>
                <w:color w:val="000000"/>
                <w:sz w:val="24"/>
              </w:rPr>
              <w:t>%</w:t>
            </w:r>
            <w:r>
              <w:rPr>
                <w:rFonts w:hint="eastAsia"/>
                <w:color w:val="000000"/>
                <w:sz w:val="24"/>
              </w:rPr>
              <w:t>）</w:t>
            </w:r>
          </w:p>
        </w:tc>
      </w:tr>
      <w:tr w:rsidR="00AA3317" w14:paraId="6F1BF729" w14:textId="77777777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C6DBA" w14:textId="0094170B" w:rsidR="00AA3317" w:rsidRDefault="00AA3317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心脑血管系统药物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7A5A0D" w14:textId="01F4C155" w:rsidR="00AA3317" w:rsidRDefault="00AA3317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DD8AA1" w14:textId="62971C6A" w:rsidR="00AA3317" w:rsidRDefault="00CC2C73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27.8</w:t>
            </w:r>
          </w:p>
        </w:tc>
      </w:tr>
      <w:tr w:rsidR="00AA3317" w14:paraId="3F18C830" w14:textId="77777777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E5D456" w14:textId="769A96F8" w:rsidR="00AA3317" w:rsidRDefault="00AA3317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中成药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FA535" w14:textId="16D6B25D" w:rsidR="00AA3317" w:rsidRDefault="00AA3317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1C469" w14:textId="767A978F" w:rsidR="00AA3317" w:rsidRDefault="00CC2C73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22.2</w:t>
            </w:r>
          </w:p>
        </w:tc>
      </w:tr>
      <w:tr w:rsidR="00AA3317" w14:paraId="5B416893" w14:textId="77777777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C49D53" w14:textId="28CED409" w:rsidR="00AA3317" w:rsidRDefault="00AA3317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抗菌药物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4425B" w14:textId="7160F99D" w:rsidR="00AA3317" w:rsidRDefault="00AA3317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0288A7" w14:textId="08643065" w:rsidR="00AA3317" w:rsidRDefault="00CC2C73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13.9</w:t>
            </w:r>
          </w:p>
        </w:tc>
      </w:tr>
      <w:tr w:rsidR="00AA3317" w14:paraId="7E46F0B4" w14:textId="77777777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5BD9E" w14:textId="42E85553" w:rsidR="00AA3317" w:rsidRDefault="00AA3317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呼吸系统疾病药物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585E05" w14:textId="2E614413" w:rsidR="00AA3317" w:rsidRDefault="00AA3317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BB6F6" w14:textId="6DFFAB95" w:rsidR="00AA3317" w:rsidRDefault="00CC2C73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11.1</w:t>
            </w:r>
          </w:p>
        </w:tc>
      </w:tr>
      <w:tr w:rsidR="00AA3317" w14:paraId="668493C3" w14:textId="77777777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D149E" w14:textId="3A68325C" w:rsidR="00AA3317" w:rsidRDefault="00AA3317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抗糖尿病药物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CA22C" w14:textId="7D1A073E" w:rsidR="00AA3317" w:rsidRDefault="00AA3317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C67BB4" w14:textId="37BEC438" w:rsidR="00AA3317" w:rsidRDefault="00CC2C73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11.1</w:t>
            </w:r>
          </w:p>
        </w:tc>
      </w:tr>
      <w:tr w:rsidR="00AA3317" w14:paraId="22198A6A" w14:textId="77777777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2584EC" w14:textId="6B9E6951" w:rsidR="00AA3317" w:rsidRDefault="00AA3317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非甾体抗炎药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69067C" w14:textId="75EE565F" w:rsidR="00AA3317" w:rsidRDefault="00AA3317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A9817" w14:textId="5E467293" w:rsidR="00AA3317" w:rsidRDefault="00CC2C73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8.3</w:t>
            </w:r>
          </w:p>
        </w:tc>
      </w:tr>
      <w:tr w:rsidR="00AA3317" w14:paraId="30BF2D25" w14:textId="77777777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FD91A" w14:textId="34A346AD" w:rsidR="00AA3317" w:rsidRDefault="00AA3317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其他药物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8970E" w14:textId="522239E0" w:rsidR="00AA3317" w:rsidRDefault="00AA3317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7E168" w14:textId="20EC30EE" w:rsidR="00AA3317" w:rsidRDefault="00CC2C73" w:rsidP="00AA33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5.6</w:t>
            </w:r>
          </w:p>
        </w:tc>
      </w:tr>
      <w:tr w:rsidR="000176F5" w14:paraId="5955E569" w14:textId="77777777"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FADCB4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合计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F19499" w14:textId="628EC849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  <w:r w:rsidR="00AA3317">
              <w:rPr>
                <w:color w:val="000000"/>
                <w:sz w:val="24"/>
              </w:rPr>
              <w:t>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DE75B2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100</w:t>
            </w:r>
          </w:p>
        </w:tc>
      </w:tr>
    </w:tbl>
    <w:p w14:paraId="4F4EE35F" w14:textId="77777777" w:rsidR="000176F5" w:rsidRDefault="000176F5"/>
    <w:p w14:paraId="20759632" w14:textId="77777777" w:rsidR="000176F5" w:rsidRDefault="00F1477A">
      <w:pPr>
        <w:tabs>
          <w:tab w:val="left" w:pos="982"/>
        </w:tabs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A0FB81B" w14:textId="77777777" w:rsidR="000176F5" w:rsidRDefault="00F1477A">
      <w:pPr>
        <w:tabs>
          <w:tab w:val="left" w:pos="982"/>
        </w:tabs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</w:p>
    <w:p w14:paraId="2816C9A3" w14:textId="77777777" w:rsidR="000176F5" w:rsidRDefault="000176F5">
      <w:pPr>
        <w:tabs>
          <w:tab w:val="left" w:pos="982"/>
        </w:tabs>
        <w:spacing w:line="360" w:lineRule="auto"/>
        <w:rPr>
          <w:sz w:val="28"/>
          <w:szCs w:val="28"/>
        </w:rPr>
      </w:pPr>
    </w:p>
    <w:p w14:paraId="0D42464A" w14:textId="77777777" w:rsidR="000176F5" w:rsidRDefault="00F1477A">
      <w:pPr>
        <w:tabs>
          <w:tab w:val="left" w:pos="1419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2.2 </w:t>
      </w:r>
      <w:r>
        <w:rPr>
          <w:rFonts w:hint="eastAsia"/>
          <w:sz w:val="24"/>
        </w:rPr>
        <w:t>抗菌药物品种</w:t>
      </w:r>
    </w:p>
    <w:tbl>
      <w:tblPr>
        <w:tblStyle w:val="a3"/>
        <w:tblpPr w:leftFromText="180" w:rightFromText="180" w:vertAnchor="text" w:horzAnchor="page" w:tblpX="2400" w:tblpY="284"/>
        <w:tblOverlap w:val="never"/>
        <w:tblW w:w="0" w:type="auto"/>
        <w:tblLook w:val="04A0" w:firstRow="1" w:lastRow="0" w:firstColumn="1" w:lastColumn="0" w:noHBand="0" w:noVBand="1"/>
      </w:tblPr>
      <w:tblGrid>
        <w:gridCol w:w="3478"/>
        <w:gridCol w:w="968"/>
        <w:gridCol w:w="1471"/>
      </w:tblGrid>
      <w:tr w:rsidR="000176F5" w14:paraId="7A6D40B6" w14:textId="77777777"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8F30B7" w14:textId="77777777" w:rsidR="000176F5" w:rsidRDefault="00F1477A">
            <w:pPr>
              <w:tabs>
                <w:tab w:val="left" w:pos="1200"/>
              </w:tabs>
              <w:ind w:firstLineChars="300" w:firstLine="72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抗菌药物种类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4CC04A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例数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798843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占比（</w:t>
            </w:r>
            <w:r>
              <w:rPr>
                <w:rFonts w:hint="eastAsia"/>
                <w:color w:val="000000"/>
                <w:sz w:val="24"/>
              </w:rPr>
              <w:t>%</w:t>
            </w:r>
            <w:r>
              <w:rPr>
                <w:rFonts w:hint="eastAsia"/>
                <w:color w:val="000000"/>
                <w:sz w:val="24"/>
              </w:rPr>
              <w:t>）</w:t>
            </w:r>
          </w:p>
        </w:tc>
      </w:tr>
      <w:tr w:rsidR="000176F5" w14:paraId="7B28BA38" w14:textId="77777777"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EF971C" w14:textId="1767D053" w:rsidR="000176F5" w:rsidRDefault="00AA3317">
            <w:pPr>
              <w:jc w:val="center"/>
              <w:rPr>
                <w:color w:val="000000"/>
                <w:sz w:val="24"/>
              </w:rPr>
            </w:pPr>
            <w:r w:rsidRPr="00AA3317">
              <w:rPr>
                <w:rFonts w:hint="eastAsia"/>
                <w:color w:val="000000"/>
                <w:sz w:val="24"/>
              </w:rPr>
              <w:t>头孢羟氨苄片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4D8A0" w14:textId="7D37E039" w:rsidR="000176F5" w:rsidRDefault="00AA33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74899" w14:textId="186EF773" w:rsidR="000176F5" w:rsidRDefault="00AA33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40</w:t>
            </w:r>
          </w:p>
        </w:tc>
      </w:tr>
      <w:tr w:rsidR="000176F5" w14:paraId="5CDA9D0B" w14:textId="77777777"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CEFBA" w14:textId="086DD1E1" w:rsidR="000176F5" w:rsidRDefault="00AA331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头孢拉定胶囊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5A1D7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1E84D3" w14:textId="1833318D" w:rsidR="000176F5" w:rsidRDefault="00AA33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20</w:t>
            </w:r>
          </w:p>
        </w:tc>
      </w:tr>
      <w:tr w:rsidR="000176F5" w14:paraId="397B0AE1" w14:textId="77777777"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79BB7" w14:textId="65F1F3AD" w:rsidR="000176F5" w:rsidRDefault="00AA331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盐</w:t>
            </w:r>
            <w:r w:rsidR="00F1477A">
              <w:rPr>
                <w:rFonts w:hint="eastAsia"/>
                <w:color w:val="000000"/>
                <w:sz w:val="24"/>
              </w:rPr>
              <w:t>酸左氧氟沙星</w:t>
            </w:r>
            <w:r>
              <w:rPr>
                <w:rFonts w:hint="eastAsia"/>
                <w:color w:val="000000"/>
                <w:sz w:val="24"/>
              </w:rPr>
              <w:t>氯化钠</w:t>
            </w:r>
            <w:r w:rsidR="00F1477A">
              <w:rPr>
                <w:rFonts w:hint="eastAsia"/>
                <w:color w:val="000000"/>
                <w:sz w:val="24"/>
              </w:rPr>
              <w:t>注射液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ADAAD4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F3758" w14:textId="07D021C7" w:rsidR="000176F5" w:rsidRDefault="00AA33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20</w:t>
            </w:r>
          </w:p>
        </w:tc>
      </w:tr>
      <w:tr w:rsidR="000176F5" w14:paraId="0EF6A996" w14:textId="77777777"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D2065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盐酸克林霉素棕榈酸酯分散片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B0A78B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86C11" w14:textId="382FEEE6" w:rsidR="000176F5" w:rsidRDefault="00AA33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20</w:t>
            </w:r>
          </w:p>
        </w:tc>
      </w:tr>
      <w:tr w:rsidR="000176F5" w14:paraId="52D3283B" w14:textId="77777777"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D49811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合计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DA7CF9" w14:textId="34C8CA8A" w:rsidR="000176F5" w:rsidRDefault="00AA331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F92A28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100</w:t>
            </w:r>
          </w:p>
        </w:tc>
      </w:tr>
    </w:tbl>
    <w:p w14:paraId="09BB4843" w14:textId="77777777" w:rsidR="000176F5" w:rsidRDefault="000176F5">
      <w:pPr>
        <w:tabs>
          <w:tab w:val="left" w:pos="1419"/>
        </w:tabs>
        <w:spacing w:line="360" w:lineRule="auto"/>
        <w:ind w:firstLineChars="200" w:firstLine="480"/>
        <w:jc w:val="left"/>
        <w:rPr>
          <w:sz w:val="24"/>
        </w:rPr>
      </w:pPr>
    </w:p>
    <w:p w14:paraId="70CFEA3C" w14:textId="77777777" w:rsidR="000176F5" w:rsidRDefault="000176F5">
      <w:pPr>
        <w:tabs>
          <w:tab w:val="left" w:pos="1419"/>
        </w:tabs>
        <w:spacing w:line="360" w:lineRule="auto"/>
        <w:ind w:firstLineChars="200" w:firstLine="480"/>
        <w:jc w:val="left"/>
        <w:rPr>
          <w:sz w:val="24"/>
        </w:rPr>
      </w:pPr>
    </w:p>
    <w:p w14:paraId="7359ECF7" w14:textId="77777777" w:rsidR="000176F5" w:rsidRDefault="000176F5">
      <w:pPr>
        <w:tabs>
          <w:tab w:val="left" w:pos="1419"/>
        </w:tabs>
        <w:spacing w:line="360" w:lineRule="auto"/>
        <w:ind w:firstLineChars="200" w:firstLine="480"/>
        <w:jc w:val="left"/>
        <w:rPr>
          <w:sz w:val="24"/>
        </w:rPr>
      </w:pPr>
    </w:p>
    <w:p w14:paraId="5BE4B298" w14:textId="77777777" w:rsidR="000176F5" w:rsidRDefault="000176F5">
      <w:pPr>
        <w:tabs>
          <w:tab w:val="left" w:pos="1419"/>
        </w:tabs>
        <w:spacing w:line="360" w:lineRule="auto"/>
        <w:ind w:firstLineChars="200" w:firstLine="480"/>
        <w:jc w:val="left"/>
        <w:rPr>
          <w:sz w:val="24"/>
        </w:rPr>
      </w:pPr>
    </w:p>
    <w:p w14:paraId="6FA45C97" w14:textId="77777777" w:rsidR="000176F5" w:rsidRDefault="000176F5">
      <w:pPr>
        <w:tabs>
          <w:tab w:val="left" w:pos="1419"/>
        </w:tabs>
        <w:spacing w:line="360" w:lineRule="auto"/>
        <w:ind w:firstLineChars="200" w:firstLine="480"/>
        <w:jc w:val="left"/>
        <w:rPr>
          <w:sz w:val="24"/>
        </w:rPr>
      </w:pPr>
    </w:p>
    <w:p w14:paraId="0F80F1DD" w14:textId="77777777" w:rsidR="000176F5" w:rsidRDefault="000176F5">
      <w:pPr>
        <w:tabs>
          <w:tab w:val="left" w:pos="1419"/>
        </w:tabs>
        <w:spacing w:line="360" w:lineRule="auto"/>
        <w:ind w:firstLineChars="200" w:firstLine="480"/>
        <w:jc w:val="left"/>
        <w:rPr>
          <w:sz w:val="24"/>
        </w:rPr>
      </w:pPr>
    </w:p>
    <w:p w14:paraId="60CB5911" w14:textId="77777777" w:rsidR="000176F5" w:rsidRDefault="00F1477A">
      <w:pPr>
        <w:numPr>
          <w:ilvl w:val="0"/>
          <w:numId w:val="1"/>
        </w:numPr>
        <w:tabs>
          <w:tab w:val="left" w:pos="1419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给药途径</w:t>
      </w:r>
    </w:p>
    <w:p w14:paraId="7424BA56" w14:textId="27A9F628" w:rsidR="000176F5" w:rsidRDefault="00F1477A">
      <w:pPr>
        <w:tabs>
          <w:tab w:val="left" w:pos="1419"/>
        </w:tabs>
        <w:spacing w:line="360" w:lineRule="auto"/>
        <w:ind w:leftChars="200" w:left="420" w:firstLineChars="200" w:firstLine="480"/>
        <w:jc w:val="left"/>
        <w:rPr>
          <w:sz w:val="24"/>
        </w:rPr>
      </w:pPr>
      <w:r>
        <w:rPr>
          <w:rFonts w:hint="eastAsia"/>
          <w:sz w:val="24"/>
        </w:rPr>
        <w:t>报告中涉及的给药途径有口服给药、静脉滴注、吸入给药、局部外用给药等，其中占比最高的分别是口服给药（</w:t>
      </w:r>
      <w:r>
        <w:rPr>
          <w:rFonts w:hint="eastAsia"/>
          <w:sz w:val="24"/>
        </w:rPr>
        <w:t>63.</w:t>
      </w:r>
      <w:r w:rsidR="009137D2">
        <w:rPr>
          <w:sz w:val="24"/>
        </w:rPr>
        <w:t>9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）和静脉滴注（</w:t>
      </w:r>
      <w:r w:rsidR="009137D2">
        <w:rPr>
          <w:sz w:val="24"/>
        </w:rPr>
        <w:t>16.7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）。具体见表</w:t>
      </w:r>
      <w:r>
        <w:rPr>
          <w:rFonts w:hint="eastAsia"/>
          <w:sz w:val="24"/>
        </w:rPr>
        <w:t>2.3.</w:t>
      </w:r>
    </w:p>
    <w:p w14:paraId="400D7B4A" w14:textId="77777777" w:rsidR="000176F5" w:rsidRDefault="000176F5">
      <w:pPr>
        <w:tabs>
          <w:tab w:val="left" w:pos="859"/>
        </w:tabs>
        <w:spacing w:line="360" w:lineRule="auto"/>
        <w:jc w:val="left"/>
      </w:pPr>
    </w:p>
    <w:p w14:paraId="603F9E12" w14:textId="77777777" w:rsidR="000176F5" w:rsidRDefault="00F1477A">
      <w:pPr>
        <w:tabs>
          <w:tab w:val="left" w:pos="859"/>
        </w:tabs>
        <w:spacing w:line="360" w:lineRule="auto"/>
        <w:ind w:firstLineChars="200" w:firstLine="480"/>
        <w:jc w:val="left"/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2.3 </w:t>
      </w:r>
      <w:r>
        <w:rPr>
          <w:rFonts w:hint="eastAsia"/>
          <w:sz w:val="24"/>
        </w:rPr>
        <w:t>给药途径分布情况</w:t>
      </w:r>
    </w:p>
    <w:tbl>
      <w:tblPr>
        <w:tblStyle w:val="a3"/>
        <w:tblpPr w:leftFromText="180" w:rightFromText="180" w:vertAnchor="text" w:horzAnchor="page" w:tblpX="2482" w:tblpY="247"/>
        <w:tblOverlap w:val="never"/>
        <w:tblW w:w="0" w:type="auto"/>
        <w:tblLook w:val="04A0" w:firstRow="1" w:lastRow="0" w:firstColumn="1" w:lastColumn="0" w:noHBand="0" w:noVBand="1"/>
      </w:tblPr>
      <w:tblGrid>
        <w:gridCol w:w="2727"/>
        <w:gridCol w:w="1472"/>
        <w:gridCol w:w="1718"/>
      </w:tblGrid>
      <w:tr w:rsidR="000176F5" w14:paraId="6756A19D" w14:textId="77777777"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A010BA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给药途径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AE7089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例数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1FFDC0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占比（</w:t>
            </w:r>
            <w:r>
              <w:rPr>
                <w:rFonts w:hint="eastAsia"/>
                <w:color w:val="000000"/>
                <w:sz w:val="24"/>
              </w:rPr>
              <w:t>%</w:t>
            </w:r>
            <w:r>
              <w:rPr>
                <w:rFonts w:hint="eastAsia"/>
                <w:color w:val="000000"/>
                <w:sz w:val="24"/>
              </w:rPr>
              <w:t>）</w:t>
            </w:r>
          </w:p>
        </w:tc>
      </w:tr>
      <w:tr w:rsidR="00C0148B" w14:paraId="7E73EBEC" w14:textId="77777777" w:rsidTr="006414F9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82EF69" w14:textId="501EC2B0" w:rsidR="00C0148B" w:rsidRDefault="00C0148B" w:rsidP="00C0148B">
            <w:pPr>
              <w:jc w:val="center"/>
              <w:rPr>
                <w:color w:val="000000"/>
                <w:sz w:val="24"/>
              </w:rPr>
            </w:pPr>
            <w:r w:rsidRPr="00C0148B">
              <w:rPr>
                <w:rFonts w:hint="eastAsia"/>
                <w:color w:val="000000"/>
                <w:sz w:val="24"/>
              </w:rPr>
              <w:t>口服给药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74DCA" w14:textId="24F339F8" w:rsidR="00C0148B" w:rsidRDefault="00C0148B" w:rsidP="00C0148B">
            <w:pPr>
              <w:jc w:val="center"/>
              <w:rPr>
                <w:color w:val="000000"/>
                <w:sz w:val="24"/>
              </w:rPr>
            </w:pPr>
            <w:r w:rsidRPr="00C0148B">
              <w:rPr>
                <w:rFonts w:hint="eastAsia"/>
                <w:color w:val="000000"/>
                <w:sz w:val="24"/>
              </w:rPr>
              <w:t>23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DFEC2A" w14:textId="24FD3E58" w:rsidR="00C0148B" w:rsidRDefault="00C0148B" w:rsidP="00C0148B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63.9</w:t>
            </w:r>
          </w:p>
        </w:tc>
      </w:tr>
      <w:tr w:rsidR="00C0148B" w14:paraId="00438BD5" w14:textId="77777777" w:rsidTr="006414F9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2EAB07" w14:textId="00AFDEF8" w:rsidR="00C0148B" w:rsidRDefault="00C0148B" w:rsidP="00C0148B">
            <w:pPr>
              <w:jc w:val="center"/>
              <w:rPr>
                <w:color w:val="000000"/>
                <w:sz w:val="24"/>
              </w:rPr>
            </w:pPr>
            <w:r w:rsidRPr="00C0148B">
              <w:rPr>
                <w:rFonts w:hint="eastAsia"/>
                <w:color w:val="000000"/>
                <w:sz w:val="24"/>
              </w:rPr>
              <w:t>静脉滴注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413C4" w14:textId="67A73716" w:rsidR="00C0148B" w:rsidRDefault="00C0148B" w:rsidP="00C0148B">
            <w:pPr>
              <w:jc w:val="center"/>
              <w:rPr>
                <w:color w:val="000000"/>
                <w:sz w:val="24"/>
              </w:rPr>
            </w:pPr>
            <w:r w:rsidRPr="00C0148B">
              <w:rPr>
                <w:rFonts w:hint="eastAsia"/>
                <w:color w:val="000000"/>
                <w:sz w:val="24"/>
              </w:rPr>
              <w:t>6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73971" w14:textId="1159CEFE" w:rsidR="00C0148B" w:rsidRDefault="00C0148B" w:rsidP="00C0148B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16.7</w:t>
            </w:r>
          </w:p>
        </w:tc>
      </w:tr>
      <w:tr w:rsidR="00C0148B" w14:paraId="63E583D8" w14:textId="77777777" w:rsidTr="006414F9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580D85" w14:textId="3924A6BC" w:rsidR="00C0148B" w:rsidRDefault="00C0148B" w:rsidP="00C0148B">
            <w:pPr>
              <w:jc w:val="center"/>
              <w:rPr>
                <w:color w:val="000000"/>
                <w:sz w:val="24"/>
              </w:rPr>
            </w:pPr>
            <w:r w:rsidRPr="00C0148B">
              <w:rPr>
                <w:rFonts w:hint="eastAsia"/>
                <w:color w:val="000000"/>
                <w:sz w:val="24"/>
              </w:rPr>
              <w:t>外用给药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B886C" w14:textId="5573DCEC" w:rsidR="00C0148B" w:rsidRDefault="00C0148B" w:rsidP="00C0148B">
            <w:pPr>
              <w:jc w:val="center"/>
              <w:rPr>
                <w:color w:val="000000"/>
                <w:sz w:val="24"/>
              </w:rPr>
            </w:pPr>
            <w:r w:rsidRPr="00C0148B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D8F0B" w14:textId="7FF7B2A0" w:rsidR="00C0148B" w:rsidRDefault="00C0148B" w:rsidP="00C0148B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8.3</w:t>
            </w:r>
          </w:p>
        </w:tc>
      </w:tr>
      <w:tr w:rsidR="00C0148B" w14:paraId="363A222C" w14:textId="77777777" w:rsidTr="006414F9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FD00E" w14:textId="69A78AE6" w:rsidR="00C0148B" w:rsidRDefault="00C0148B" w:rsidP="00C0148B">
            <w:pPr>
              <w:jc w:val="center"/>
              <w:rPr>
                <w:color w:val="000000"/>
                <w:sz w:val="24"/>
              </w:rPr>
            </w:pPr>
            <w:r w:rsidRPr="00C0148B">
              <w:rPr>
                <w:rFonts w:hint="eastAsia"/>
                <w:color w:val="000000"/>
                <w:sz w:val="24"/>
              </w:rPr>
              <w:t>吸入给药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D9A14" w14:textId="20B94D96" w:rsidR="00C0148B" w:rsidRDefault="00C0148B" w:rsidP="00C0148B">
            <w:pPr>
              <w:jc w:val="center"/>
              <w:rPr>
                <w:color w:val="000000"/>
                <w:sz w:val="24"/>
              </w:rPr>
            </w:pPr>
            <w:r w:rsidRPr="00C0148B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6CC7CF" w14:textId="241396A7" w:rsidR="00C0148B" w:rsidRDefault="00C0148B" w:rsidP="00C0148B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8.3</w:t>
            </w:r>
          </w:p>
        </w:tc>
      </w:tr>
      <w:tr w:rsidR="00C0148B" w14:paraId="4B02511E" w14:textId="77777777" w:rsidTr="006414F9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DC0E2" w14:textId="21C44C5B" w:rsidR="00C0148B" w:rsidRDefault="00C0148B" w:rsidP="00C0148B">
            <w:pPr>
              <w:jc w:val="center"/>
              <w:rPr>
                <w:color w:val="000000"/>
                <w:sz w:val="24"/>
              </w:rPr>
            </w:pPr>
            <w:r w:rsidRPr="00C0148B">
              <w:rPr>
                <w:rFonts w:hint="eastAsia"/>
                <w:color w:val="000000"/>
                <w:sz w:val="24"/>
              </w:rPr>
              <w:t>其他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D8235" w14:textId="00813A22" w:rsidR="00C0148B" w:rsidRDefault="00C0148B" w:rsidP="00C0148B">
            <w:pPr>
              <w:jc w:val="center"/>
              <w:rPr>
                <w:color w:val="000000"/>
                <w:sz w:val="24"/>
              </w:rPr>
            </w:pPr>
            <w:r w:rsidRPr="00C0148B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18F882" w14:textId="5F87F6DE" w:rsidR="00C0148B" w:rsidRDefault="00C0148B" w:rsidP="00C0148B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2.8</w:t>
            </w:r>
          </w:p>
        </w:tc>
      </w:tr>
      <w:tr w:rsidR="000176F5" w14:paraId="717763F0" w14:textId="77777777"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EEC716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合计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587302" w14:textId="2983A5E0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  <w:r w:rsidR="00C0148B">
              <w:rPr>
                <w:color w:val="000000"/>
                <w:sz w:val="24"/>
              </w:rPr>
              <w:t>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40C94E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100</w:t>
            </w:r>
          </w:p>
        </w:tc>
      </w:tr>
    </w:tbl>
    <w:p w14:paraId="0C41EDA5" w14:textId="77777777" w:rsidR="000176F5" w:rsidRDefault="000176F5">
      <w:pPr>
        <w:tabs>
          <w:tab w:val="left" w:pos="859"/>
        </w:tabs>
        <w:spacing w:line="360" w:lineRule="auto"/>
        <w:jc w:val="left"/>
      </w:pPr>
    </w:p>
    <w:p w14:paraId="5846855E" w14:textId="77777777" w:rsidR="000176F5" w:rsidRDefault="000176F5">
      <w:pPr>
        <w:spacing w:line="360" w:lineRule="auto"/>
      </w:pPr>
    </w:p>
    <w:p w14:paraId="24774A5B" w14:textId="77777777" w:rsidR="000176F5" w:rsidRDefault="000176F5">
      <w:pPr>
        <w:spacing w:line="360" w:lineRule="auto"/>
      </w:pPr>
    </w:p>
    <w:p w14:paraId="0F6C4B6B" w14:textId="77777777" w:rsidR="000176F5" w:rsidRDefault="000176F5">
      <w:pPr>
        <w:spacing w:line="360" w:lineRule="auto"/>
      </w:pPr>
    </w:p>
    <w:p w14:paraId="489610DA" w14:textId="77777777" w:rsidR="000176F5" w:rsidRDefault="000176F5">
      <w:pPr>
        <w:spacing w:line="360" w:lineRule="auto"/>
      </w:pPr>
    </w:p>
    <w:p w14:paraId="401151E3" w14:textId="77777777" w:rsidR="000176F5" w:rsidRDefault="000176F5">
      <w:pPr>
        <w:spacing w:line="360" w:lineRule="auto"/>
      </w:pPr>
    </w:p>
    <w:p w14:paraId="737F515F" w14:textId="77777777" w:rsidR="000176F5" w:rsidRDefault="000176F5">
      <w:pPr>
        <w:spacing w:line="360" w:lineRule="auto"/>
        <w:rPr>
          <w:sz w:val="28"/>
          <w:szCs w:val="28"/>
        </w:rPr>
      </w:pPr>
    </w:p>
    <w:p w14:paraId="76619688" w14:textId="507D83EA" w:rsidR="000176F5" w:rsidRDefault="00F1477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不良反应种类</w:t>
      </w:r>
    </w:p>
    <w:p w14:paraId="18D8C456" w14:textId="69350149" w:rsidR="000176F5" w:rsidRDefault="00905F7B" w:rsidP="00905F7B">
      <w:pPr>
        <w:spacing w:line="360" w:lineRule="auto"/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905F7B">
        <w:rPr>
          <w:sz w:val="24"/>
        </w:rPr>
        <w:t>36</w:t>
      </w:r>
      <w:r w:rsidRPr="00905F7B">
        <w:rPr>
          <w:rFonts w:hint="eastAsia"/>
          <w:sz w:val="24"/>
        </w:rPr>
        <w:t>例不良反应报告中</w:t>
      </w:r>
      <w:r>
        <w:rPr>
          <w:rFonts w:hint="eastAsia"/>
          <w:sz w:val="24"/>
        </w:rPr>
        <w:t>共有新的不良反应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例，一般不良反应</w:t>
      </w:r>
      <w:r>
        <w:rPr>
          <w:rFonts w:hint="eastAsia"/>
          <w:sz w:val="24"/>
        </w:rPr>
        <w:t>3</w:t>
      </w:r>
      <w:r>
        <w:rPr>
          <w:sz w:val="24"/>
        </w:rPr>
        <w:t>1</w:t>
      </w:r>
      <w:r>
        <w:rPr>
          <w:rFonts w:hint="eastAsia"/>
          <w:sz w:val="24"/>
        </w:rPr>
        <w:t>例，</w:t>
      </w:r>
      <w:r w:rsidR="00F1477A">
        <w:rPr>
          <w:rFonts w:hint="eastAsia"/>
          <w:sz w:val="24"/>
        </w:rPr>
        <w:t>报告中不良反应以</w:t>
      </w:r>
      <w:r w:rsidR="00F576AF">
        <w:rPr>
          <w:rFonts w:hint="eastAsia"/>
          <w:sz w:val="24"/>
        </w:rPr>
        <w:t>皮肤及其附件损害</w:t>
      </w:r>
      <w:r w:rsidR="00F1477A">
        <w:rPr>
          <w:rFonts w:hint="eastAsia"/>
          <w:sz w:val="24"/>
        </w:rPr>
        <w:t>较为常见</w:t>
      </w:r>
      <w:r w:rsidR="00AE1F37">
        <w:rPr>
          <w:rFonts w:hint="eastAsia"/>
          <w:sz w:val="24"/>
        </w:rPr>
        <w:t>，共</w:t>
      </w:r>
      <w:r w:rsidR="00F1477A">
        <w:rPr>
          <w:rFonts w:hint="eastAsia"/>
          <w:sz w:val="24"/>
        </w:rPr>
        <w:t>1</w:t>
      </w:r>
      <w:r w:rsidR="00F576AF">
        <w:rPr>
          <w:sz w:val="24"/>
        </w:rPr>
        <w:t>6</w:t>
      </w:r>
      <w:r w:rsidR="00F1477A">
        <w:rPr>
          <w:rFonts w:hint="eastAsia"/>
          <w:sz w:val="24"/>
        </w:rPr>
        <w:t>例，其余依次为</w:t>
      </w:r>
      <w:r w:rsidR="00F576AF">
        <w:rPr>
          <w:rFonts w:hint="eastAsia"/>
          <w:sz w:val="24"/>
        </w:rPr>
        <w:t>消化系统损害</w:t>
      </w:r>
      <w:r w:rsidR="00F1477A">
        <w:rPr>
          <w:rFonts w:hint="eastAsia"/>
          <w:sz w:val="24"/>
        </w:rPr>
        <w:t>（</w:t>
      </w:r>
      <w:r w:rsidR="00F1477A">
        <w:rPr>
          <w:rFonts w:hint="eastAsia"/>
          <w:sz w:val="24"/>
        </w:rPr>
        <w:t>9</w:t>
      </w:r>
      <w:r w:rsidR="00F1477A">
        <w:rPr>
          <w:rFonts w:hint="eastAsia"/>
          <w:sz w:val="24"/>
        </w:rPr>
        <w:t>例），神经系统损害（</w:t>
      </w:r>
      <w:r w:rsidR="00F1477A">
        <w:rPr>
          <w:rFonts w:hint="eastAsia"/>
          <w:sz w:val="24"/>
        </w:rPr>
        <w:t>5</w:t>
      </w:r>
      <w:r w:rsidR="00F1477A">
        <w:rPr>
          <w:rFonts w:hint="eastAsia"/>
          <w:sz w:val="24"/>
        </w:rPr>
        <w:t>例），具体类型见表</w:t>
      </w:r>
      <w:r w:rsidR="00F1477A">
        <w:rPr>
          <w:rFonts w:hint="eastAsia"/>
          <w:sz w:val="24"/>
        </w:rPr>
        <w:t>3</w:t>
      </w:r>
      <w:r w:rsidR="00F1477A">
        <w:rPr>
          <w:rFonts w:hint="eastAsia"/>
          <w:sz w:val="24"/>
        </w:rPr>
        <w:t>。不良反应的转归方面，痊愈</w:t>
      </w:r>
      <w:r w:rsidR="00F576AF">
        <w:rPr>
          <w:sz w:val="24"/>
        </w:rPr>
        <w:t>33</w:t>
      </w:r>
      <w:r w:rsidR="00F1477A">
        <w:rPr>
          <w:rFonts w:hint="eastAsia"/>
          <w:sz w:val="24"/>
        </w:rPr>
        <w:t>例，好转</w:t>
      </w:r>
      <w:r w:rsidR="00F1477A">
        <w:rPr>
          <w:rFonts w:hint="eastAsia"/>
          <w:sz w:val="24"/>
        </w:rPr>
        <w:t>3</w:t>
      </w:r>
      <w:r w:rsidR="00F1477A">
        <w:rPr>
          <w:rFonts w:hint="eastAsia"/>
          <w:sz w:val="24"/>
        </w:rPr>
        <w:t>例，后经随访无死亡和后遗症出现。</w:t>
      </w:r>
    </w:p>
    <w:p w14:paraId="4EF0E47E" w14:textId="77777777" w:rsidR="000176F5" w:rsidRDefault="000176F5">
      <w:pPr>
        <w:tabs>
          <w:tab w:val="left" w:pos="859"/>
        </w:tabs>
        <w:spacing w:line="360" w:lineRule="auto"/>
        <w:ind w:firstLineChars="200" w:firstLine="480"/>
        <w:jc w:val="left"/>
        <w:rPr>
          <w:sz w:val="24"/>
        </w:rPr>
      </w:pPr>
    </w:p>
    <w:p w14:paraId="0A7A9A08" w14:textId="77777777" w:rsidR="000176F5" w:rsidRDefault="00F1477A">
      <w:pPr>
        <w:tabs>
          <w:tab w:val="left" w:pos="859"/>
        </w:tabs>
        <w:spacing w:line="360" w:lineRule="auto"/>
        <w:ind w:firstLineChars="200" w:firstLine="480"/>
        <w:jc w:val="left"/>
      </w:pPr>
      <w:r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不良反应种类</w:t>
      </w:r>
    </w:p>
    <w:tbl>
      <w:tblPr>
        <w:tblStyle w:val="a3"/>
        <w:tblpPr w:leftFromText="180" w:rightFromText="180" w:vertAnchor="text" w:horzAnchor="page" w:tblpX="2209" w:tblpY="330"/>
        <w:tblOverlap w:val="never"/>
        <w:tblW w:w="0" w:type="auto"/>
        <w:tblLook w:val="04A0" w:firstRow="1" w:lastRow="0" w:firstColumn="1" w:lastColumn="0" w:noHBand="0" w:noVBand="1"/>
      </w:tblPr>
      <w:tblGrid>
        <w:gridCol w:w="2727"/>
        <w:gridCol w:w="1472"/>
        <w:gridCol w:w="3642"/>
      </w:tblGrid>
      <w:tr w:rsidR="000176F5" w14:paraId="11A0A92B" w14:textId="77777777"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73D9BC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系统损害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74B6F3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例数</w:t>
            </w:r>
          </w:p>
        </w:tc>
        <w:tc>
          <w:tcPr>
            <w:tcW w:w="3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9B3DDA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不良反应名称</w:t>
            </w:r>
          </w:p>
        </w:tc>
      </w:tr>
      <w:tr w:rsidR="000176F5" w14:paraId="7F7A7739" w14:textId="77777777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2B26B" w14:textId="77777777" w:rsidR="000176F5" w:rsidRDefault="00F1477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皮肤及其附件损害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538D16" w14:textId="040446FF" w:rsidR="000176F5" w:rsidRDefault="00F576A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16</w:t>
            </w: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85324" w14:textId="77777777" w:rsidR="000176F5" w:rsidRDefault="00F1477A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瘙痒、皮疹、皮肤潮红</w:t>
            </w:r>
          </w:p>
        </w:tc>
      </w:tr>
      <w:tr w:rsidR="00F576AF" w14:paraId="4B927373" w14:textId="77777777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19B666" w14:textId="79C49BAC" w:rsidR="00F576AF" w:rsidRDefault="00F576AF" w:rsidP="00F576AF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消化系统</w:t>
            </w:r>
            <w:r w:rsidR="00AE1F37">
              <w:rPr>
                <w:rFonts w:hint="eastAsia"/>
                <w:color w:val="000000"/>
                <w:sz w:val="24"/>
              </w:rPr>
              <w:t>不良反应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773773" w14:textId="25B52973" w:rsidR="00F576AF" w:rsidRDefault="00F576AF" w:rsidP="00F576A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</w:t>
            </w: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73329" w14:textId="3203DC6C" w:rsidR="00F576AF" w:rsidRDefault="00F576AF" w:rsidP="00F576AF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上腹不适、腹胀、恶心、嗳气</w:t>
            </w:r>
          </w:p>
        </w:tc>
      </w:tr>
      <w:tr w:rsidR="00F576AF" w14:paraId="168BD0AF" w14:textId="77777777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CBC2C" w14:textId="1F03A2FB" w:rsidR="00F576AF" w:rsidRDefault="00F576AF" w:rsidP="00F576AF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神经系统</w:t>
            </w:r>
            <w:r w:rsidR="00AE1F37">
              <w:rPr>
                <w:rFonts w:hint="eastAsia"/>
                <w:color w:val="000000"/>
                <w:sz w:val="24"/>
              </w:rPr>
              <w:t>不良反应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0B9E34" w14:textId="77777777" w:rsidR="00F576AF" w:rsidRDefault="00F576AF" w:rsidP="00F576AF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C10FE6" w14:textId="79C096C4" w:rsidR="00F576AF" w:rsidRDefault="00F576AF" w:rsidP="00F576AF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头痛、头晕</w:t>
            </w:r>
          </w:p>
        </w:tc>
      </w:tr>
      <w:tr w:rsidR="00F576AF" w14:paraId="3DEA90E0" w14:textId="77777777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1933B" w14:textId="77777777" w:rsidR="00F576AF" w:rsidRDefault="00F576AF" w:rsidP="00F576AF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循环系统不良反应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A071D" w14:textId="12F671FD" w:rsidR="00F576AF" w:rsidRDefault="00F576AF" w:rsidP="00F576A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FC4B8" w14:textId="77777777" w:rsidR="00F576AF" w:rsidRDefault="00F576AF" w:rsidP="00F576AF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心慌、胸闷</w:t>
            </w:r>
          </w:p>
        </w:tc>
      </w:tr>
      <w:tr w:rsidR="00F576AF" w14:paraId="725663B5" w14:textId="77777777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4A688" w14:textId="77777777" w:rsidR="00F576AF" w:rsidRDefault="00F576AF" w:rsidP="00F576AF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全身性反应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35A259" w14:textId="3123F22B" w:rsidR="00F576AF" w:rsidRDefault="00F576AF" w:rsidP="00F576A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A1FC3C" w14:textId="26B0F145" w:rsidR="00F576AF" w:rsidRDefault="00F576AF" w:rsidP="00F576AF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乏力、酮体升高</w:t>
            </w:r>
          </w:p>
        </w:tc>
      </w:tr>
      <w:tr w:rsidR="00F576AF" w14:paraId="3DBC5CE7" w14:textId="77777777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3C15C1" w14:textId="77777777" w:rsidR="00F576AF" w:rsidRDefault="00F576AF" w:rsidP="00F576AF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其他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B88D2" w14:textId="77777777" w:rsidR="00F576AF" w:rsidRDefault="00F576AF" w:rsidP="00F576AF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CB5EE" w14:textId="3B94BEE4" w:rsidR="00F576AF" w:rsidRDefault="00F576AF" w:rsidP="00F576AF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舌麻木、尿路感染、牙龈肿痛</w:t>
            </w:r>
          </w:p>
        </w:tc>
      </w:tr>
      <w:tr w:rsidR="00F576AF" w14:paraId="76F3DECB" w14:textId="77777777"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44E3E7" w14:textId="77777777" w:rsidR="00F576AF" w:rsidRDefault="00F576AF" w:rsidP="00F576AF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合计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E81AE4" w14:textId="2BDF3567" w:rsidR="00F576AF" w:rsidRDefault="00F576AF" w:rsidP="00F576AF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5C6DF9" w14:textId="77777777" w:rsidR="00F576AF" w:rsidRDefault="00F576AF" w:rsidP="00F576AF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4B6FCD3" w14:textId="77777777" w:rsidR="000176F5" w:rsidRDefault="000176F5">
      <w:pPr>
        <w:spacing w:line="360" w:lineRule="auto"/>
        <w:rPr>
          <w:sz w:val="28"/>
          <w:szCs w:val="28"/>
        </w:rPr>
      </w:pPr>
    </w:p>
    <w:p w14:paraId="7B0DCD7E" w14:textId="77777777" w:rsidR="000176F5" w:rsidRDefault="000176F5">
      <w:pPr>
        <w:spacing w:line="360" w:lineRule="auto"/>
        <w:rPr>
          <w:sz w:val="28"/>
          <w:szCs w:val="28"/>
        </w:rPr>
      </w:pPr>
    </w:p>
    <w:p w14:paraId="5B91465E" w14:textId="77777777" w:rsidR="000176F5" w:rsidRDefault="000176F5">
      <w:pPr>
        <w:spacing w:line="360" w:lineRule="auto"/>
        <w:rPr>
          <w:sz w:val="28"/>
          <w:szCs w:val="28"/>
        </w:rPr>
      </w:pPr>
    </w:p>
    <w:p w14:paraId="6F457E0E" w14:textId="77777777" w:rsidR="000176F5" w:rsidRDefault="000176F5">
      <w:pPr>
        <w:spacing w:line="360" w:lineRule="auto"/>
        <w:rPr>
          <w:sz w:val="28"/>
          <w:szCs w:val="28"/>
        </w:rPr>
      </w:pPr>
    </w:p>
    <w:p w14:paraId="5801CD3B" w14:textId="77777777" w:rsidR="000176F5" w:rsidRDefault="000176F5">
      <w:pPr>
        <w:spacing w:line="360" w:lineRule="auto"/>
        <w:rPr>
          <w:sz w:val="28"/>
          <w:szCs w:val="28"/>
        </w:rPr>
      </w:pPr>
    </w:p>
    <w:p w14:paraId="582B2ADF" w14:textId="77777777" w:rsidR="000176F5" w:rsidRDefault="000176F5">
      <w:pPr>
        <w:spacing w:line="360" w:lineRule="auto"/>
        <w:rPr>
          <w:sz w:val="28"/>
          <w:szCs w:val="28"/>
        </w:rPr>
      </w:pPr>
    </w:p>
    <w:p w14:paraId="0B189012" w14:textId="77777777" w:rsidR="000176F5" w:rsidRDefault="00F1477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总结和分析</w:t>
      </w:r>
    </w:p>
    <w:p w14:paraId="485BBAF6" w14:textId="77777777" w:rsidR="000176F5" w:rsidRDefault="00F1477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4.1 </w:t>
      </w:r>
      <w:r>
        <w:rPr>
          <w:rFonts w:hint="eastAsia"/>
          <w:sz w:val="24"/>
        </w:rPr>
        <w:t>结果分析</w:t>
      </w:r>
    </w:p>
    <w:p w14:paraId="02204098" w14:textId="77777777" w:rsidR="000176F5" w:rsidRDefault="00F1477A">
      <w:pPr>
        <w:spacing w:line="360" w:lineRule="auto"/>
        <w:rPr>
          <w:sz w:val="24"/>
        </w:rPr>
      </w:pPr>
      <w:r>
        <w:rPr>
          <w:rFonts w:hint="eastAsia"/>
          <w:sz w:val="24"/>
        </w:rPr>
        <w:t>4.1.1  ADR</w:t>
      </w:r>
      <w:r>
        <w:rPr>
          <w:rFonts w:hint="eastAsia"/>
          <w:sz w:val="24"/>
        </w:rPr>
        <w:t>与患者的性别和年龄</w:t>
      </w:r>
    </w:p>
    <w:p w14:paraId="2A5AB6CD" w14:textId="2A4EE9EE" w:rsidR="000176F5" w:rsidRDefault="00F1477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从表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可以看出，</w:t>
      </w:r>
      <w:r>
        <w:rPr>
          <w:rFonts w:hint="eastAsia"/>
          <w:sz w:val="24"/>
        </w:rPr>
        <w:t>70</w:t>
      </w:r>
      <w:r>
        <w:rPr>
          <w:rFonts w:hint="eastAsia"/>
          <w:sz w:val="24"/>
        </w:rPr>
        <w:t>岁以上老年人发生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的比例最高，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岁以上老年人发生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的比例超过</w:t>
      </w:r>
      <w:r>
        <w:rPr>
          <w:rFonts w:hint="eastAsia"/>
          <w:sz w:val="24"/>
        </w:rPr>
        <w:t>50%</w:t>
      </w:r>
      <w:r>
        <w:rPr>
          <w:rFonts w:hint="eastAsia"/>
          <w:sz w:val="24"/>
        </w:rPr>
        <w:t>。这可能与老年人肝肾功能减退导致药物代谢及排泄减慢，药物的血药浓度升高；同时老年人的血浆蛋白水平低，结合药物能力弱，血浆中游离药物浓度增加有关。另外老年人基础疾病较多，联用药物种类多，易发生药物相互作用。上述因素的共同影响导致了老年人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发生率偏高。</w:t>
      </w:r>
    </w:p>
    <w:p w14:paraId="7523970F" w14:textId="77777777" w:rsidR="000176F5" w:rsidRDefault="00F1477A">
      <w:pPr>
        <w:spacing w:line="360" w:lineRule="auto"/>
        <w:rPr>
          <w:sz w:val="24"/>
        </w:rPr>
      </w:pPr>
      <w:r>
        <w:rPr>
          <w:rFonts w:hint="eastAsia"/>
          <w:sz w:val="24"/>
        </w:rPr>
        <w:t>4.1.2  ADR</w:t>
      </w:r>
      <w:r>
        <w:rPr>
          <w:rFonts w:hint="eastAsia"/>
          <w:sz w:val="24"/>
        </w:rPr>
        <w:t>与药品种类和给药途径</w:t>
      </w:r>
    </w:p>
    <w:p w14:paraId="71672151" w14:textId="1A1B1C0C" w:rsidR="000176F5" w:rsidRDefault="00F1477A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从表</w:t>
      </w: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可以看出，</w:t>
      </w:r>
      <w:r w:rsidR="009137D2">
        <w:rPr>
          <w:rFonts w:hint="eastAsia"/>
          <w:sz w:val="24"/>
        </w:rPr>
        <w:t>心脑血管系统药物</w:t>
      </w:r>
      <w:r>
        <w:rPr>
          <w:rFonts w:hint="eastAsia"/>
          <w:sz w:val="24"/>
        </w:rPr>
        <w:t>，</w:t>
      </w:r>
      <w:r w:rsidR="009137D2">
        <w:rPr>
          <w:rFonts w:hint="eastAsia"/>
          <w:sz w:val="24"/>
        </w:rPr>
        <w:t>中成药和</w:t>
      </w:r>
      <w:r>
        <w:rPr>
          <w:rFonts w:hint="eastAsia"/>
          <w:sz w:val="24"/>
        </w:rPr>
        <w:t>抗菌药物和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例数较多。这三类药物临床应用广泛，患者基数大，有着较高的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发生率。表</w:t>
      </w:r>
      <w:r>
        <w:rPr>
          <w:rFonts w:hint="eastAsia"/>
          <w:sz w:val="24"/>
        </w:rPr>
        <w:t>2.3</w:t>
      </w:r>
      <w:r>
        <w:rPr>
          <w:rFonts w:hint="eastAsia"/>
          <w:sz w:val="24"/>
        </w:rPr>
        <w:t>显示口服给药和静脉滴注是最容易发生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的给药途径。我院慢病患者较多，口服用药占多数，因此发生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的频率高；而静脉给药时药物直接进入循环系统，无肝脏首过效应，药物发挥作用及引起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较其他给药途径更快更强烈。另外，药物辅料、热原、溶媒的选择、配伍禁忌、药物浓度、配置静脉输液的规范程度等也是静脉给药相较于其他给药途径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更易多发的重要因素。</w:t>
      </w:r>
    </w:p>
    <w:p w14:paraId="1C761ED5" w14:textId="77777777" w:rsidR="000176F5" w:rsidRDefault="00F1477A">
      <w:pPr>
        <w:spacing w:line="360" w:lineRule="auto"/>
        <w:rPr>
          <w:sz w:val="24"/>
        </w:rPr>
      </w:pPr>
      <w:r>
        <w:rPr>
          <w:rFonts w:hint="eastAsia"/>
          <w:sz w:val="24"/>
        </w:rPr>
        <w:t>4.1.3  ADR</w:t>
      </w:r>
      <w:r>
        <w:rPr>
          <w:rFonts w:hint="eastAsia"/>
          <w:sz w:val="24"/>
        </w:rPr>
        <w:t>的临床表现</w:t>
      </w:r>
    </w:p>
    <w:p w14:paraId="7A899556" w14:textId="2ABF2853" w:rsidR="000176F5" w:rsidRDefault="00F1477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发生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的报告中以</w:t>
      </w:r>
      <w:r w:rsidR="00A65D80">
        <w:rPr>
          <w:rFonts w:hint="eastAsia"/>
          <w:sz w:val="24"/>
        </w:rPr>
        <w:t>皮肤和附件损害</w:t>
      </w:r>
      <w:r>
        <w:rPr>
          <w:rFonts w:hint="eastAsia"/>
          <w:sz w:val="24"/>
        </w:rPr>
        <w:t>最为常见，</w:t>
      </w:r>
      <w:r w:rsidR="00A65D80">
        <w:rPr>
          <w:rFonts w:hint="eastAsia"/>
          <w:sz w:val="24"/>
        </w:rPr>
        <w:t>其原因可能与皮肤及附件出现不良反应（皮疹、瘙痒、红肿等）时易被察觉，可以得到及时上报有关。消化系统、神经系统不良反应</w:t>
      </w:r>
      <w:r>
        <w:rPr>
          <w:rFonts w:hint="eastAsia"/>
          <w:sz w:val="24"/>
        </w:rPr>
        <w:t>也较为常见，上述发生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的患者在及时停药和给予相关治疗后，不良反应均得到有效控制。</w:t>
      </w:r>
    </w:p>
    <w:p w14:paraId="0B32FAC8" w14:textId="77777777" w:rsidR="000176F5" w:rsidRDefault="000176F5">
      <w:pPr>
        <w:spacing w:line="360" w:lineRule="auto"/>
        <w:ind w:firstLine="480"/>
        <w:rPr>
          <w:sz w:val="24"/>
        </w:rPr>
      </w:pPr>
    </w:p>
    <w:p w14:paraId="3DCB8BEB" w14:textId="77777777" w:rsidR="000176F5" w:rsidRDefault="00F1477A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4.2 </w:t>
      </w: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报表发现的问题</w:t>
      </w:r>
    </w:p>
    <w:p w14:paraId="44C3983A" w14:textId="77777777" w:rsidR="000176F5" w:rsidRDefault="00F1477A">
      <w:pPr>
        <w:spacing w:line="360" w:lineRule="auto"/>
        <w:ind w:firstLineChars="200" w:firstLine="420"/>
        <w:rPr>
          <w:sz w:val="24"/>
        </w:rPr>
      </w:pPr>
      <w:r>
        <w:rPr>
          <w:rFonts w:hint="eastAsia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上报不良反应品种单一。我院上报的药品不良反应多局限为各种药物致皮疹，恶心，头痛等，且均为轻微症状，停药后可很快缓解。药品不良反应监测是保证临床用药安全的重要环节，医务人员应对不良反应类别的定义严格掌握，积极发现新的、严重的不良反应。</w:t>
      </w:r>
    </w:p>
    <w:p w14:paraId="1EB3CB74" w14:textId="77777777" w:rsidR="000176F5" w:rsidRDefault="00F1477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）上报不良反应不及时。医师应及时上报临床发现的药品不良反应，不要等到月末甚至每季度末集中上报。对于新的和严重的不良反应，要在规定时限内准时上报。</w:t>
      </w:r>
    </w:p>
    <w:p w14:paraId="7290E792" w14:textId="77777777" w:rsidR="000176F5" w:rsidRDefault="00F1477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）个别医师填写表格不规范，特别是药品生产厂家、批准文号、批号等信息填写不全。</w:t>
      </w:r>
    </w:p>
    <w:p w14:paraId="3C10C25A" w14:textId="77777777" w:rsidR="000176F5" w:rsidRDefault="000176F5">
      <w:pPr>
        <w:spacing w:line="360" w:lineRule="auto"/>
        <w:rPr>
          <w:sz w:val="24"/>
        </w:rPr>
      </w:pPr>
    </w:p>
    <w:p w14:paraId="69FCC957" w14:textId="77777777" w:rsidR="000176F5" w:rsidRDefault="00F1477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4.3 </w:t>
      </w:r>
      <w:r>
        <w:rPr>
          <w:rFonts w:hint="eastAsia"/>
          <w:sz w:val="24"/>
        </w:rPr>
        <w:t>总结</w:t>
      </w:r>
    </w:p>
    <w:p w14:paraId="21C4F5DC" w14:textId="77777777" w:rsidR="000176F5" w:rsidRDefault="00F1477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开展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监测工作需要医务人员的共同努力，全面配合。在后续工作中，临床药师需积极进行业务学习，掌握药品的适应症、用法用量、禁忌症等，促进合理用药，增强预防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的能力。对于特殊人群，特别是老年人和静脉用药患者的用药过程中要密切观察病情变化，发生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及时处理。做好药物不良反应事件的管理工作是医务人员的责任，与医疗安全息息相关，希望我院医务人员提高对</w:t>
      </w:r>
      <w:r>
        <w:rPr>
          <w:rFonts w:hint="eastAsia"/>
          <w:sz w:val="24"/>
        </w:rPr>
        <w:t>ADR</w:t>
      </w:r>
      <w:r>
        <w:rPr>
          <w:rFonts w:hint="eastAsia"/>
          <w:sz w:val="24"/>
        </w:rPr>
        <w:t>监测工作的积极性和主动性，进一步推进此项工作，促进临床合理用药。</w:t>
      </w:r>
    </w:p>
    <w:p w14:paraId="1C18B7F0" w14:textId="77777777" w:rsidR="000176F5" w:rsidRDefault="000176F5">
      <w:pPr>
        <w:spacing w:line="360" w:lineRule="auto"/>
        <w:ind w:firstLineChars="200" w:firstLine="480"/>
        <w:jc w:val="right"/>
        <w:rPr>
          <w:sz w:val="24"/>
        </w:rPr>
      </w:pPr>
    </w:p>
    <w:p w14:paraId="7B5542CF" w14:textId="77777777" w:rsidR="000176F5" w:rsidRDefault="000176F5">
      <w:pPr>
        <w:spacing w:line="360" w:lineRule="auto"/>
        <w:ind w:firstLineChars="200" w:firstLine="480"/>
        <w:jc w:val="right"/>
        <w:rPr>
          <w:sz w:val="24"/>
        </w:rPr>
      </w:pPr>
    </w:p>
    <w:p w14:paraId="10F0EA20" w14:textId="77777777" w:rsidR="000176F5" w:rsidRDefault="00F1477A">
      <w:pPr>
        <w:spacing w:line="360" w:lineRule="auto"/>
        <w:ind w:firstLineChars="200" w:firstLine="480"/>
        <w:jc w:val="right"/>
        <w:rPr>
          <w:sz w:val="24"/>
        </w:rPr>
      </w:pPr>
      <w:r>
        <w:rPr>
          <w:rFonts w:hint="eastAsia"/>
          <w:sz w:val="24"/>
        </w:rPr>
        <w:t>李沧区中心医院药剂科</w:t>
      </w:r>
    </w:p>
    <w:p w14:paraId="055288E6" w14:textId="77777777" w:rsidR="000176F5" w:rsidRDefault="00F1477A">
      <w:pPr>
        <w:spacing w:line="360" w:lineRule="auto"/>
        <w:ind w:firstLineChars="200" w:firstLine="480"/>
        <w:jc w:val="right"/>
        <w:rPr>
          <w:sz w:val="24"/>
        </w:rPr>
      </w:pPr>
      <w:r>
        <w:rPr>
          <w:rFonts w:hint="eastAsia"/>
          <w:sz w:val="24"/>
        </w:rPr>
        <w:t>2021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</w:p>
    <w:sectPr w:rsidR="000176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1C0F0"/>
    <w:multiLevelType w:val="singleLevel"/>
    <w:tmpl w:val="1E31C0F0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6F5"/>
    <w:rsid w:val="000176F5"/>
    <w:rsid w:val="004973EB"/>
    <w:rsid w:val="00905F7B"/>
    <w:rsid w:val="009137D2"/>
    <w:rsid w:val="00A65D80"/>
    <w:rsid w:val="00AA3317"/>
    <w:rsid w:val="00AE1F37"/>
    <w:rsid w:val="00C0148B"/>
    <w:rsid w:val="00CC2C73"/>
    <w:rsid w:val="00F1477A"/>
    <w:rsid w:val="00F576AF"/>
    <w:rsid w:val="01635145"/>
    <w:rsid w:val="03225D48"/>
    <w:rsid w:val="04F67470"/>
    <w:rsid w:val="087128A1"/>
    <w:rsid w:val="0F5D117E"/>
    <w:rsid w:val="12CA525A"/>
    <w:rsid w:val="154A2043"/>
    <w:rsid w:val="166211B3"/>
    <w:rsid w:val="189F2BEB"/>
    <w:rsid w:val="19540C30"/>
    <w:rsid w:val="199F6198"/>
    <w:rsid w:val="1B113EAC"/>
    <w:rsid w:val="1D19756D"/>
    <w:rsid w:val="1E84261B"/>
    <w:rsid w:val="1EAD373F"/>
    <w:rsid w:val="225E0598"/>
    <w:rsid w:val="22B47F82"/>
    <w:rsid w:val="249D407A"/>
    <w:rsid w:val="25777E0E"/>
    <w:rsid w:val="2A0B0BE4"/>
    <w:rsid w:val="2ACB03C4"/>
    <w:rsid w:val="2BE26AB7"/>
    <w:rsid w:val="33BB7957"/>
    <w:rsid w:val="3AD55CA8"/>
    <w:rsid w:val="3FAC61FE"/>
    <w:rsid w:val="45E754B2"/>
    <w:rsid w:val="4B9F32D1"/>
    <w:rsid w:val="4D97133A"/>
    <w:rsid w:val="4EA53F56"/>
    <w:rsid w:val="51943EE4"/>
    <w:rsid w:val="5212753D"/>
    <w:rsid w:val="553D6BEC"/>
    <w:rsid w:val="59704F7E"/>
    <w:rsid w:val="598437EC"/>
    <w:rsid w:val="5BB72CCD"/>
    <w:rsid w:val="5F122698"/>
    <w:rsid w:val="60611F81"/>
    <w:rsid w:val="61F0192C"/>
    <w:rsid w:val="61FF0867"/>
    <w:rsid w:val="62E75707"/>
    <w:rsid w:val="6388349B"/>
    <w:rsid w:val="671105DF"/>
    <w:rsid w:val="764B35E7"/>
    <w:rsid w:val="76D1177B"/>
    <w:rsid w:val="78C8158A"/>
    <w:rsid w:val="7DCE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D20EC"/>
  <w15:docId w15:val="{3AD9A48F-1C64-4AC1-B5C2-DD73412F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吕文婷</cp:lastModifiedBy>
  <cp:revision>8</cp:revision>
  <dcterms:created xsi:type="dcterms:W3CDTF">2021-06-08T06:11:00Z</dcterms:created>
  <dcterms:modified xsi:type="dcterms:W3CDTF">2021-12-06T13:46:00Z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8999FAECD48F495593359A5D12CE5B6D</vt:lpwstr>
  </property>
</Properties>
</file>