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2022年1-3月药品不良反应分析</w:t>
      </w:r>
    </w:p>
    <w:p>
      <w:pPr>
        <w:pStyle w:val="SourceCode"/>
      </w:pPr>
      <w:r>
        <w:rPr>
          <w:rStyle w:val="VerbatimChar"/>
        </w:rPr>
        <w:t xml:space="preserve">2021年10-12月，我院共向国家药品不良反应监测系统上报药品不良反应（ADR）报告28例。通过对此28例报告进行统计分析，结果如下：</w:t>
      </w:r>
    </w:p>
    <w:bookmarkStart w:id="20" w:name="患者基本信息"/>
    <w:p>
      <w:pPr>
        <w:pStyle w:val="Heading2"/>
      </w:pPr>
      <w:r>
        <w:t xml:space="preserve">1 患者基本信息</w:t>
      </w:r>
    </w:p>
    <w:p>
      <w:pPr>
        <w:pStyle w:val="SourceCode"/>
      </w:pPr>
      <w:r>
        <w:rPr>
          <w:rStyle w:val="VerbatimChar"/>
        </w:rPr>
        <w:t xml:space="preserve">在28例ADR报告中，男性15例（占53.6%），女性13例（占46.4%），患者年龄最小的4岁，最大的91岁，患者年龄分布如下表：</w:t>
      </w:r>
    </w:p>
    <w:p>
      <w:pPr>
        <w:pStyle w:val="SourceCode"/>
      </w:pPr>
      <w:r>
        <w:rPr>
          <w:rStyle w:val="VerbatimChar"/>
        </w:rPr>
        <w:t xml:space="preserve">表1 患者年龄分布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年龄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例数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占比(%)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15-44岁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45-65岁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65岁以上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60.7%</w:t>
            </w:r>
          </w:p>
        </w:tc>
      </w:tr>
    </w:tbl>
    <w:bookmarkEnd w:id="20"/>
    <w:bookmarkStart w:id="23" w:name="药品信息"/>
    <w:p>
      <w:pPr>
        <w:pStyle w:val="Heading2"/>
      </w:pPr>
      <w:r>
        <w:t xml:space="preserve">2 药品信息</w:t>
      </w:r>
    </w:p>
    <w:bookmarkStart w:id="21" w:name="发生不良反应的药品种类"/>
    <w:p>
      <w:pPr>
        <w:pStyle w:val="Heading3"/>
      </w:pPr>
      <w:r>
        <w:t xml:space="preserve">2.1 发生不良反应的药品种类</w:t>
      </w:r>
    </w:p>
    <w:p>
      <w:pPr>
        <w:pStyle w:val="SourceCode"/>
      </w:pPr>
      <w:r>
        <w:rPr>
          <w:rStyle w:val="VerbatimChar"/>
        </w:rPr>
        <w:t xml:space="preserve">报告中，发生不良反应例数较多的药品依次为中成药（占28.6%），内分泌系统用药（占25.0%）），心血管系统用药（占17.9%））。具体内容见表2.1.其中抗菌药物共2例，具体见表2.2。</w:t>
      </w:r>
    </w:p>
    <w:p>
      <w:pPr>
        <w:pStyle w:val="SourceCode"/>
      </w:pPr>
      <w:r>
        <w:rPr>
          <w:rStyle w:val="VerbatimChar"/>
        </w:rPr>
        <w:t xml:space="preserve">表2.1 药品种类分布情况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6"/>
        <w:gridCol w:w="741"/>
        <w:gridCol w:w="1034"/>
      </w:tblGrid>
      <w:tr>
        <w:trPr>
          <w:cantSplit/>
          <w:trHeight w:val="54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药物种类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数量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占比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中成药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内分泌系统用药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心血管系统用药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呼吸系统用药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抗菌药物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神经系统用药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镇痛药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表2.2 抗菌药物品种表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31"/>
        <w:gridCol w:w="741"/>
        <w:gridCol w:w="1034"/>
      </w:tblGrid>
      <w:tr>
        <w:trPr>
          <w:cantSplit/>
          <w:trHeight w:val="54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药品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数量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占比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头孢羟氨苄片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50.0%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注射用头孢唑林钠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50.0%</w:t>
            </w:r>
          </w:p>
        </w:tc>
      </w:tr>
    </w:tbl>
    <w:bookmarkEnd w:id="21"/>
    <w:bookmarkStart w:id="22" w:name="给药途径"/>
    <w:p>
      <w:pPr>
        <w:pStyle w:val="Heading3"/>
      </w:pPr>
      <w:r>
        <w:t xml:space="preserve">2.2 给药途径</w:t>
      </w:r>
    </w:p>
    <w:p>
      <w:pPr>
        <w:pStyle w:val="SourceCode"/>
      </w:pPr>
      <w:r>
        <w:rPr>
          <w:rStyle w:val="VerbatimChar"/>
        </w:rPr>
        <w:t xml:space="preserve">报告中涉及的给药途径有口服给药、静脉滴注、吸入给药、局部外用给药等，其中占比最高的分别是口服（占60.7%）和静脉滴注（占17.9%）。具体内容见表2.3.</w:t>
      </w:r>
    </w:p>
    <w:p>
      <w:pPr>
        <w:pStyle w:val="SourceCode"/>
      </w:pPr>
      <w:r>
        <w:rPr>
          <w:rStyle w:val="VerbatimChar"/>
        </w:rPr>
        <w:t xml:space="preserve">表2.3 给药途径分布情况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1"/>
        <w:gridCol w:w="741"/>
        <w:gridCol w:w="1034"/>
      </w:tblGrid>
      <w:tr>
        <w:trPr>
          <w:cantSplit/>
          <w:trHeight w:val="54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给药途径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数量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占比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口服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60.7%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静脉滴注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吸入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外用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7.1%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其他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</w:tbl>
    <w:bookmarkEnd w:id="22"/>
    <w:bookmarkEnd w:id="23"/>
    <w:bookmarkStart w:id="24" w:name="发生不良反应的药品种类-1"/>
    <w:p>
      <w:pPr>
        <w:pStyle w:val="Heading2"/>
      </w:pPr>
      <w:r>
        <w:t xml:space="preserve">3 发生不良反应的药品种类</w:t>
      </w:r>
    </w:p>
    <w:p>
      <w:pPr>
        <w:pStyle w:val="SourceCode"/>
      </w:pPr>
      <w:r>
        <w:rPr>
          <w:rStyle w:val="VerbatimChar"/>
        </w:rPr>
        <w:t xml:space="preserve">  28例不良反应报告中共有新的不良反应3例，，严重不良反应0例,一般不良反应28例。报告中不良反应累及器官系统以消化系统最为常见，占39.3%，其次为皮肤及其附件（35.7%），肌肉及骨骼（7.1%），具体内容见表3。不良反应的转归方面，痊愈16例，好转12例，后经随访无死亡和后遗症出现。</w:t>
      </w:r>
      <w:r>
        <w:br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表3 不良反应累及器官系统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741"/>
        <w:gridCol w:w="1034"/>
      </w:tblGrid>
      <w:tr>
        <w:trPr>
          <w:cantSplit/>
          <w:trHeight w:val="54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累及器官系统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数量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占比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消化系统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39.3%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皮肤及其附件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35.7%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肌肉及骨骼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循环系统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全身反应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神经系统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血液系统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</w:tbl>
    <w:bookmarkEnd w:id="24"/>
    <w:bookmarkStart w:id="31" w:name="总结和分析"/>
    <w:p>
      <w:pPr>
        <w:pStyle w:val="Heading2"/>
      </w:pPr>
      <w:r>
        <w:t xml:space="preserve">4 总结和分析</w:t>
      </w:r>
    </w:p>
    <w:bookmarkStart w:id="28" w:name="结果分析"/>
    <w:p>
      <w:pPr>
        <w:pStyle w:val="Heading3"/>
      </w:pPr>
      <w:r>
        <w:t xml:space="preserve">4.1 结果分析</w:t>
      </w:r>
    </w:p>
    <w:bookmarkStart w:id="25" w:name="adr与患者的性别和年龄"/>
    <w:p>
      <w:pPr>
        <w:pStyle w:val="Heading4"/>
      </w:pPr>
      <w:r>
        <w:t xml:space="preserve">4.1.1 ADR与患者的性别和年龄</w:t>
      </w:r>
    </w:p>
    <w:p>
      <w:pPr>
        <w:pStyle w:val="SourceCode"/>
      </w:pPr>
      <w:r>
        <w:rPr>
          <w:rStyle w:val="VerbatimChar"/>
        </w:rPr>
        <w:t xml:space="preserve">从表1可以看出，65岁以上老年人发生ADR的比例最高，比例超过50%。这可能与老年人肝肾功能减退导致药物代谢及排泄减慢，药物的血药浓度升高；同时老年人的血浆蛋白水平低，结合药物能力弱，血浆中游离药物浓度增加有关。另外老年人基础疾病较多，联用药物种类多，易发生药物相互作用。上述因素的共同影响导致了老年人ADR发生率偏高。</w:t>
      </w:r>
    </w:p>
    <w:bookmarkEnd w:id="25"/>
    <w:bookmarkStart w:id="26" w:name="adr与药品种类和给药途径"/>
    <w:p>
      <w:pPr>
        <w:pStyle w:val="Heading4"/>
      </w:pPr>
      <w:r>
        <w:t xml:space="preserve">4.1.2 ADR与药品种类和给药途径</w:t>
      </w:r>
    </w:p>
    <w:p>
      <w:pPr>
        <w:pStyle w:val="SourceCode"/>
      </w:pPr>
      <w:r>
        <w:rPr>
          <w:rStyle w:val="VerbatimChar"/>
        </w:rPr>
        <w:t xml:space="preserve">从表2.1可以看出，心脑血管系统药物，中成药和抗菌药物ADR例数较多。这三类药物临床应用广泛，患者基数大，有着较高的ADR发生率。表2.3显示口服给药和静脉滴注是最容易发生ADR的给药途径。我院慢病患者较多，口服用药占多数，因此发生ADR的频率高；而静脉给药时药物直接进入循环系统，无肝脏首过效应，药物发挥作用及引起ADR较其他给药途径更快更强烈。另外，药物辅料、热原、溶媒的选择、配伍禁忌、药物浓度、配置静脉输液的规范程度等也是静脉给药相较于其他给药途径ADR更易多发的重要因素。</w:t>
      </w:r>
    </w:p>
    <w:bookmarkEnd w:id="26"/>
    <w:bookmarkStart w:id="27" w:name="adr的临床表现"/>
    <w:p>
      <w:pPr>
        <w:pStyle w:val="Heading4"/>
      </w:pPr>
      <w:r>
        <w:t xml:space="preserve">4.1.3 ADR的临床表现</w:t>
      </w:r>
    </w:p>
    <w:p>
      <w:pPr>
        <w:pStyle w:val="SourceCode"/>
      </w:pPr>
      <w:r>
        <w:rPr>
          <w:rStyle w:val="VerbatimChar"/>
        </w:rPr>
        <w:t xml:space="preserve">发生ADR的报告中以皮肤和附件损害最为常见，其原因可能与皮肤及附件出现不良反应（皮疹、瘙痒、红肿等）时易被察觉，可以得到及时上报有关。消化系统、神经系统不良反应也较为常见，上述发生ADR的患者在及时停药和给予相关治疗后，不良反应均得到有效控制。</w:t>
      </w:r>
    </w:p>
    <w:bookmarkEnd w:id="27"/>
    <w:bookmarkEnd w:id="28"/>
    <w:bookmarkStart w:id="29" w:name="统计adr报表发现的问题"/>
    <w:p>
      <w:pPr>
        <w:pStyle w:val="Heading3"/>
      </w:pPr>
      <w:r>
        <w:t xml:space="preserve">4.2 统计ADR报表发现的问题</w:t>
      </w:r>
    </w:p>
    <w:p>
      <w:pPr>
        <w:pStyle w:val="FirstParagraph"/>
      </w:pPr>
      <w:r>
        <w:t xml:space="preserve">（1）上报不良反应品种单一。我院上报的药品不良反应多局限为各种药物致皮疹，恶心，头痛等，且均为轻微症状，停药后可很快缓解。药品不良反应监测是保证临床用药安全的重要环节，医务人员应对不良反应类别的定义严格掌握，积极发现新的、严重的不良反应。</w:t>
      </w:r>
      <w:r>
        <w:t xml:space="preserve"> </w:t>
      </w:r>
      <w:r>
        <w:t xml:space="preserve">（2）上报不良反应不及时。医师应及时上报临床发现的药品不良反应，不要等到月末甚至每季度末集中上报。对于新的和严重的不良反应，要在规定时限内准时上报。</w:t>
      </w:r>
      <w:r>
        <w:t xml:space="preserve"> </w:t>
      </w:r>
      <w:r>
        <w:t xml:space="preserve">（3）个别医师填写表格不规范，特别是药品生产厂家、批准文号、批号等信息填写不全。</w:t>
      </w:r>
    </w:p>
    <w:bookmarkEnd w:id="29"/>
    <w:bookmarkStart w:id="30" w:name="总结"/>
    <w:p>
      <w:pPr>
        <w:pStyle w:val="Heading3"/>
      </w:pPr>
      <w:r>
        <w:t xml:space="preserve">4.3 总结</w:t>
      </w:r>
    </w:p>
    <w:p>
      <w:pPr>
        <w:pStyle w:val="FirstParagraph"/>
      </w:pPr>
      <w:r>
        <w:t xml:space="preserve">开展ADR监测工作需要医务人员的共同努力，全面配合。在后续工作中，临床药师需积极进行业务学习，掌握药品的适应症、用法用量、禁忌症等，促进合理用药，增强预防ADR的能力。对于特殊人群，特别是老年人和静脉用药患者的用药过程中要密切观察病情变化，发生ADR及时处理。做好药物不良反应事件的管理工作是医务人员的责任，与医疗安全息息相关，希望我院医务人员提高对ADR监测工作的积极性和主动性，进一步推进此项工作，促进临床合理用药。</w:t>
      </w:r>
    </w:p>
    <w:p>
      <w:pPr>
        <w:pStyle w:val="BodyText"/>
      </w:pPr>
      <w:r>
        <w:t xml:space="preserve">青岛市李沧区中心医院</w:t>
      </w:r>
      <w:r>
        <w:br/>
      </w:r>
      <w:r>
        <w:t xml:space="preserve">2022年3月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2022年1-3月药品不良反应分析</dc:title>
  <dc:creator/>
  <cp:keywords/>
  <dcterms:created xsi:type="dcterms:W3CDTF">2022-05-15T10:50:51Z</dcterms:created>
  <dcterms:modified xsi:type="dcterms:W3CDTF">2022-05-15T10:50:51Z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