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 w:line="368" w:lineRule="atLeast"/>
        <w:jc w:val="center"/>
      </w:pPr>
      <w:r>
        <w:rPr>
          <w:rFonts w:ascii="Times New Roman" w:eastAsia="SimHei"/>
          <w:b/>
          <w:bCs/>
          <w:color w:val="000000"/>
          <w:sz w:val="32"/>
          <w:szCs w:val="32"/>
        </w:rPr>
        <w:t xml:space="preserve">延伸抑或座架？</w:t>
      </w:r>
      <w:r>
        <w:rPr>
          <w:rFonts w:ascii="Times New Roman" w:eastAsia="SimHei"/>
          <w:b/>
          <w:bCs/>
          <w:color w:val="000000"/>
          <w:sz w:val="32"/>
          <w:szCs w:val="32"/>
        </w:rPr>
        <w:br/>
        <w:t xml:space="preserve">——智能手机与日常生活的自然辩证法考察</w:t>
      </w:r>
    </w:p>
    <w:p>
      <w:pPr>
        <w:spacing w:after="280" w:line="360"/>
        <w:jc w:val="center"/>
      </w:pPr>
      <w:r>
        <w:rPr>
          <w:rFonts w:ascii="Times New Roman" w:eastAsia="SimSun"/>
          <w:color w:val="000000"/>
          <w:sz w:val="24"/>
          <w:szCs w:val="24"/>
        </w:rPr>
        <w:t xml:space="preserve">姓名：【姓名】　　学号：【学号】　　学院：【学院】</w:t>
      </w:r>
    </w:p>
    <w:p>
      <w:pPr>
        <w:spacing w:line="360"/>
        <w:ind w:firstLine="480"/>
        <w:jc w:val="both"/>
      </w:pPr>
      <w:r>
        <w:rPr>
          <w:rFonts w:ascii="Times New Roman" w:eastAsia="SimHei"/>
          <w:b/>
          <w:bCs/>
          <w:color w:val="000000"/>
          <w:sz w:val="24"/>
          <w:szCs w:val="24"/>
        </w:rPr>
        <w:t xml:space="preserve">摘　要：</w:t>
      </w:r>
      <w:r>
        <w:rPr>
          <w:rFonts w:ascii="Times New Roman" w:eastAsia="SimSun"/>
          <w:b w:val="false"/>
          <w:bCs w:val="false"/>
          <w:color w:val="000000"/>
          <w:sz w:val="24"/>
          <w:szCs w:val="24"/>
        </w:rPr>
        <w:t xml:space="preserve">智能手机已经深度嵌入当代人的日常生活，对其价值判断形成了两种对立的图景：它既是听觉、视觉与记忆的延伸，为生活带来前所未有的便利与交往的扩大；又被指认为吞噬注意力的“电子鸦片”与规训人的“座架”。本文以自然辩证法的基本原理为分析框架，考察“延伸论”与“座架论”各自的理论洞见与偏颇，指出：技术决定论与技术工具论共享同一个错误前提，即把技术从社会关系中抽象出来孤立地加以评判；智能手机的连接与孤独、便利与依赖，是同一技术实践过程在一定社会形式下的两个方面；异化的根源不在技术物本身，而在技术的社会应用方式。出路在于以制度治理、技术民主化与主体自觉引导技术的社会应用，使技术真正成为人的解放的力量。</w:t>
      </w:r>
    </w:p>
    <w:p>
      <w:pPr>
        <w:spacing w:after="120" w:line="360"/>
        <w:ind w:firstLine="480"/>
        <w:jc w:val="both"/>
      </w:pPr>
      <w:r>
        <w:rPr>
          <w:rFonts w:ascii="Times New Roman" w:eastAsia="SimHei"/>
          <w:b/>
          <w:bCs/>
          <w:color w:val="000000"/>
          <w:sz w:val="24"/>
          <w:szCs w:val="24"/>
        </w:rPr>
        <w:t xml:space="preserve">关键词：</w:t>
      </w:r>
      <w:r>
        <w:rPr>
          <w:rFonts w:ascii="Times New Roman" w:eastAsia="SimSun"/>
          <w:color w:val="000000"/>
          <w:sz w:val="24"/>
          <w:szCs w:val="24"/>
        </w:rPr>
        <w:t xml:space="preserve">智能手机；媒介延伸；技术座架；技术异化；自然辩证法</w:t>
      </w:r>
    </w:p>
    <w:p>
      <w:pPr>
        <w:pStyle w:val="Heading1"/>
        <w:keepNext/>
        <w:spacing w:after="200" w:before="360" w:line="360"/>
      </w:pPr>
      <w:r>
        <w:rPr>
          <w:rFonts w:ascii="Times New Roman" w:eastAsia="SimHei"/>
          <w:b/>
          <w:bCs/>
          <w:color w:val="000000"/>
          <w:sz w:val="28"/>
          <w:szCs w:val="28"/>
        </w:rPr>
        <w:t xml:space="preserve">一、问题的提出：指尖上的生活世界</w:t>
      </w:r>
    </w:p>
    <w:p>
      <w:pPr>
        <w:spacing w:line="360"/>
        <w:ind w:firstLine="480"/>
        <w:jc w:val="both"/>
      </w:pPr>
      <w:r>
        <w:rPr>
          <w:rFonts w:ascii="Times New Roman" w:eastAsia="SimSun"/>
          <w:b w:val="false"/>
          <w:bCs w:val="false"/>
          <w:color w:val="000000"/>
          <w:sz w:val="24"/>
          <w:szCs w:val="24"/>
        </w:rPr>
        <w:t xml:space="preserve">从清晨的闹钟到深夜的最后一次滑动，智能手机已经覆盖了当代人一整天的生活节律：它集通话、拍照、支付、导航、社交、阅读、娱乐于一体，以至于许多人产生“离开手机便寸步难行”的切身感受。于是，围绕这一方寸屏幕，形成了两种截然相反的流行判断。一种判断把手机看作福音：世界在指尖展开，生活因技术而便利，交往因网络而扩大。另一种判断把手机看作祸端：推送豢养了我们的注意力，短视频吞噬了睡眠与深度阅读，人们“时刻在线”却日益疏离。手机究竟是人的延伸，还是套在人身上的枷锁？这并非一个可以随口回答的价值判断题，而是技术哲学的基本问题——技术的本质及其与人的关系——在日常生活中的具体呈现，需要以自然辩证法的科学技术观为框架加以认真审视。</w:t>
      </w:r>
    </w:p>
    <w:p>
      <w:pPr>
        <w:pStyle w:val="Heading1"/>
        <w:keepNext/>
        <w:spacing w:after="200" w:before="360" w:line="360"/>
      </w:pPr>
      <w:r>
        <w:rPr>
          <w:rFonts w:ascii="Times New Roman" w:eastAsia="SimHei"/>
          <w:b/>
          <w:bCs/>
          <w:color w:val="000000"/>
          <w:sz w:val="28"/>
          <w:szCs w:val="28"/>
        </w:rPr>
        <w:t xml:space="preserve">二、“延伸”的图景：作为人的延伸的智能手机</w:t>
      </w:r>
    </w:p>
    <w:p>
      <w:pPr>
        <w:spacing w:line="360"/>
        <w:ind w:firstLine="480"/>
        <w:jc w:val="both"/>
      </w:pPr>
      <w:r>
        <w:rPr>
          <w:rFonts w:ascii="Times New Roman" w:eastAsia="SimSun"/>
          <w:b w:val="false"/>
          <w:bCs w:val="false"/>
          <w:color w:val="000000"/>
          <w:sz w:val="24"/>
          <w:szCs w:val="24"/>
        </w:rPr>
        <w:t xml:space="preserve">媒介理论家麦克卢汉提出了著名论断：一切媒介都是人的延伸——轮子是双脚的延伸，服装是皮肤的延伸，电子线路是中枢神经系统的延伸；而且“媒介即讯息”，真正深刻地重塑社会的，不是媒介所传递的内容，而是媒介本身对人的感知方式与生活形态的改变</w:t>
      </w:r>
      <w:r>
        <w:rPr>
          <w:rFonts w:ascii="Times New Roman" w:eastAsia="SimSun"/>
          <w:color w:val="000000"/>
          <w:sz w:val="24"/>
          <w:szCs w:val="24"/>
          <w:vertAlign w:val="superscript"/>
        </w:rPr>
        <w:t xml:space="preserve">[1]</w:t>
      </w:r>
      <w:r>
        <w:rPr>
          <w:rFonts w:ascii="Times New Roman" w:eastAsia="SimSun"/>
          <w:b w:val="false"/>
          <w:bCs w:val="false"/>
          <w:color w:val="000000"/>
          <w:sz w:val="24"/>
          <w:szCs w:val="24"/>
        </w:rPr>
        <w:t xml:space="preserve">。以此观之，智能手机堪称“延伸”的集大成者：话筒与听筒延伸了语音交往，摄像头延伸了眼睛与记忆，地图应用延伸了空间认知，移动支付延伸了获取生活资料的能力，运动手环与健身应用则延伸了身体自我监测的尺度。智能手机把过去分散在电话、相机、地图、钱包、报纸、电视之中的技术能力聚合为一台随身设备，以一个界面重新组织了衣食住行，极大地拓展了个体的生活世界。就此而言，“科技与生活”的故事首先是技术造福的故事：技术放大了人的能力，丰富了人的感觉，降低了交往与获取知识的成本。</w:t>
      </w:r>
    </w:p>
    <w:p>
      <w:pPr>
        <w:spacing w:line="360"/>
        <w:ind w:firstLine="480"/>
        <w:jc w:val="both"/>
      </w:pPr>
      <w:r>
        <w:rPr>
          <w:rFonts w:ascii="Times New Roman" w:eastAsia="SimSun"/>
          <w:b w:val="false"/>
          <w:bCs w:val="false"/>
          <w:color w:val="000000"/>
          <w:sz w:val="24"/>
          <w:szCs w:val="24"/>
        </w:rPr>
        <w:t xml:space="preserve">然而，“延伸论”背后隐藏着一种朴素的技术工具论：技术只是中性的工具，其后果的好坏完全取决于使用者的意图。工具论解释了技术带来的巨大福利，却解释不了一件奇怪的事情：为什么“工具”会反过来支配它的主人？为什么明明打算休息十分钟，却刷了一个小时短视频？工具论把技术与社会割裂开来，看不见技术架构之中内嵌的价值偏向与利益结构，因而无法对技术的现实支配力作出说明。这正是“座架论”登场的地方。</w:t>
      </w:r>
    </w:p>
    <w:p>
      <w:pPr>
        <w:pStyle w:val="Heading1"/>
        <w:keepNext/>
        <w:spacing w:after="200" w:before="360" w:line="360"/>
      </w:pPr>
      <w:r>
        <w:rPr>
          <w:rFonts w:ascii="Times New Roman" w:eastAsia="SimHei"/>
          <w:b/>
          <w:bCs/>
          <w:color w:val="000000"/>
          <w:sz w:val="28"/>
          <w:szCs w:val="28"/>
        </w:rPr>
        <w:t xml:space="preserve">三、“座架”的警示：技术异化的日常形态</w:t>
      </w:r>
    </w:p>
    <w:p>
      <w:pPr>
        <w:spacing w:line="360"/>
        <w:ind w:firstLine="480"/>
        <w:jc w:val="both"/>
      </w:pPr>
      <w:r>
        <w:rPr>
          <w:rFonts w:ascii="Times New Roman" w:eastAsia="SimSun"/>
          <w:b w:val="false"/>
          <w:bCs w:val="false"/>
          <w:color w:val="000000"/>
          <w:sz w:val="24"/>
          <w:szCs w:val="24"/>
        </w:rPr>
        <w:t xml:space="preserve">海德格尔对现代技术之本质的追问，为理解手机的支配力提供了哲学语言。在他看来，现代技术绝不只是中性的工具或手段，而是一种解蔽世界的方式，其本质是“座架”——它把整个自然订造为可计算、可调用的资源储备，人本身也由此沦为被订造的“持存物”</w:t>
      </w:r>
      <w:r>
        <w:rPr>
          <w:rFonts w:ascii="Times New Roman" w:eastAsia="SimSun"/>
          <w:color w:val="000000"/>
          <w:sz w:val="24"/>
          <w:szCs w:val="24"/>
          <w:vertAlign w:val="superscript"/>
        </w:rPr>
        <w:t xml:space="preserve">[2]</w:t>
      </w:r>
      <w:r>
        <w:rPr>
          <w:rFonts w:ascii="Times New Roman" w:eastAsia="SimSun"/>
          <w:b w:val="false"/>
          <w:bCs w:val="false"/>
          <w:color w:val="000000"/>
          <w:sz w:val="24"/>
          <w:szCs w:val="24"/>
        </w:rPr>
        <w:t xml:space="preserve">。在算法时代，这一诊断获得了新的经验形态：人被订造为“用户”，注意力成为被开采、加工与贩卖的资源，界面设计、推荐算法与无限下滑的信息流，都在精心地把“停留”转化为收益。刷屏之所以令人欲罢不能，并非简单的意志薄弱，而是因为屏幕背后站着无数工程师的“设计”，这与座架的“促逼”结构惊人地一致。</w:t>
      </w:r>
    </w:p>
    <w:p>
      <w:pPr>
        <w:spacing w:line="360"/>
        <w:ind w:firstLine="480"/>
        <w:jc w:val="both"/>
      </w:pPr>
      <w:r>
        <w:rPr>
          <w:rFonts w:ascii="Times New Roman" w:eastAsia="SimSun"/>
          <w:b w:val="false"/>
          <w:bCs w:val="false"/>
          <w:color w:val="000000"/>
          <w:sz w:val="24"/>
          <w:szCs w:val="24"/>
        </w:rPr>
        <w:t xml:space="preserve">相比之下，马克思的分析更为现实。在《1844年经济学哲学手稿》中，马克思揭示了劳动的异化：劳动者所创造的对象世界反过来成为与他对立的异己力量</w:t>
      </w:r>
      <w:r>
        <w:rPr>
          <w:rFonts w:ascii="Times New Roman" w:eastAsia="SimSun"/>
          <w:color w:val="000000"/>
          <w:sz w:val="24"/>
          <w:szCs w:val="24"/>
          <w:vertAlign w:val="superscript"/>
        </w:rPr>
        <w:t xml:space="preserve">[3]</w:t>
      </w:r>
      <w:r>
        <w:rPr>
          <w:rFonts w:ascii="Times New Roman" w:eastAsia="SimSun"/>
          <w:b w:val="false"/>
          <w:bCs w:val="false"/>
          <w:color w:val="000000"/>
          <w:sz w:val="24"/>
          <w:szCs w:val="24"/>
        </w:rPr>
        <w:t xml:space="preserve">。在《资本论》中，马克思进一步区分了机器本身与机器的资本主义应用，明确指出：“矛盾和对抗不是从机器本身产生的，而是从机器的资本主义应用产生的！”</w:t>
      </w:r>
      <w:r>
        <w:rPr>
          <w:rFonts w:ascii="Times New Roman" w:eastAsia="SimSun"/>
          <w:color w:val="000000"/>
          <w:sz w:val="24"/>
          <w:szCs w:val="24"/>
          <w:vertAlign w:val="superscript"/>
        </w:rPr>
        <w:t xml:space="preserve">[4]</w:t>
      </w:r>
      <w:r>
        <w:rPr>
          <w:rFonts w:ascii="Times New Roman" w:eastAsia="SimSun"/>
          <w:b w:val="false"/>
          <w:bCs w:val="false"/>
          <w:color w:val="000000"/>
          <w:sz w:val="24"/>
          <w:szCs w:val="24"/>
        </w:rPr>
        <w:t xml:space="preserve">这一区分对理解智能手机至关重要。数字时代的异化至少有三种日常形态：其一是注意力异化，用户以免费的时间、数据与社交关系“喂养”平台，其注意力则被打包出售给广告商；其二是交往异化，特克尔以“群体性孤独”概括当代人的悖论处境——人们对技术期待更多，对彼此却期待更少，时刻在线却疏于面对面的交往</w:t>
      </w:r>
      <w:r>
        <w:rPr>
          <w:rFonts w:ascii="Times New Roman" w:eastAsia="SimSun"/>
          <w:color w:val="000000"/>
          <w:sz w:val="24"/>
          <w:szCs w:val="24"/>
          <w:vertAlign w:val="superscript"/>
        </w:rPr>
        <w:t xml:space="preserve">[5]</w:t>
      </w:r>
      <w:r>
        <w:rPr>
          <w:rFonts w:ascii="Times New Roman" w:eastAsia="SimSun"/>
          <w:b w:val="false"/>
          <w:bCs w:val="false"/>
          <w:color w:val="000000"/>
          <w:sz w:val="24"/>
          <w:szCs w:val="24"/>
        </w:rPr>
        <w:t xml:space="preserve">；其三是休闲异化，波兹曼提醒我们，媒介的形式会偏好特定的内容，当一切表达都被纳入流量的娱乐逻辑，严肃的阅读、思考与对话便难以存活</w:t>
      </w:r>
      <w:r>
        <w:rPr>
          <w:rFonts w:ascii="Times New Roman" w:eastAsia="SimSun"/>
          <w:color w:val="000000"/>
          <w:sz w:val="24"/>
          <w:szCs w:val="24"/>
          <w:vertAlign w:val="superscript"/>
        </w:rPr>
        <w:t xml:space="preserve">[6]</w:t>
      </w:r>
      <w:r>
        <w:rPr>
          <w:rFonts w:ascii="Times New Roman" w:eastAsia="SimSun"/>
          <w:b w:val="false"/>
          <w:bCs w:val="false"/>
          <w:color w:val="000000"/>
          <w:sz w:val="24"/>
          <w:szCs w:val="24"/>
        </w:rPr>
        <w:t xml:space="preserve">。再加上算法推荐造成的“信息茧房”，个人的自主性悄然萎缩：看什么、何时看、看多久，越来越多地由算法决定。“我想看”不知不觉滑向“我停不下来”，自由的活动变成不由自主的强制——这正是异化的经典结构。</w:t>
      </w:r>
    </w:p>
    <w:p>
      <w:pPr>
        <w:pStyle w:val="Heading1"/>
        <w:keepNext/>
        <w:spacing w:after="200" w:before="360" w:line="360"/>
      </w:pPr>
      <w:r>
        <w:rPr>
          <w:rFonts w:ascii="Times New Roman" w:eastAsia="SimHei"/>
          <w:b/>
          <w:bCs/>
          <w:color w:val="000000"/>
          <w:sz w:val="28"/>
          <w:szCs w:val="28"/>
        </w:rPr>
        <w:t xml:space="preserve">四、自然辩证法的解答：在社会应用中理解技术</w:t>
      </w:r>
    </w:p>
    <w:p>
      <w:pPr>
        <w:spacing w:line="360"/>
        <w:ind w:firstLine="480"/>
        <w:jc w:val="both"/>
      </w:pPr>
      <w:r>
        <w:rPr>
          <w:rFonts w:ascii="Times New Roman" w:eastAsia="SimSun"/>
          <w:b w:val="false"/>
          <w:bCs w:val="false"/>
          <w:color w:val="000000"/>
          <w:sz w:val="24"/>
          <w:szCs w:val="24"/>
        </w:rPr>
        <w:t xml:space="preserve">第一，从实践的观点看，技术是人的本质力量的对象化，“延伸论”把握住了技术的人学根基。恩格斯指出，“劳动创造了人本身”</w:t>
      </w:r>
      <w:r>
        <w:rPr>
          <w:rFonts w:ascii="Times New Roman" w:eastAsia="SimSun"/>
          <w:color w:val="000000"/>
          <w:sz w:val="24"/>
          <w:szCs w:val="24"/>
          <w:vertAlign w:val="superscript"/>
        </w:rPr>
        <w:t xml:space="preserve">[7]</w:t>
      </w:r>
      <w:r>
        <w:rPr>
          <w:rFonts w:ascii="Times New Roman" w:eastAsia="SimSun"/>
          <w:b w:val="false"/>
          <w:bCs w:val="false"/>
          <w:color w:val="000000"/>
          <w:sz w:val="24"/>
          <w:szCs w:val="24"/>
        </w:rPr>
        <w:t xml:space="preserve">；工具性的技术活动既是人猿揖别的起点，也是人改造自然、确证自身本质力量的基本方式，马克思更是称工业的历史是“一本打开了的关于人的本质力量的书”</w:t>
      </w:r>
      <w:r>
        <w:rPr>
          <w:rFonts w:ascii="Times New Roman" w:eastAsia="SimSun"/>
          <w:color w:val="000000"/>
          <w:sz w:val="24"/>
          <w:szCs w:val="24"/>
          <w:vertAlign w:val="superscript"/>
        </w:rPr>
        <w:t xml:space="preserve">[3]</w:t>
      </w:r>
      <w:r>
        <w:rPr>
          <w:rFonts w:ascii="Times New Roman" w:eastAsia="SimSun"/>
          <w:b w:val="false"/>
          <w:bCs w:val="false"/>
          <w:color w:val="000000"/>
          <w:sz w:val="24"/>
          <w:szCs w:val="24"/>
        </w:rPr>
        <w:t xml:space="preserve">。智能手机正是当代人的本质力量对象化的最新形态之一：它凝结着从微电子、通信到人工智能的巨大文明成果，也承载着个体对交往、知识与便利的需要。因此，拒绝技术、退回前现代的田园幻想既不可能，也不符合人的发展逻辑；批判手机的正确出发点不是敌视技术本身，而是追问技术的社会形式。</w:t>
      </w:r>
    </w:p>
    <w:p>
      <w:pPr>
        <w:spacing w:line="360"/>
        <w:ind w:firstLine="480"/>
        <w:jc w:val="both"/>
      </w:pPr>
      <w:r>
        <w:rPr>
          <w:rFonts w:ascii="Times New Roman" w:eastAsia="SimSun"/>
          <w:b w:val="false"/>
          <w:bCs w:val="false"/>
          <w:color w:val="000000"/>
          <w:sz w:val="24"/>
          <w:szCs w:val="24"/>
        </w:rPr>
        <w:t xml:space="preserve">第二，技术从来存在于一定的社会形式之中，“座架论”的真正症结在于把特定社会形式造成的后果误认作技术本身的宿命。自然辩证法反对把技术从社会关系中抽象出来孤立评判：同样一部手机，嵌入不同的利益结构与社会治理，就呈现完全不同的面貌。当交往、休闲与注意力被纳入平台的增殖逻辑，技术的使用便从手段颠倒为目的，异化由此发生——这正是马克思所揭示的“机器的资本主义应用”问题在数字时代的延续，而非所谓技术原罪的证明。斯蒂格勒把技术称作人的“代具”：人本来就是依靠技术假体存在和演化的物种，代具既有毒也有救，药与毒同源</w:t>
      </w:r>
      <w:r>
        <w:rPr>
          <w:rFonts w:ascii="Times New Roman" w:eastAsia="SimSun"/>
          <w:color w:val="000000"/>
          <w:sz w:val="24"/>
          <w:szCs w:val="24"/>
          <w:vertAlign w:val="superscript"/>
        </w:rPr>
        <w:t xml:space="preserve">[8]</w:t>
      </w:r>
      <w:r>
        <w:rPr>
          <w:rFonts w:ascii="Times New Roman" w:eastAsia="SimSun"/>
          <w:b w:val="false"/>
          <w:bCs w:val="false"/>
          <w:color w:val="000000"/>
          <w:sz w:val="24"/>
          <w:szCs w:val="24"/>
        </w:rPr>
        <w:t xml:space="preserve">。同理，手机的连接与捆绑本是同一个技术事实，使它倒向这一面还是那一面的，是社会条件。</w:t>
      </w:r>
    </w:p>
    <w:p>
      <w:pPr>
        <w:spacing w:line="360"/>
        <w:ind w:firstLine="480"/>
        <w:jc w:val="both"/>
      </w:pPr>
      <w:r>
        <w:rPr>
          <w:rFonts w:ascii="Times New Roman" w:eastAsia="SimSun"/>
          <w:b w:val="false"/>
          <w:bCs w:val="false"/>
          <w:color w:val="000000"/>
          <w:sz w:val="24"/>
          <w:szCs w:val="24"/>
        </w:rPr>
        <w:t xml:space="preserve">第三，以对立统一的观点把握技术的生活效应。连接与孤独、便利与依赖、自主与被支配，并非可以“二选一”的外在对立，而是同一过程相互依存、相互转化的两个方面：连接越便捷，深度交往的稀缺性越凸显；便利越充分，对技术的依赖越深。这里起作用的是质量互变规律：使用方式与使用时间的量的积累会引起质的转化，适度使用是延伸，沉迷失控则质变为异化，因而既不能因噎废食地拒斥技术，也不能放任技术逻辑无节制地殖民生活，关键在于把握“度”。由此也可见，技术决定论与技术工具论这两个表面相反的立场，共享着同一个形而上学错误：割裂技术与社会的辩证关系，或者把技术看作脱离社会而自主演化的力量，或者把它看作无关善恶的纯工具。自然辩证法则要求把技术置于“科学技术与社会”的总体联系之中加以考察</w:t>
      </w:r>
      <w:r>
        <w:rPr>
          <w:rFonts w:ascii="Times New Roman" w:eastAsia="SimSun"/>
          <w:color w:val="000000"/>
          <w:sz w:val="24"/>
          <w:szCs w:val="24"/>
          <w:vertAlign w:val="superscript"/>
        </w:rPr>
        <w:t xml:space="preserve">[9]</w:t>
      </w:r>
      <w:r>
        <w:rPr>
          <w:rFonts w:ascii="Times New Roman" w:eastAsia="SimSun"/>
          <w:b w:val="false"/>
          <w:bCs w:val="false"/>
          <w:color w:val="000000"/>
          <w:sz w:val="24"/>
          <w:szCs w:val="24"/>
        </w:rPr>
        <w:t xml:space="preserve">。</w:t>
      </w:r>
    </w:p>
    <w:p>
      <w:pPr>
        <w:spacing w:line="360"/>
        <w:ind w:firstLine="480"/>
        <w:jc w:val="both"/>
      </w:pPr>
      <w:r>
        <w:rPr>
          <w:rFonts w:ascii="Times New Roman" w:eastAsia="SimSun"/>
          <w:b w:val="false"/>
          <w:bCs w:val="false"/>
          <w:color w:val="000000"/>
          <w:sz w:val="24"/>
          <w:szCs w:val="24"/>
        </w:rPr>
        <w:t xml:space="preserve">第四，出路在于改变技术的社会应用方式，而不是抛弃技术本身。一是制度治理，为技术套上“社会缰绳”：我国四部门联合出台的算法推荐管理规定，要求服务提供者向用户提供不针对其个人特征的选项或者便捷的关闭算法推荐服务的选项，并完善未成年人保护机制，其方向正是矫正技术应用的资本逻辑</w:t>
      </w:r>
      <w:r>
        <w:rPr>
          <w:rFonts w:ascii="Times New Roman" w:eastAsia="SimSun"/>
          <w:color w:val="000000"/>
          <w:sz w:val="24"/>
          <w:szCs w:val="24"/>
          <w:vertAlign w:val="superscript"/>
        </w:rPr>
        <w:t xml:space="preserve">[10]</w:t>
      </w:r>
      <w:r>
        <w:rPr>
          <w:rFonts w:ascii="Times New Roman" w:eastAsia="SimSun"/>
          <w:b w:val="false"/>
          <w:bCs w:val="false"/>
          <w:color w:val="000000"/>
          <w:sz w:val="24"/>
          <w:szCs w:val="24"/>
        </w:rPr>
        <w:t xml:space="preserve">。二是技术民主化，芬伯格主张让使用者与公众参与技术的设计与规制，使技术体系体现多元价值而非单一的商业逻辑</w:t>
      </w:r>
      <w:r>
        <w:rPr>
          <w:rFonts w:ascii="Times New Roman" w:eastAsia="SimSun"/>
          <w:color w:val="000000"/>
          <w:sz w:val="24"/>
          <w:szCs w:val="24"/>
          <w:vertAlign w:val="superscript"/>
        </w:rPr>
        <w:t xml:space="preserve">[11]</w:t>
      </w:r>
      <w:r>
        <w:rPr>
          <w:rFonts w:ascii="Times New Roman" w:eastAsia="SimSun"/>
          <w:b w:val="false"/>
          <w:bCs w:val="false"/>
          <w:color w:val="000000"/>
          <w:sz w:val="24"/>
          <w:szCs w:val="24"/>
        </w:rPr>
        <w:t xml:space="preserve">。三是个体的数字素养与主体自觉：有意识地支配技术而非被技术支配，为深度阅读、面对面交往与身体的运动保留不受打扰的时间。技术批判的最终问题从来不是“手机好不好”，而是“我们要过一种什么样的生活”——把科学技术观落脚于人的自由全面发展，正是自然辩证法的要义</w:t>
      </w:r>
      <w:r>
        <w:rPr>
          <w:rFonts w:ascii="Times New Roman" w:eastAsia="SimSun"/>
          <w:color w:val="000000"/>
          <w:sz w:val="24"/>
          <w:szCs w:val="24"/>
          <w:vertAlign w:val="superscript"/>
        </w:rPr>
        <w:t xml:space="preserve">[9]</w:t>
      </w:r>
      <w:r>
        <w:rPr>
          <w:rFonts w:ascii="Times New Roman" w:eastAsia="SimSun"/>
          <w:b w:val="false"/>
          <w:bCs w:val="false"/>
          <w:color w:val="000000"/>
          <w:sz w:val="24"/>
          <w:szCs w:val="24"/>
        </w:rPr>
        <w:t xml:space="preserve">。</w:t>
      </w:r>
    </w:p>
    <w:p>
      <w:pPr>
        <w:pStyle w:val="Heading1"/>
        <w:keepNext/>
        <w:spacing w:after="200" w:before="360" w:line="360"/>
      </w:pPr>
      <w:r>
        <w:rPr>
          <w:rFonts w:ascii="Times New Roman" w:eastAsia="SimHei"/>
          <w:b/>
          <w:bCs/>
          <w:color w:val="000000"/>
          <w:sz w:val="28"/>
          <w:szCs w:val="28"/>
        </w:rPr>
        <w:t xml:space="preserve">五、结语</w:t>
      </w:r>
    </w:p>
    <w:p>
      <w:pPr>
        <w:spacing w:line="360"/>
        <w:ind w:firstLine="480"/>
        <w:jc w:val="both"/>
      </w:pPr>
      <w:r>
        <w:rPr>
          <w:rFonts w:ascii="Times New Roman" w:eastAsia="SimSun"/>
          <w:b w:val="false"/>
          <w:bCs w:val="false"/>
          <w:color w:val="000000"/>
          <w:sz w:val="24"/>
          <w:szCs w:val="24"/>
        </w:rPr>
        <w:t xml:space="preserve">智能手机既不是纯然的天使，也不是纯粹的魔鬼。“延伸”与“座架”之争提醒我们：技术在成为“我的”工具之前，首先是“社会的”技术；评价技术的尺度不在技术物之中，而在技术所嵌入并反过来重塑的社会关系之中。自然辩证法的实践观点、社会形式观点以及对立统一、质量互变的观点，为我们在技术乐观主义与技术悲观主义的两极震荡之间确立了辩证的立足点：既珍视技术蕴含的解放潜能，又清醒地看到技术在特定社会形式下的异化效应，并把变革的方向指向社会形式本身。对研究生而言，这意味着三重自觉：做技术的自觉使用者，涵养数字素养，防范沉迷；做技术的审慎研究者，在科研与工程决策中把伦理考量置于与效率考量同等的地位；做技术文化的反思者，使“科技与生活”的关系始终朝着人的全面发展的方向展开。技术每前进一步，人都应当更加丰富而不是更加萎缩——智能手机的下一个版本，应当是人的更全面的解放。</w:t>
      </w:r>
    </w:p>
    <w:p>
      <w:pPr>
        <w:pStyle w:val="Heading1"/>
        <w:keepNext/>
        <w:spacing w:after="200" w:before="360" w:line="360"/>
      </w:pPr>
      <w:r>
        <w:rPr>
          <w:rFonts w:ascii="Times New Roman" w:eastAsia="SimHei"/>
          <w:b/>
          <w:bCs/>
          <w:color w:val="000000"/>
          <w:sz w:val="28"/>
          <w:szCs w:val="28"/>
        </w:rPr>
        <w:t xml:space="preserve">参考文献</w:t>
      </w:r>
    </w:p>
    <w:p>
      <w:pPr>
        <w:spacing w:line="360"/>
        <w:ind w:left="420" w:hanging="420"/>
        <w:jc w:val="left"/>
      </w:pPr>
      <w:r>
        <w:rPr>
          <w:rFonts w:ascii="Times New Roman" w:eastAsia="SimSun"/>
          <w:color w:val="000000"/>
          <w:sz w:val="21"/>
          <w:szCs w:val="21"/>
        </w:rPr>
        <w:t xml:space="preserve">[1] 马歇尔·麦克卢汉. 理解媒介: 论人的延伸[M]. 何道宽, 译. 北京: 商务印书馆, 2000.</w:t>
      </w:r>
    </w:p>
    <w:p>
      <w:pPr>
        <w:spacing w:line="360"/>
        <w:ind w:left="420" w:hanging="420"/>
        <w:jc w:val="left"/>
      </w:pPr>
      <w:r>
        <w:rPr>
          <w:rFonts w:ascii="Times New Roman" w:eastAsia="SimSun"/>
          <w:color w:val="000000"/>
          <w:sz w:val="21"/>
          <w:szCs w:val="21"/>
        </w:rPr>
        <w:t xml:space="preserve">[2] 马丁·海德格尔. 演讲与论文集[M]. 孙周兴, 译. 北京: 生活·读书·新知三联书店, 2005.</w:t>
      </w:r>
    </w:p>
    <w:p>
      <w:pPr>
        <w:spacing w:line="360"/>
        <w:ind w:left="420" w:hanging="420"/>
        <w:jc w:val="left"/>
      </w:pPr>
      <w:r>
        <w:rPr>
          <w:rFonts w:ascii="Times New Roman" w:eastAsia="SimSun"/>
          <w:color w:val="000000"/>
          <w:sz w:val="21"/>
          <w:szCs w:val="21"/>
        </w:rPr>
        <w:t xml:space="preserve">[3] 马克思. 1844年经济学哲学手稿[M]. 中共中央马克思恩格斯列宁斯大林著作编译局, 译. 北京: 人民出版社, 2014.</w:t>
      </w:r>
    </w:p>
    <w:p>
      <w:pPr>
        <w:spacing w:line="360"/>
        <w:ind w:left="420" w:hanging="420"/>
        <w:jc w:val="left"/>
      </w:pPr>
      <w:r>
        <w:rPr>
          <w:rFonts w:ascii="Times New Roman" w:eastAsia="SimSun"/>
          <w:color w:val="000000"/>
          <w:sz w:val="21"/>
          <w:szCs w:val="21"/>
        </w:rPr>
        <w:t xml:space="preserve">[4] 马克思. 资本论: 第1卷[M]. 中共中央马克思恩格斯列宁斯大林著作编译局, 译. 北京: 人民出版社, 2004.</w:t>
      </w:r>
    </w:p>
    <w:p>
      <w:pPr>
        <w:spacing w:line="360"/>
        <w:ind w:left="420" w:hanging="420"/>
        <w:jc w:val="left"/>
      </w:pPr>
      <w:r>
        <w:rPr>
          <w:rFonts w:ascii="Times New Roman" w:eastAsia="SimSun"/>
          <w:color w:val="000000"/>
          <w:sz w:val="21"/>
          <w:szCs w:val="21"/>
        </w:rPr>
        <w:t xml:space="preserve">[5] 雪莉·特克尔. 群体性孤独: 为什么我们对科技期待更多, 对彼此却不能更亲密?[M]. 周逵, 刘菁荆, 译. 杭州: 浙江人民出版社, 2014.</w:t>
      </w:r>
    </w:p>
    <w:p>
      <w:pPr>
        <w:spacing w:line="360"/>
        <w:ind w:left="420" w:hanging="420"/>
        <w:jc w:val="left"/>
      </w:pPr>
      <w:r>
        <w:rPr>
          <w:rFonts w:ascii="Times New Roman" w:eastAsia="SimSun"/>
          <w:color w:val="000000"/>
          <w:sz w:val="21"/>
          <w:szCs w:val="21"/>
        </w:rPr>
        <w:t xml:space="preserve">[6] 尼尔·波兹曼. 娱乐至死[M]. 章艳, 译. 桂林: 广西师范大学出版社, 2004.</w:t>
      </w:r>
    </w:p>
    <w:p>
      <w:pPr>
        <w:spacing w:line="360"/>
        <w:ind w:left="420" w:hanging="420"/>
        <w:jc w:val="left"/>
      </w:pPr>
      <w:r>
        <w:rPr>
          <w:rFonts w:ascii="Times New Roman" w:eastAsia="SimSun"/>
          <w:color w:val="000000"/>
          <w:sz w:val="21"/>
          <w:szCs w:val="21"/>
        </w:rPr>
        <w:t xml:space="preserve">[7] 恩格斯. 自然辩证法[M]. 中共中央马克思恩格斯列宁斯大林著作编译局, 译. 北京: 人民出版社, 2018.</w:t>
      </w:r>
    </w:p>
    <w:p>
      <w:pPr>
        <w:spacing w:line="360"/>
        <w:ind w:left="420" w:hanging="420"/>
        <w:jc w:val="left"/>
      </w:pPr>
      <w:r>
        <w:rPr>
          <w:rFonts w:ascii="Times New Roman" w:eastAsia="SimSun"/>
          <w:color w:val="000000"/>
          <w:sz w:val="21"/>
          <w:szCs w:val="21"/>
        </w:rPr>
        <w:t xml:space="preserve">[8] 贝尔纳·斯蒂格勒. 技术与时间: 1. 爱比米修斯的过失[M]. 裴程, 译. 南京: 译林出版社, 2000.</w:t>
      </w:r>
    </w:p>
    <w:p>
      <w:pPr>
        <w:spacing w:line="360"/>
        <w:ind w:left="420" w:hanging="420"/>
        <w:jc w:val="left"/>
      </w:pPr>
      <w:r>
        <w:rPr>
          <w:rFonts w:ascii="Times New Roman" w:eastAsia="SimSun"/>
          <w:color w:val="000000"/>
          <w:sz w:val="21"/>
          <w:szCs w:val="21"/>
        </w:rPr>
        <w:t xml:space="preserve">[9] 郭贵春. 自然辩证法概论[M]. 北京: 高等教育出版社, 2013.</w:t>
      </w:r>
    </w:p>
    <w:p>
      <w:pPr>
        <w:spacing w:line="360"/>
        <w:ind w:left="420" w:hanging="420"/>
        <w:jc w:val="left"/>
      </w:pPr>
      <w:r>
        <w:rPr>
          <w:rFonts w:ascii="Times New Roman" w:eastAsia="SimSun"/>
          <w:color w:val="000000"/>
          <w:sz w:val="21"/>
          <w:szCs w:val="21"/>
        </w:rPr>
        <w:t xml:space="preserve">[10] 国家互联网信息办公室, 工业和信息化部, 公安部, 等. 互联网信息服务算法推荐管理规定[EB/OL]. (2022-01-04)[2026-10-01]. https://www.gov.cn/zhengce/zhengceku/2022-01/04/content_5666429.htm.</w:t>
      </w:r>
    </w:p>
    <w:p>
      <w:pPr>
        <w:spacing w:line="360"/>
        <w:ind w:left="420" w:hanging="420"/>
        <w:jc w:val="left"/>
      </w:pPr>
      <w:r>
        <w:rPr>
          <w:rFonts w:ascii="Times New Roman" w:eastAsia="SimSun"/>
          <w:color w:val="000000"/>
          <w:sz w:val="21"/>
          <w:szCs w:val="21"/>
        </w:rPr>
        <w:t xml:space="preserve">[11] 安德鲁·芬伯格. 技术批判理论[M]. 韩连庆, 曹观法, 译. 北京: 北京大学出版社, 2005.</w:t>
      </w:r>
    </w:p>
    <w:sectPr>
      <w:headerReference w:type="default" r:id="rId6"/>
      <w:footerReference w:type="default" r:id="rId7"/>
      <w:pgSz w:w="11906" w:h="16838" w:orient="portrait"/>
      <w:pgMar w:top="1440" w:right="1417" w:bottom="1440" w:left="1701" w:header="850" w:footer="992"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000000"/>
        <w:sz w:val="21"/>
        <w:szCs w:val="21"/>
      </w:rPr>
      <w:t xml:space="preserve">- </w:t>
    </w:r>
    <w:r>
      <w:rPr>
        <w:rFonts w:ascii="Times New Roman" w:eastAsia="SimSun"/>
        <w:color w:val="000000"/>
        <w:sz w:val="21"/>
        <w:szCs w:val="21"/>
      </w:rPr>
      <w:fldChar w:fldCharType="begin"/>
      <w:instrText xml:space="preserve">PAGE</w:instrText>
      <w:fldChar w:fldCharType="separate"/>
      <w:fldChar w:fldCharType="end"/>
    </w:r>
    <w:r>
      <w:rPr>
        <w:rFonts w:ascii="Times New Roman" w:eastAsia="SimSun"/>
        <w:color w:val="000000"/>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jc w:val="center"/>
    </w:pPr>
    <w:r>
      <w:rPr>
        <w:rFonts w:ascii="Times New Roman" w:eastAsia="SimSun"/>
        <w:color w:val="333333"/>
        <w:sz w:val="18"/>
        <w:szCs w:val="18"/>
      </w:rPr>
      <w:t xml:space="preserve">自然辩证法概论课程论文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60"/>
    </w:pPr>
    <w:rPr>
      <w:rFonts w:ascii="Times New Roman" w:eastAsia="SimHe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2026-10-01T02:54:38.706Z</dcterms:created>
  <dcterms:modified xsi:type="dcterms:W3CDTF">2026-10-01T02:54:38.707Z</dcterms:modified>
</cp:coreProperties>
</file>

<file path=docProps/custom.xml><?xml version="1.0" encoding="utf-8"?>
<Properties xmlns="http://schemas.openxmlformats.org/officeDocument/2006/custom-properties" xmlns:vt="http://schemas.openxmlformats.org/officeDocument/2006/docPropsVTypes"/>
</file>