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8"/>
          <w:sz w:val="40"/>
        </w:rPr>
        <w:t>中东电商业务  ·  预算与扩张决策报告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22"/>
        </w:rPr>
        <w:t>—  基于历史KPI、竞品对标、情景预测与敏感性分析的综合诊断  —</w:t>
      </w:r>
    </w:p>
    <w:p/>
    <w:p>
      <w:pPr>
        <w:jc w:val="center"/>
      </w:pPr>
      <w:r>
        <w:rPr>
          <w:rFonts w:ascii="Microsoft YaHei" w:hAnsi="Microsoft YaHei" w:eastAsia="Microsoft YaHei"/>
          <w:color w:val="808080"/>
          <w:sz w:val="20"/>
        </w:rPr>
        <w:t>报告版本: v1.0  ·  分析基准日: 2025年9月30日  ·  预测周期: 2026E-2027E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20"/>
        </w:rPr>
        <w:t>数据来源: 《竞品分析与财务模型.xlsx》（含竞品运营数据、我司2023Q1-2025Q3历史经营指标、GMV增长情景模拟）</w:t>
      </w:r>
    </w:p>
    <w:p/>
    <w:p>
      <w:pPr>
        <w:shd w:val="clear" w:fill="FFF2CC"/>
      </w:pPr>
      <w:r>
        <w:rPr>
          <w:rFonts w:ascii="Microsoft YaHei" w:hAnsi="Microsoft YaHei" w:eastAsia="Microsoft YaHei"/>
          <w:b/>
          <w:color w:val="C00000"/>
          <w:sz w:val="22"/>
        </w:rPr>
        <w:t>核心结论一句话: 我司中东业务已逼近盈亏平衡拐点(经营利润率从-22%改善到-4%, CAC回收期降至3.8单), 推荐采纳「稳健+」方案 — 26E GMV 26亿元、27E 36亿元 — 在最低风险下实现2026Q4季度经营利润首次转正、2027全年扭亏并锁定IRR≈36%的超额回报。</w:t>
      </w:r>
    </w:p>
    <w:p/>
    <w:p>
      <w:r>
        <w:rPr>
          <w:rFonts w:ascii="Microsoft YaHei" w:hAnsi="Microsoft YaHei" w:eastAsia="Microsoft YaHei"/>
          <w:b/>
          <w:color w:val="1F4E78"/>
          <w:sz w:val="30"/>
        </w:rPr>
        <w:t>一、我司经营诊断:从"烧钱拓荒"到"规模化盈利"的拐点</w:t>
      </w:r>
    </w:p>
    <w:p>
      <w:r>
        <w:rPr>
          <w:rFonts w:ascii="Microsoft YaHei" w:hAnsi="Microsoft YaHei" w:eastAsia="Microsoft YaHei"/>
          <w:sz w:val="21"/>
        </w:rPr>
        <w:t>过去11个季度, 我司中东业务呈现出"量价齐升、效率改善、UE转正在即"的典型S型曲线特征: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2023Q1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2025Q3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变化幅度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解读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GMV(亿元)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1.20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4.80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+300%  CAGR=74%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规模3年4倍, 行业头部增速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订单量(万)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340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+300%  CAGR=74%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量为主, 价稳定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客单价(元)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141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用户群锁定, 品类结构稳定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获客成本(元)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65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-23.5%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复购+自然流量贡献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复购率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12%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24%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+12pp (翻倍)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LTV显著增厚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毛利率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18%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23%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+5pp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供应链规模效应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履约成本率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11%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-4pp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本地仓利用率上升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营销费用率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25%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16%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-9pp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获客ROI改善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经营利润率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-22%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-4%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+18pp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距盈亏平衡仅4pp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CAC回收期(单数)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3.8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-80%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LTV/CAC比已&gt;1, 头部水准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2"/>
        </w:rPr>
        <w:t>► 关键洞察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“UE 已具备规模化盈利的所有内生条件”: 单笔贡献毛利从4.2元升到16.9元(+302%), CAC回收期从20单降至3.8单, 这意味着每多投1元营销, 用户在4单内就能产生回收。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“距离首次盈利只差4pp”: 经营利润率仅需进一步收敛4pp(主要靠营销率从16%再降2pp、毛利率再升1pp、履约率再降1pp), 即可实现单季盈亏平衡 — 这个目标在推荐方案中预计于2026Q4达成。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“2025Q3 单季 GMV 4.8亿元”全年外推≈19亿元, 与情景表2025E=17亿元基本一致(略保守)。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8"/>
          <w:sz w:val="30"/>
        </w:rPr>
        <w:t>二、竞品对标:我们的真实位置与差异化机会</w:t>
      </w:r>
    </w:p>
    <w:p>
      <w:r>
        <w:rPr>
          <w:rFonts w:ascii="Microsoft YaHei" w:hAnsi="Microsoft YaHei" w:eastAsia="Microsoft YaHei"/>
          <w:sz w:val="21"/>
        </w:rPr>
        <w:t>中东电商市场总盘约 127 亿美元(按 Noon 28亿÷22%份额反推), 形成"双寡头 + 跨境 + 本地小盘"三层结构。</w:t>
      </w:r>
    </w:p>
    <w:p>
      <w:pPr>
        <w:shd w:val="clear" w:fill="FCE4D6"/>
      </w:pPr>
      <w:r>
        <w:rPr>
          <w:rFonts w:ascii="Microsoft YaHei" w:hAnsi="Microsoft YaHei" w:eastAsia="Microsoft YaHei"/>
          <w:b/>
          <w:color w:val="C00000"/>
          <w:sz w:val="22"/>
        </w:rPr>
        <w:t>⚠️ 数据口径校准: 原"竞品运营数据"中"我司=12亿美元(份额9%)"经核验与历史表严重不符, 本报告以"我司中东实际GMV ≈ 2.36亿美元(2025E=17亿元)"为准, 真实份额≈1.9% — 这意味着市场扩张空间还有10倍以上。</w:t>
      </w:r>
    </w:p>
    <w:p>
      <w:r>
        <w:rPr>
          <w:rFonts w:ascii="Microsoft YaHei" w:hAnsi="Microsoft YaHei" w:eastAsia="Microsoft YaHei"/>
          <w:b/>
          <w:color w:val="1F4E78"/>
          <w:sz w:val="24"/>
        </w:rPr>
        <w:t>2.1  竞品规模与效率排名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公司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GMV(亿$)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份额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烧钱(亿$)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烧钱效率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仓储(万㎡)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配送时效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Noon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28.0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22.0%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5.6  ★★★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次日达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Amazon.ae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22.0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18.0%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7.3  ★★★★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次日达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SHEIN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12.0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3.0  ★★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5-7天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Temu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6.0%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1.0  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7-12天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Namshi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5.0  ★★★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3-5天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Jumia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3.0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1.5  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3-5天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我司(实际)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2.36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0.67  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4-7天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8"/>
          <w:sz w:val="24"/>
        </w:rPr>
        <w:t>2.2  关键差异维度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烧钱效率: Amazon.ae(7.3) &gt; Noon(5.6) &gt; Namshi(5.0) &gt; SHEIN(3.0) &gt; Jumia(1.5) &gt; Temu(1.0) &gt; 我司(0.67)。我司每1亿$烧钱仅产生0.67亿$ GMV, 远低于头部 — 钱花得不够"准"。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仓储:头部Noon 45万㎡、Amazon.ae 35万㎡, 是我司8万㎡的5倍。这直接决定了"次日达 vs 4-7天"的履约时效差距。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品类卡位:Temu/SHEIN在3C/家居薄弱, Namshi被Noon收购后聚焦时尚 — 我司"3C/家居+性价比"的定位在头部夹缝中具备差异化空间。</w:t>
      </w:r>
    </w:p>
    <w:p>
      <w:r>
        <w:rPr>
          <w:rFonts w:ascii="Microsoft YaHei" w:hAnsi="Microsoft YaHei" w:eastAsia="Microsoft YaHei"/>
          <w:b/>
          <w:color w:val="1F4E78"/>
          <w:sz w:val="24"/>
        </w:rPr>
        <w:t>2.3  我司 SWOT 一图速览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优势 / 机会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劣势 / 威胁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内部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S: UE改善快、CAC回收期降至4单、毛利率与SHEIN持平; 沙特+埃及双市场避开阿联酋红海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W: 规模仅头部1/10, 仓储+配送时效落后2倍, 烧钱效率最低, 品牌心智未建立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外部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O: 总盘127亿$仍有20%+增速, 沙特Vision 2030政策红利, 头部在3C/家居布局薄弱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T: Temu烧钱8亿$/年压价, Noon收购Namshi下一步可能进3C, DSP数据本地化监管趋严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4E78"/>
          <w:sz w:val="30"/>
        </w:rPr>
        <w:t>三、2026-2027 情景预测与推荐方案</w:t>
      </w:r>
    </w:p>
    <w:p>
      <w:r>
        <w:rPr>
          <w:rFonts w:ascii="Microsoft YaHei" w:hAnsi="Microsoft YaHei" w:eastAsia="Microsoft YaHei"/>
          <w:b/>
          <w:color w:val="1F4E78"/>
          <w:sz w:val="24"/>
        </w:rPr>
        <w:t>3.1  五大情景全景对比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情景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2026E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2027E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3年累计投入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2027经营利润率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盈亏平衡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IRR(模型)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原表IRR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激进增长(翻3倍)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17亿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-15%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2028Q2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不达标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35%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稳健增长(翻2倍)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2027Q3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不达标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28%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★ 推荐(稳健+)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11.5亿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+5.8%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36.3%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维持现状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5.5亿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不达标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18%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战略收缩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即时(规模萎缩)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不达标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808080"/>
          <w:sz w:val="18"/>
        </w:rPr>
        <w:t>注:本模型采用更严苛的"经营利润口径(毛利-履约-营销-其他)", 而非原表的"GMV收入×目标利润率"乐观口径; 终值=2027经营利润×8倍(PE退出参考), 资金成本基准10%。</w:t>
      </w:r>
    </w:p>
    <w:p/>
    <w:p>
      <w:pPr>
        <w:shd w:val="clear" w:fill="FFF2CC"/>
      </w:pPr>
      <w:r>
        <w:rPr>
          <w:rFonts w:ascii="Microsoft YaHei" w:hAnsi="Microsoft YaHei" w:eastAsia="Microsoft YaHei"/>
          <w:b/>
          <w:color w:val="C00000"/>
          <w:sz w:val="22"/>
        </w:rPr>
        <w:t>在5个情景中, 只有「★ 推荐(稳健+)」能在严苛的经营利润口径下产出正向IRR(36.3%, 远超10%资金成本)。其他情景由于2027年仍处于经营亏损或规模萎缩状态, 终值缺失, 在保守口径下IRR均不达标。</w:t>
      </w:r>
    </w:p>
    <w:p>
      <w:r>
        <w:rPr>
          <w:rFonts w:ascii="Microsoft YaHei" w:hAnsi="Microsoft YaHei" w:eastAsia="Microsoft YaHei"/>
          <w:b/>
          <w:color w:val="1F4E78"/>
          <w:sz w:val="24"/>
        </w:rPr>
        <w:t>3.2  推荐方案"稳健+" — 8季度逐季展开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季度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GMV(亿)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利润率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季度利润(亿)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累计利润(亿)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里程碑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5.46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-2.0%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-0.11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-0.11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仓储扩至10万㎡完成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5.98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-0.7%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-0.04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-0.15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埃及配送时效降至3天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6.50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+0.6%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+0.04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-0.11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品类拓展至小家电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2026Q4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8.06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+1.9%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+0.15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+0.04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★ 季度经营利润首次转正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2027Q1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7.56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+3.0%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+0.23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+0.27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★ 累计经营利润转正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2027Q2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8.28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+4.7%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+0.39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+0.66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品牌广告投放启动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2027Q3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9.00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+6.4%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+0.58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+1.23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达成2026年化盈亏平衡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2027Q4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11.16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+8.1%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+0.90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+2.13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★ IRR目标完成 / 决策窗口</w:t>
            </w:r>
          </w:p>
        </w:tc>
      </w:tr>
    </w:tbl>
    <w:p>
      <w:r>
        <w:rPr>
          <w:rFonts w:ascii="Microsoft YaHei" w:hAnsi="Microsoft YaHei" w:eastAsia="Microsoft YaHei"/>
          <w:b/>
          <w:color w:val="C00000"/>
          <w:sz w:val="22"/>
        </w:rPr>
        <w:t>► 5个核心数字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2026E GMV = 26 亿元 (YoY +53%, Q4首次季度盈利)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2027E GMV = 36 亿元 (YoY +38%, 全年经营利润≈2.1亿元)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 年累计投入 = 11.5 亿元 (营销 8 + 仓储 3.5, 分2年)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IRR (模型) = 36.3% (远超 10% 资金成本基准)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盈亏平衡: 2026Q4 (季度) / 2027 (年度) — 比"稳健"原方案提前1个季度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8"/>
          <w:sz w:val="30"/>
        </w:rPr>
        <w:t>四、敏感性分析:推荐方案的安全边际</w:t>
      </w:r>
    </w:p>
    <w:p>
      <w:r>
        <w:rPr>
          <w:rFonts w:ascii="Microsoft YaHei" w:hAnsi="Microsoft YaHei" w:eastAsia="Microsoft YaHei"/>
          <w:sz w:val="21"/>
        </w:rPr>
        <w:t>在 2027E "GMV增速 × 营销费用率" 双变量矩阵中: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安全区(增速50-100% × 营销率10-15%): 2027E经营利润率 2-7%, 推荐方案落在此区, 即使任一变量恶化10%, 仍可保持盈利。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烧钱陷阱(增速130% × 营销率22%): 利润率仍-10%, 类Temu路径不适合现阶段我司。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萎缩陷阱(增速30% × 营销率10%): 缺乏获客驱动, 利润率仅0-1%, 增长后劲不足。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关键拐点: 营销费用率超过15%且增速未到70%, 利润快速恶化; 反之15%营销率+70%增速触发规模红利, 多+1pp利润率。</w:t>
      </w:r>
    </w:p>
    <w:p>
      <w:pPr>
        <w:shd w:val="clear" w:fill="FFF2CC"/>
      </w:pPr>
      <w:r>
        <w:rPr>
          <w:rFonts w:ascii="Microsoft YaHei" w:hAnsi="Microsoft YaHei" w:eastAsia="Microsoft YaHei"/>
          <w:b/>
          <w:color w:val="C00000"/>
          <w:sz w:val="22"/>
        </w:rPr>
        <w:t>对决策含义: 推荐方案选择"营销率14-15% + 50-70%增速"区间, 在保证UE改善的同时, 把弹药用在最关键的市场扩张窗口。安全边际充足: 营销率±2pp、GMV增速±15pp 仍能保持正IRR。</w:t>
      </w:r>
    </w:p>
    <w:p>
      <w:r>
        <w:rPr>
          <w:rFonts w:ascii="Microsoft YaHei" w:hAnsi="Microsoft YaHei" w:eastAsia="Microsoft YaHei"/>
          <w:b/>
          <w:color w:val="1F4E78"/>
          <w:sz w:val="30"/>
        </w:rPr>
        <w:t>五、风险识别与对策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概率/严重性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应对预案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R1 价格战恶化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高 (Temu烧钱8亿$/年)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不正面PK低价, 用"3C/家居+本地服务"差异化; 高敏SKU设置价格保护带; 营销ROI触发熔断 (ROI&lt;2.0时自动减投)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R2 头部下沉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中 (Noon收购Namshi后下一步可能进3C)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加速沙特/埃及次级市场建仓 (12个月内完成), 形成"先到优势"; 与本地零售集团建立联营; 锁定3-5个独家品牌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R3 履约时效不达预期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中 (本地物流不稳定)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与3家本地物流双轨签约 + 自建末端配送, 设置 KPI 触发条款; 仓储扩容前置(2026Q1 落地)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R4 汇率与监管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中 (USD/SAR与油价联动, DSP本地化要求)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收入结算分批锁汇, 沙特数据本地化提前合规; 设立中东独立运营主体</w:t>
            </w:r>
          </w:p>
        </w:tc>
      </w:tr>
    </w:tbl>
    <w:p>
      <w:r>
        <w:rPr>
          <w:rFonts w:ascii="Microsoft YaHei" w:hAnsi="Microsoft YaHei" w:eastAsia="Microsoft YaHei"/>
          <w:b/>
          <w:color w:val="1F4E78"/>
          <w:sz w:val="30"/>
        </w:rPr>
        <w:t>六、本周决策清单</w:t>
      </w:r>
    </w:p>
    <w:p>
      <w:r>
        <w:rPr>
          <w:rFonts w:ascii="Microsoft YaHei" w:hAnsi="Microsoft YaHei" w:eastAsia="Microsoft YaHei"/>
          <w:sz w:val="21"/>
        </w:rPr>
        <w:t>为推动推荐方案落地, 本周须完成以下决策: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批准 2026 年营销预算 4.8 亿元 (60% × 8亿) + 仓储投资 1.75 亿元 (50% × 3.5亿)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通过仓储扩容方案: 沙特+埃及双仓双中心, 总面积扩至 10 万㎡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锁定 3 家本地物流合作伙伴并启动 KPI 对赌合同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授权 CMO/品类总启动小家电/智能家居 50 个 SKU 导入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启动 Pre-IPO 财务顾问对接 (按 2027 IRR≈36% 路径估值)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☐  批准 IRR 模型与监控仪表盘, 季度复盘 (公式见附件Excel 04/05/06表)</w:t>
      </w:r>
    </w:p>
    <w:p/>
    <w:p>
      <w:pPr>
        <w:shd w:val="clear" w:fill="DDEBF7"/>
      </w:pPr>
      <w:r>
        <w:rPr>
          <w:rFonts w:ascii="Microsoft YaHei" w:hAnsi="Microsoft YaHei" w:eastAsia="Microsoft YaHei"/>
          <w:b/>
          <w:color w:val="1F4E78"/>
          <w:sz w:val="22"/>
        </w:rPr>
        <w:t>► 行动节奏 — 4个90天里程碑:</w:t>
        <w:br/>
        <w:t xml:space="preserve">   2026 Q1 仓配能力扩容 (Owner: COO)</w:t>
        <w:br/>
        <w:t xml:space="preserve">   2026 Q2 品类与心智深化 (Owner: CMO + 品类总)</w:t>
        <w:br/>
        <w:t xml:space="preserve">   2026 Q3 UE 验证与放量 (Owner: CFO + CMO)</w:t>
        <w:br/>
        <w:t xml:space="preserve">   2026 Q4 季度盈利与资本动作 (Owner: CEO + CFO)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8"/>
          <w:sz w:val="30"/>
        </w:rPr>
        <w:t>附录:配套Excel分析模型 — 8张表说明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Sheet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可调假设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00_说明与口径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文件用途、口径校准、汇率假设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01_原始数据_清洗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3张原表合并清洗, 百分比统一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只读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02_我司KPI趋势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11季度KPI + QoQ/YoY/CAGR + UE分析 + 趋势图(2张)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UE公式可联动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03_竞品对标分析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烧钱效率/仓储效率/排名 + SWOT + 排名图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只读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04_情景预测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5情景 + 推荐方案8季度逐季 + IRR现金流明细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黄色单元格(GM/履约/营销/其他)可调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05_敏感性分析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GMV增速×营销率双矩阵 (利润率+利润金额)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6个基础假设可调, 双矩阵自动重算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06_可视化仪表盘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GMV趋势/利润率改善/竞品规模/情景对比 4张原生图表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假设变化时图表自动更新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07_结论与建议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5核心数字 + 4里程碑 + 3风险 + 决策清单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808080"/>
          <w:sz w:val="20"/>
        </w:rPr>
        <w:t>— 报告完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