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ASF</w:t>
      </w:r>
    </w:p>
    <w:p>
      <w:r>
        <w:t>Vendor Name: Ashford Seating &amp; Furniture</w:t>
      </w:r>
    </w:p>
    <w:p>
      <w:r>
        <w:rPr>
          <w:b/>
        </w:rPr>
        <w:t>Quotation Summary:</w:t>
      </w:r>
    </w:p>
    <w:p>
      <w:r>
        <w:t>Vendor Code: ASF</w:t>
        <w:br/>
        <w:t>Vendor: Ashford Seating &amp; Furniture</w:t>
        <w:br/>
        <w:t>Quotation Reference: ASF-2509-01-R2</w:t>
        <w:br/>
        <w:t>Quotation Date: 19 September 2025</w:t>
        <w:br/>
        <w:t>Item Offered: Ashford Contour Pro task chair with synchro-tilt mechanism and adjustable seat depth</w:t>
        <w:br/>
        <w:t>Quantity Quoted: 150 units</w:t>
        <w:br/>
        <w:t>Unit Price: USD 309.50 per chair</w:t>
        <w:br/>
        <w:t>Volume Discount: 4% on goods for orders of 150 units or more</w:t>
        <w:br/>
        <w:t>Freight: Included in the unit price (single delivery to the Riverside site)</w:t>
        <w:br/>
        <w:t>Lead Time: 40 calendar days after receipt of purchase order</w:t>
        <w:br/>
        <w:t>Warranty: 6 years on mechanism and base</w:t>
        <w:br/>
        <w:t>Certifications: BIFMA X5.1 certified</w:t>
        <w:br/>
        <w:t>Quote Validity: Valid until 31 December 2025</w:t>
        <w:br/>
        <w:t>Payment Terms: Net 45 days from invoice</w:t>
        <w:br/>
        <w:t>Notes: This quotation supersedes our quotation ASF-2509-01 dated 5 September 2025 in its entirety.</w:t>
      </w:r>
    </w:p>
    <w:p>
      <w:r>
        <w:rPr>
          <w:b/>
        </w:rPr>
        <w:t>Due Diligence Notes:</w:t>
      </w:r>
    </w:p>
    <w:p>
      <w:r>
        <w:t>Vendor Code: ASF</w:t>
        <w:br/>
        <w:t>Registered Name: Ashford Seating &amp; Furniture Ltd.</w:t>
        <w:br/>
        <w:t>ISO 9001: Certificate AS-9001-0871, valid until 9 February 2027</w:t>
        <w:br/>
        <w:t>Reference Checks: Two references contacted (Harlow Insurance, Pinecrest College); both satisfactory</w:t>
        <w:br/>
        <w:t>Delivery History: One previous order (2022 training centre) delivered one week late because of port congestion</w:t>
        <w:br/>
        <w:t>Financial Standing: Credit rating A-; no adverse findings</w:t>
        <w:br/>
        <w:t>Notes: The vendor confirmed that revised pricing was issued after our clarification call on 18 September 2025.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44,568.00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6/6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Award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