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Calibri" w:hAnsi="Calibri"/>
          <w:b/>
          <w:sz w:val="28"/>
        </w:rPr>
        <w:t>Quotation Evaluation Sheet</w:t>
      </w:r>
    </w:p>
    <w:p>
      <w:r>
        <w:t>Vendor Code: BVL</w:t>
      </w:r>
    </w:p>
    <w:p>
      <w:r>
        <w:t>Vendor Name: Blue Valley Logistics &amp; Furnishing</w:t>
      </w:r>
    </w:p>
    <w:p>
      <w:r>
        <w:rPr>
          <w:b/>
        </w:rPr>
        <w:t>Quotation Summary:</w:t>
      </w:r>
    </w:p>
    <w:p>
      <w:r>
        <w:t>Vendor Code: BVL</w:t>
        <w:br/>
        <w:t>Vendor: Blue Valley Logistics &amp; Furnishing</w:t>
        <w:br/>
        <w:t>Quotation Reference: BVL/0906/RIV</w:t>
        <w:br/>
        <w:t>Quotation Date: 6 September 2025</w:t>
        <w:br/>
        <w:t>Item Offered: BV FlexBack task chair, mesh back, polished aluminium base</w:t>
        <w:br/>
        <w:t>Quantity Quoted: 150 units</w:t>
        <w:br/>
        <w:t>Unit Price: USD 279.00 per chair</w:t>
        <w:br/>
        <w:t>Volume Discount: None (prices quoted are already net)</w:t>
        <w:br/>
        <w:t>Freight: USD 2,400.00 in two shipments to the Riverside site</w:t>
        <w:br/>
        <w:t>Lead Time: 50 calendar days after receipt of purchase order</w:t>
        <w:br/>
        <w:t>Warranty: 3 years on mechanism, 1 year on fabric</w:t>
        <w:br/>
        <w:t>Certifications: BIFMA X5.1 certified</w:t>
        <w:br/>
        <w:t>Quote Validity: Valid until 1 December 2025</w:t>
        <w:br/>
        <w:t>Payment Terms: 50% deposit with order, balance on delivery</w:t>
        <w:br/>
        <w:t>Notes: Two shipments are required because of container availability; both are included in the freight figure above.</w:t>
      </w:r>
    </w:p>
    <w:p>
      <w:r>
        <w:rPr>
          <w:b/>
        </w:rPr>
        <w:t>Due Diligence Notes:</w:t>
      </w:r>
    </w:p>
    <w:p>
      <w:r>
        <w:t>Vendor Code: BVL</w:t>
        <w:br/>
        <w:t>Registered Name: Blue Valley Logistics &amp; Furnishing LLC</w:t>
        <w:br/>
        <w:t>ISO 9001: Certificate BV-22-3190, valid until 30 April 2026</w:t>
        <w:br/>
        <w:t>Reference Checks: Two references contacted; one reported a late delivery in 2024</w:t>
        <w:br/>
        <w:t>Delivery History: No previous orders with us</w:t>
        <w:br/>
        <w:t>Financial Standing: Credit rating B+; no adverse findings</w:t>
        <w:br/>
        <w:t>Notes: Consistently the lowest pricing in previous tenders; warranty terms have been raised as a concern before.</w:t>
      </w:r>
    </w:p>
    <w:p>
      <w:r>
        <w:rPr>
          <w:b/>
        </w:rPr>
        <w:t>Evaluation Conclusion: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  <w:shd w:val="clear" w:color="auto" w:fill="D9D9D9"/>
          </w:tcPr>
          <w:p>
            <w:pPr>
              <w:jc w:val="center"/>
            </w:pPr>
            <w:r>
              <w:t>Total Evaluated Cost (USD)</w:t>
            </w:r>
          </w:p>
        </w:tc>
        <w:tc>
          <w:tcPr>
            <w:tcW w:type="dxa" w:w="2160"/>
            <w:vAlign w:val="top"/>
            <w:shd w:val="clear" w:color="auto" w:fill="D9D9D9"/>
          </w:tcPr>
          <w:p>
            <w:pPr>
              <w:jc w:val="center"/>
            </w:pPr>
            <w:r>
              <w:t>Mandatory Criteria Met</w:t>
            </w:r>
          </w:p>
        </w:tc>
        <w:tc>
          <w:tcPr>
            <w:tcW w:type="dxa" w:w="2160"/>
            <w:vAlign w:val="top"/>
            <w:shd w:val="clear" w:color="auto" w:fill="D9D9D9"/>
          </w:tcPr>
          <w:p>
            <w:pPr>
              <w:jc w:val="center"/>
            </w:pPr>
            <w:r>
              <w:t>Decision</w:t>
            </w:r>
          </w:p>
        </w:tc>
        <w:tc>
          <w:tcPr>
            <w:tcW w:type="dxa" w:w="2160"/>
            <w:vAlign w:val="top"/>
            <w:shd w:val="clear" w:color="auto" w:fill="D9D9D9"/>
          </w:tcPr>
          <w:p>
            <w:pPr>
              <w:jc w:val="center"/>
            </w:pPr>
            <w:r>
              <w:t>Disqualification Reasons</w:t>
            </w:r>
          </w:p>
        </w:tc>
      </w:tr>
      <w:tr>
        <w:tc>
          <w:tcPr>
            <w:tcW w:type="dxa" w:w="2160"/>
            <w:vAlign w:val="top"/>
            <w:shd w:val="clear" w:color="auto" w:fill="DAEEF3"/>
          </w:tcPr>
          <w:p>
            <w:pPr>
              <w:jc w:val="center"/>
            </w:pPr>
            <w:r>
              <w:t>44,250.00</w:t>
            </w:r>
          </w:p>
        </w:tc>
        <w:tc>
          <w:tcPr>
            <w:tcW w:type="dxa" w:w="2160"/>
            <w:vAlign w:val="top"/>
            <w:shd w:val="clear" w:color="auto" w:fill="DAEEF3"/>
          </w:tcPr>
          <w:p>
            <w:pPr>
              <w:jc w:val="center"/>
            </w:pPr>
            <w:r>
              <w:t>4/6</w:t>
            </w:r>
          </w:p>
        </w:tc>
        <w:tc>
          <w:tcPr>
            <w:tcW w:type="dxa" w:w="2160"/>
            <w:vAlign w:val="top"/>
            <w:shd w:val="clear" w:color="auto" w:fill="DAEEF3"/>
          </w:tcPr>
          <w:p>
            <w:pPr>
              <w:jc w:val="center"/>
            </w:pPr>
            <w:r>
              <w:t>Disqualified</w:t>
            </w:r>
          </w:p>
        </w:tc>
        <w:tc>
          <w:tcPr>
            <w:tcW w:type="dxa" w:w="2160"/>
            <w:vAlign w:val="top"/>
            <w:shd w:val="clear" w:color="auto" w:fill="DAEEF3"/>
          </w:tcPr>
          <w:p>
            <w:pPr>
              <w:jc w:val="center"/>
            </w:pPr>
            <w:r>
              <w:t>Lead time exceeds 45 days; Warranty below 5 years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