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Calibri" w:hAnsi="Calibri"/>
          <w:b/>
          <w:sz w:val="28"/>
        </w:rPr>
        <w:t>Quotation Evaluation Sheet</w:t>
      </w:r>
    </w:p>
    <w:p>
      <w:r>
        <w:t>Vendor Code: HMP</w:t>
      </w:r>
    </w:p>
    <w:p>
      <w:r>
        <w:t>Vendor Name: Harbor &amp; Main Procurement</w:t>
      </w:r>
    </w:p>
    <w:p>
      <w:r>
        <w:rPr>
          <w:b/>
        </w:rPr>
        <w:t>Quotation Summary:</w:t>
      </w:r>
    </w:p>
    <w:p>
      <w:r>
        <w:t>Vendor Code: HMP</w:t>
        <w:br/>
        <w:t>Vendor: Harbor &amp; Main Procurement</w:t>
        <w:br/>
        <w:t>Quotation Reference: HM-25-0912</w:t>
        <w:br/>
        <w:t>Quotation Date: 9 September 2025</w:t>
        <w:br/>
        <w:t>Item Offered: Harbor Line Ergo 7 task chair with adjustable lumbar support and seat slide</w:t>
        <w:br/>
        <w:t>Quantity Quoted: 150 units</w:t>
        <w:br/>
        <w:t>Unit Price: USD 299.00 per chair</w:t>
        <w:br/>
        <w:t>Volume Discount: 10% on goods for orders of 200 units or more</w:t>
        <w:br/>
        <w:t>Freight: USD 1,750.00 to the Riverside site</w:t>
        <w:br/>
        <w:t>Lead Time: 42 calendar days after receipt of purchase order</w:t>
        <w:br/>
        <w:t>Warranty: 60 months on mechanism and gas lift</w:t>
        <w:br/>
        <w:t>Certifications: BIFMA X5.1 certified</w:t>
        <w:br/>
        <w:t>Quote Validity: Valid until 31 October 2025</w:t>
        <w:br/>
        <w:t>Payment Terms: Net 30 days from invoice</w:t>
        <w:br/>
        <w:t>Notes: Should the order be increased to 200 chairs, the 10% volume discount would apply to the whole order.</w:t>
      </w:r>
    </w:p>
    <w:p>
      <w:r>
        <w:rPr>
          <w:b/>
        </w:rPr>
        <w:t>Due Diligence Notes:</w:t>
      </w:r>
    </w:p>
    <w:p>
      <w:r>
        <w:t>Vendor Code: HMP</w:t>
        <w:br/>
        <w:t>Registered Name: Harbor &amp; Main Procurement Inc.</w:t>
        <w:br/>
        <w:t>ISO 9001: Certificate HM-9001-1160, valid until 20 October 2025 (renewal audit completed, new certificate pending)</w:t>
        <w:br/>
        <w:t>Reference Checks: Two references contacted; both satisfactory</w:t>
        <w:br/>
        <w:t>Delivery History: No previous orders with us</w:t>
        <w:br/>
        <w:t>Financial Standing: Credit rating A; no adverse findings</w:t>
        <w:br/>
        <w:t>Notes: None.</w:t>
      </w:r>
    </w:p>
    <w:p>
      <w:r>
        <w:rPr>
          <w:b/>
        </w:rPr>
        <w:t>Evaluation Conclusion: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top"/>
            <w:shd w:val="clear" w:color="auto" w:fill="D9D9D9"/>
          </w:tcPr>
          <w:p>
            <w:pPr>
              <w:jc w:val="center"/>
            </w:pPr>
            <w:r>
              <w:t>Total Evaluated Cost (USD)</w:t>
            </w:r>
          </w:p>
        </w:tc>
        <w:tc>
          <w:tcPr>
            <w:tcW w:type="dxa" w:w="2160"/>
            <w:vAlign w:val="top"/>
            <w:shd w:val="clear" w:color="auto" w:fill="D9D9D9"/>
          </w:tcPr>
          <w:p>
            <w:pPr>
              <w:jc w:val="center"/>
            </w:pPr>
            <w:r>
              <w:t>Mandatory Criteria Met</w:t>
            </w:r>
          </w:p>
        </w:tc>
        <w:tc>
          <w:tcPr>
            <w:tcW w:type="dxa" w:w="2160"/>
            <w:vAlign w:val="top"/>
            <w:shd w:val="clear" w:color="auto" w:fill="D9D9D9"/>
          </w:tcPr>
          <w:p>
            <w:pPr>
              <w:jc w:val="center"/>
            </w:pPr>
            <w:r>
              <w:t>Decision</w:t>
            </w:r>
          </w:p>
        </w:tc>
        <w:tc>
          <w:tcPr>
            <w:tcW w:type="dxa" w:w="2160"/>
            <w:vAlign w:val="top"/>
            <w:shd w:val="clear" w:color="auto" w:fill="D9D9D9"/>
          </w:tcPr>
          <w:p>
            <w:pPr>
              <w:jc w:val="center"/>
            </w:pPr>
            <w:r>
              <w:t>Disqualification Reasons</w:t>
            </w:r>
          </w:p>
        </w:tc>
      </w:tr>
      <w:tr>
        <w:tc>
          <w:tcPr>
            <w:tcW w:type="dxa" w:w="2160"/>
            <w:vAlign w:val="top"/>
            <w:shd w:val="clear" w:color="auto" w:fill="DAEEF3"/>
          </w:tcPr>
          <w:p>
            <w:pPr>
              <w:jc w:val="center"/>
            </w:pPr>
            <w:r>
              <w:t>46,600.00</w:t>
            </w:r>
          </w:p>
        </w:tc>
        <w:tc>
          <w:tcPr>
            <w:tcW w:type="dxa" w:w="2160"/>
            <w:vAlign w:val="top"/>
            <w:shd w:val="clear" w:color="auto" w:fill="DAEEF3"/>
          </w:tcPr>
          <w:p>
            <w:pPr>
              <w:jc w:val="center"/>
            </w:pPr>
            <w:r>
              <w:t>6/6</w:t>
            </w:r>
          </w:p>
        </w:tc>
        <w:tc>
          <w:tcPr>
            <w:tcW w:type="dxa" w:w="2160"/>
            <w:vAlign w:val="top"/>
            <w:shd w:val="clear" w:color="auto" w:fill="DAEEF3"/>
          </w:tcPr>
          <w:p>
            <w:pPr>
              <w:jc w:val="center"/>
            </w:pPr>
            <w:r>
              <w:t>Compliant - Not Selected</w:t>
            </w:r>
          </w:p>
        </w:tc>
        <w:tc>
          <w:tcPr>
            <w:tcW w:type="dxa" w:w="2160"/>
            <w:vAlign w:val="top"/>
            <w:shd w:val="clear" w:color="auto" w:fill="DAEEF3"/>
          </w:tcPr>
          <w:p>
            <w:pPr>
              <w:jc w:val="center"/>
            </w:pPr>
            <w:r>
              <w:t>None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