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KWE</w:t>
      </w:r>
    </w:p>
    <w:p>
      <w:r>
        <w:t>Vendor Name: Kestrel Workspace Europe GmbH</w:t>
      </w:r>
    </w:p>
    <w:p>
      <w:r>
        <w:rPr>
          <w:b/>
        </w:rPr>
        <w:t>Quotation Summary:</w:t>
      </w:r>
    </w:p>
    <w:p>
      <w:r>
        <w:t>Vendor Code: KWE</w:t>
        <w:br/>
        <w:t>Vendor: Kestrel Workspace Europe GmbH</w:t>
        <w:br/>
        <w:t>Quotation Reference: KWE-EX-3308</w:t>
        <w:br/>
        <w:t>Quotation Date: 10 September 2025</w:t>
        <w:br/>
        <w:t>Item Offered: Kestrel Motion S2 task chair, mesh back, EN 1335 tested</w:t>
        <w:br/>
        <w:t>Quantity Quoted: 150 units</w:t>
        <w:br/>
        <w:t>Unit Price: EUR 282.50 per unit</w:t>
        <w:br/>
        <w:t>Volume Discount: None</w:t>
        <w:br/>
        <w:t>Freight: EUR 900.00, sea freight delivered to the Riverside site (DAP)</w:t>
        <w:br/>
        <w:t>Lead Time: 35 calendar days after receipt of purchase order</w:t>
        <w:br/>
        <w:t>Warranty: 5 years on mechanism</w:t>
        <w:br/>
        <w:t>Certifications: BIFMA X5.1 certified; EN 1335</w:t>
        <w:br/>
        <w:t>Quote Validity: Valid until 15 November 2025</w:t>
        <w:br/>
        <w:t>Payment Terms: Net 30 days from invoice</w:t>
        <w:br/>
        <w:t>Notes: All prices are in euro. Import duties, if any, are for the buyer's account.</w:t>
      </w:r>
    </w:p>
    <w:p>
      <w:r>
        <w:rPr>
          <w:b/>
        </w:rPr>
        <w:t>Due Diligence Notes:</w:t>
      </w:r>
    </w:p>
    <w:p>
      <w:r>
        <w:t>Vendor Code: KWE</w:t>
        <w:br/>
        <w:t>Registered Name: Kestrel Workspace Europe GmbH</w:t>
        <w:br/>
        <w:t>ISO 9001: Certificate DE-9001-55821, valid until 3 August 2027</w:t>
        <w:br/>
        <w:t>Reference Checks: Two references contacted; both satisfactory</w:t>
        <w:br/>
        <w:t>Delivery History: No previous orders with us; the vendor quoted in euro in earlier tenders as well</w:t>
        <w:br/>
        <w:t>Financial Standing: Credit rating A; no adverse findings</w:t>
        <w:br/>
        <w:t>Notes: No import duties are expected for this product category.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46,737.00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6/6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Compliant - Not Selected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