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PRM</w:t>
      </w:r>
    </w:p>
    <w:p>
      <w:r>
        <w:t>Vendor Name: Premier Ergonomics Inc.</w:t>
      </w:r>
    </w:p>
    <w:p>
      <w:r>
        <w:rPr>
          <w:b/>
        </w:rPr>
        <w:t>Quotation Summary:</w:t>
      </w:r>
    </w:p>
    <w:p>
      <w:r>
        <w:t>Vendor Code: PRM</w:t>
        <w:br/>
        <w:t>Vendor: Premier Ergonomics Inc.</w:t>
        <w:br/>
        <w:t>Quotation Reference: PE-25-2209</w:t>
        <w:br/>
        <w:t>Quotation Date: 17 September 2025</w:t>
        <w:br/>
        <w:t>Item Offered: Premier Apex executive task chair, mesh back, adjustable headrest and 4D arms</w:t>
        <w:br/>
        <w:t>Quantity Quoted: 150 units</w:t>
        <w:br/>
        <w:t>Unit Price: USD 412.00 per chair</w:t>
        <w:br/>
        <w:t>Volume Discount: 5% on goods for orders of 100 units or more</w:t>
        <w:br/>
        <w:t>Freight: USD 1,900.00 to the Riverside site</w:t>
        <w:br/>
        <w:t>Lead Time: 20 calendar days after receipt of purchase order</w:t>
        <w:br/>
        <w:t>Warranty: 10 years on mechanism, 5 years on fabric</w:t>
        <w:br/>
        <w:t>Certifications: BIFMA X5.1 certified; GREENGUARD Gold</w:t>
        <w:br/>
        <w:t>Quote Validity: Valid until 31 December 2025</w:t>
        <w:br/>
        <w:t>Payment Terms: Net 30 days from invoice</w:t>
        <w:br/>
        <w:t>Notes: Price includes white-glove delivery and workstation assembly.</w:t>
      </w:r>
    </w:p>
    <w:p>
      <w:r>
        <w:rPr>
          <w:b/>
        </w:rPr>
        <w:t>Due Diligence Notes:</w:t>
      </w:r>
    </w:p>
    <w:p>
      <w:r>
        <w:t>Vendor Code: PRM</w:t>
        <w:br/>
        <w:t>Registered Name: Premier Ergonomics Inc.</w:t>
        <w:br/>
        <w:t>ISO 9001: Certificate PE-0932, valid until 11 January 2028</w:t>
        <w:br/>
        <w:t>Reference Checks: Two references contacted; both satisfactory</w:t>
        <w:br/>
        <w:t>Delivery History: No previous orders with us</w:t>
        <w:br/>
        <w:t>Financial Standing: Credit rating A; no adverse findings</w:t>
        <w:br/>
        <w:t>Notes: Positioned as a premium brand; pricing has historically exceeded our budgets.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60,610.00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5/6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Disqualified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Exceeds budget ceiling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