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SOL</w:t>
      </w:r>
    </w:p>
    <w:p>
      <w:r>
        <w:t>Vendor Name: Solstice Contract Interiors</w:t>
      </w:r>
    </w:p>
    <w:p>
      <w:r>
        <w:rPr>
          <w:b/>
        </w:rPr>
        <w:t>Quotation Summary:</w:t>
      </w:r>
    </w:p>
    <w:p>
      <w:r>
        <w:t>Vendor Code: SOL</w:t>
        <w:br/>
        <w:t>Vendor: Solstice Contract Interiors</w:t>
        <w:br/>
        <w:t>Quotation Reference: SCI-Q-2025-118</w:t>
        <w:br/>
        <w:t>Quotation Date: 8 September 2025</w:t>
        <w:br/>
        <w:t>Item Offered: Solstice Meridian task chair, mesh back, height-adjustable arms</w:t>
        <w:br/>
        <w:t>Quantity Quoted: 150 units</w:t>
        <w:br/>
        <w:t>Unit Price: USD 289.60 per chair</w:t>
        <w:br/>
        <w:t>Volume Discount: 5% on goods for orders of 100 units or more</w:t>
        <w:br/>
        <w:t>Freight: USD 1,100.00 for delivery to the Riverside site</w:t>
        <w:br/>
        <w:t>Lead Time: 38 calendar days after receipt of purchase order</w:t>
        <w:br/>
        <w:t>Warranty: 5 years on mechanism</w:t>
        <w:br/>
        <w:t>Certifications: BIFMA X5.1 certified</w:t>
        <w:br/>
        <w:t>Quote Validity: Valid for 30 days from the quotation date</w:t>
        <w:br/>
        <w:t>Payment Terms: Net 30 days from invoice</w:t>
        <w:br/>
        <w:t>Notes: Pricing is based on our September production slot; an extension of the validity period can be requested in writing.</w:t>
      </w:r>
    </w:p>
    <w:p>
      <w:r>
        <w:rPr>
          <w:b/>
        </w:rPr>
        <w:t>Due Diligence Notes:</w:t>
      </w:r>
    </w:p>
    <w:p>
      <w:r>
        <w:t>Vendor Code: SOL</w:t>
        <w:br/>
        <w:t>Registered Name: Solstice Contract Interiors</w:t>
        <w:br/>
        <w:t>ISO 9001: Certificate SC-9001-7714, valid until 27 May 2026</w:t>
        <w:br/>
        <w:t>Reference Checks: Two references contacted; both satisfactory</w:t>
        <w:br/>
        <w:t>Delivery History: One previous order (2024 meeting rooms) delivered on schedule</w:t>
        <w:br/>
        <w:t>Financial Standing: Credit rating A-; no adverse findings</w:t>
        <w:br/>
        <w:t>Notes: The sales representative mentioned that quotation validity periods are kept short because of fabric price volatility.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42,368.00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5/6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Disqualified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Quote expires before award 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