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TRV</w:t>
      </w:r>
    </w:p>
    <w:p>
      <w:r>
        <w:t>Vendor Name: Trevane Commercial Furniture</w:t>
      </w:r>
    </w:p>
    <w:p>
      <w:r>
        <w:rPr>
          <w:b/>
        </w:rPr>
        <w:t>Quotation Summary:</w:t>
      </w:r>
    </w:p>
    <w:p>
      <w:r>
        <w:t>Vendor Code: TRV</w:t>
        <w:br/>
        <w:t>Vendor: Trevane Commercial Furniture</w:t>
        <w:br/>
        <w:t>Quotation Reference: TCF-Q-0915</w:t>
        <w:br/>
        <w:t>Quotation Date: 15 September 2025</w:t>
        <w:br/>
        <w:t>Item Offered: Trevane Axis task chair with mesh back and adjustable headrest</w:t>
        <w:br/>
        <w:t>Quantity Quoted: 120 units (the balance of 30 units can be supplied from Q1 2026)</w:t>
        <w:br/>
        <w:t>Unit Price: USD 301.00 per chair</w:t>
        <w:br/>
        <w:t>Volume Discount: 3% on goods for orders of 100 units or more</w:t>
        <w:br/>
        <w:t>Freight: USD 950.00 to the Riverside site</w:t>
        <w:br/>
        <w:t>Lead Time: 28 calendar days after receipt of purchase order</w:t>
        <w:br/>
        <w:t>Warranty: 7 years on all components</w:t>
        <w:br/>
        <w:t>Certifications: BIFMA X5.1 certified</w:t>
        <w:br/>
        <w:t>Quote Validity: Valid until 31 December 2025</w:t>
        <w:br/>
        <w:t>Payment Terms: Net 30 days from invoice</w:t>
        <w:br/>
        <w:t>Notes: 120 chairs are available from current stock; the remaining 30 would follow in the first quarter of 2026 at the same unit price.</w:t>
      </w:r>
    </w:p>
    <w:p>
      <w:r>
        <w:rPr>
          <w:b/>
        </w:rPr>
        <w:t>Due Diligence Notes:</w:t>
      </w:r>
    </w:p>
    <w:p>
      <w:r>
        <w:t>Vendor Code: TRV</w:t>
        <w:br/>
        <w:t>Registered Name: Trevane Commercial Furniture</w:t>
        <w:br/>
        <w:t>ISO 9001: Certificate TC-9001-4402, valid until 18 September 2026</w:t>
        <w:br/>
        <w:t>Reference Checks: Two references contacted; both satisfactory</w:t>
        <w:br/>
        <w:t>Delivery History: No previous orders with us</w:t>
        <w:br/>
        <w:t>Financial Standing: Credit rating B+; no adverse findings</w:t>
        <w:br/>
        <w:t>Notes: Stock levels are limited; the vendor usually delivers in tranches.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35,986.40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5/6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Disqualified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Partial quantity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