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dotDotDash" w:color="auto" w:sz="2" w:space="0"/>
          <w:insideV w:val="dotDotDash" w:color="auto" w:sz="2" w:space="0"/>
        </w:tblBorders>
        <w:tblLayout w:type="autofit"/>
        <w:tblCellMar>
          <w:left w:w="108" w:type="dxa"/>
          <w:right w:w="108" w:type="dxa"/>
        </w:tblCellMar>
      </w:tblPr>
      <w:tblGrid>
        <w:gridCol w:w="2052"/>
        <w:gridCol w:w="738"/>
        <w:gridCol w:w="738"/>
        <w:gridCol w:w="2113"/>
        <w:gridCol w:w="1926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POP3 110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离线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接收邮件</w:t>
            </w:r>
          </w:p>
        </w:tc>
        <w:tc>
          <w:tcPr>
            <w:tcW w:w="0" w:type="auto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NFS</w:t>
            </w:r>
          </w:p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网络文件系统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DHCP 67 动态分配ip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实现具体应用功能</w:t>
            </w:r>
          </w:p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定义数据格式,加密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建立,管理,终止会话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应用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FTP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上传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20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下载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TFTP 69 传输文件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HTTP 80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超文本传输</w:t>
            </w:r>
          </w:p>
        </w:tc>
        <w:tc>
          <w:tcPr>
            <w:tcW w:w="0" w:type="auto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SNMP 161 网络管理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Telnet 23 远程访问</w:t>
            </w:r>
          </w:p>
        </w:tc>
        <w:tc>
          <w:tcPr>
            <w:tcW w:w="0" w:type="auto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DNS 53 域名解析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SMTP 25 简单邮件</w:t>
            </w:r>
          </w:p>
        </w:tc>
        <w:tc>
          <w:tcPr>
            <w:tcW w:w="0" w:type="auto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TCP</w:t>
            </w:r>
          </w:p>
        </w:tc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UDP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端到端连接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传输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报文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rPr>
          <w:trHeight w:val="719" w:hRule="atLeast"/>
        </w:trPr>
        <w:tc>
          <w:tcPr>
            <w:tcW w:w="0" w:type="auto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IP 网际协议</w:t>
            </w: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ICMP 因特网控制协议    IGMP 组播协议/网关信息协议</w:t>
            </w:r>
          </w:p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ARP 地址解析 IP-&gt;MAC   RARP反向地址解析 MAC-&gt;IP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三层交换机 路由功能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路由器 解决</w:t>
            </w: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广播冲突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网络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0" w:type="auto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CSMA/CD载波监听多路访问</w:t>
            </w:r>
          </w:p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TokingRing 令牌环</w:t>
            </w:r>
          </w:p>
        </w:tc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定义单个链路如何传输数据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网桥</w:t>
            </w:r>
          </w:p>
          <w:p>
            <w:pPr>
              <w:jc w:val="center"/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交换机 </w:t>
            </w: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解决分流冲突</w:t>
            </w:r>
          </w:p>
          <w:p>
            <w:pPr>
              <w:jc w:val="center"/>
              <w:rPr>
                <w:rFonts w:hint="default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多冲突域1广播域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链路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dotDotDash" w:color="auto" w:sz="2" w:space="0"/>
            <w:insideV w:val="dotDotDash" w:color="auto" w:sz="2" w:space="0"/>
          </w:tblBorders>
          <w:tblCellMar>
            <w:left w:w="108" w:type="dxa"/>
            <w:right w:w="108" w:type="dxa"/>
          </w:tblCellMar>
        </w:tblPrEx>
        <w:trPr>
          <w:trHeight w:val="656" w:hRule="atLeast"/>
        </w:trPr>
        <w:tc>
          <w:tcPr>
            <w:tcW w:w="0" w:type="auto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规范连接头、帧、编码等的定义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集线器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Hub</w:t>
            </w: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分流冲突</w:t>
            </w:r>
          </w:p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szCs w:val="18"/>
                <w:vertAlign w:val="baseline"/>
                <w:lang w:val="en-US" w:eastAsia="zh-CN"/>
              </w:rPr>
              <w:t>1冲突域1广播域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物理</w:t>
            </w:r>
            <w:r>
              <w:rPr>
                <w:rFonts w:hint="eastAsia"/>
                <w:color w:val="FF0000"/>
                <w:sz w:val="18"/>
                <w:szCs w:val="18"/>
                <w:vertAlign w:val="baseline"/>
                <w:lang w:val="en-US" w:eastAsia="zh-CN"/>
              </w:rPr>
              <w:t>比特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2020-08-23T07:13:24Z</dcterms:created>
  <dc:creator>howlett</dc:creator>
  <cp:lastModifiedBy>娇殿大人の骑士</cp:lastModifiedBy>
  <dcterms:modified xsi:type="dcterms:W3CDTF">2020-08-23T07:58:54Z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