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根据供应商的地理位置、取货频率确定运输</w:t>
      </w:r>
      <w:r>
        <w:rPr>
          <w:rFonts w:hint="eastAsia"/>
          <w:b/>
          <w:bCs/>
          <w:lang w:val="en-US" w:eastAsia="zh-CN"/>
        </w:rPr>
        <w:t>卡车型号和数量</w:t>
      </w:r>
      <w:r>
        <w:rPr>
          <w:rFonts w:hint="eastAsia"/>
          <w:lang w:val="en-US" w:eastAsia="zh-CN"/>
        </w:rPr>
        <w:t>、到供应商出取货顺序及路线</w:t>
      </w:r>
    </w:p>
    <w:p>
      <w:pPr>
        <w:numPr>
          <w:ilvl w:val="0"/>
          <w:numId w:val="1"/>
        </w:numPr>
      </w:pPr>
      <w:r>
        <w:rPr>
          <w:rFonts w:hint="eastAsia"/>
          <w:lang w:val="en-US" w:eastAsia="zh-CN"/>
        </w:rPr>
        <w:t>供应商的分类、选择和判断，一条Milk-Run路径要遍历哪些供应商，针对于整个供应商网络需要设计多少条Milk-Run路径</w:t>
      </w:r>
    </w:p>
    <w:p>
      <w:pPr>
        <w:numPr>
          <w:ilvl w:val="0"/>
          <w:numId w:val="1"/>
        </w:numPr>
      </w:pPr>
      <w:r>
        <w:rPr>
          <w:rFonts w:hint="eastAsia"/>
          <w:lang w:val="en-US" w:eastAsia="zh-CN"/>
        </w:rPr>
        <w:t>车辆混载设计、货车需求量，以运输车辆的装载率最高作为衡量运输成本的重要标志设计有限车辆数量。</w:t>
      </w:r>
    </w:p>
    <w:p>
      <w:pPr>
        <w:numPr>
          <w:ilvl w:val="0"/>
          <w:numId w:val="1"/>
        </w:numPr>
        <w:ind w:left="0" w:leftChars="0" w:firstLine="0" w:firstLineChars="0"/>
        <w:rPr>
          <w:rFonts w:hint="default"/>
          <w:lang w:val="en-US" w:eastAsia="zh-CN"/>
        </w:rPr>
      </w:pPr>
      <w:r>
        <w:rPr>
          <w:rFonts w:hint="eastAsia"/>
          <w:lang w:val="en-US" w:eastAsia="zh-CN"/>
        </w:rPr>
        <w:t>包装箱规格汇总和车辆装载设计</w:t>
      </w:r>
    </w:p>
    <w:p>
      <w:pPr>
        <w:numPr>
          <w:ilvl w:val="0"/>
          <w:numId w:val="1"/>
        </w:numPr>
        <w:ind w:left="0" w:leftChars="0" w:firstLine="0" w:firstLineChars="0"/>
        <w:rPr>
          <w:rFonts w:hint="default"/>
          <w:b/>
          <w:bCs/>
          <w:lang w:val="en-US" w:eastAsia="zh-CN"/>
        </w:rPr>
      </w:pPr>
      <w:r>
        <w:rPr>
          <w:rFonts w:hint="eastAsia"/>
          <w:lang w:val="en-US" w:eastAsia="zh-CN"/>
        </w:rPr>
        <w:t>以</w:t>
      </w:r>
      <w:r>
        <w:rPr>
          <w:rFonts w:hint="eastAsia"/>
          <w:b/>
          <w:bCs/>
          <w:lang w:val="en-US" w:eastAsia="zh-CN"/>
        </w:rPr>
        <w:t>严格的窗口时间？</w:t>
      </w:r>
      <w:r>
        <w:rPr>
          <w:rFonts w:hint="eastAsia"/>
          <w:lang w:val="en-US" w:eastAsia="zh-CN"/>
        </w:rPr>
        <w:t>和行驶路线的设定配合闭环式运输运作</w:t>
      </w:r>
    </w:p>
    <w:p>
      <w:pPr>
        <w:numPr>
          <w:ilvl w:val="0"/>
          <w:numId w:val="1"/>
        </w:numPr>
        <w:ind w:left="0" w:leftChars="0" w:firstLine="0" w:firstLineChars="0"/>
        <w:rPr>
          <w:rFonts w:hint="default"/>
          <w:b/>
          <w:bCs/>
          <w:lang w:val="en-US" w:eastAsia="zh-CN"/>
        </w:rPr>
      </w:pPr>
      <w:bookmarkStart w:id="0" w:name="_GoBack"/>
      <w:bookmarkEnd w:id="0"/>
      <w:r>
        <w:rPr>
          <w:rFonts w:hint="default"/>
          <w:lang w:val="en-US" w:eastAsia="zh-CN"/>
        </w:rPr>
        <w:t>在实际运作过程中，运输车辆的路径安排要考虑各个供应商的出货地址、</w:t>
      </w:r>
      <w:r>
        <w:rPr>
          <w:rFonts w:hint="default"/>
          <w:b/>
          <w:bCs/>
          <w:lang w:val="en-US" w:eastAsia="zh-CN"/>
        </w:rPr>
        <w:t>严格的出货窗口设置</w:t>
      </w:r>
      <w:r>
        <w:rPr>
          <w:rFonts w:hint="eastAsia"/>
          <w:b/>
          <w:bCs/>
          <w:lang w:val="en-US" w:eastAsia="zh-CN"/>
        </w:rPr>
        <w:t>？</w:t>
      </w:r>
    </w:p>
    <w:p>
      <w:pPr>
        <w:widowControl w:val="0"/>
        <w:numPr>
          <w:numId w:val="0"/>
        </w:numPr>
        <w:jc w:val="both"/>
        <w:rPr>
          <w:rFonts w:hint="eastAsia"/>
          <w:b/>
          <w:bCs/>
          <w:lang w:val="en-US" w:eastAsia="zh-CN"/>
        </w:rPr>
      </w:pPr>
    </w:p>
    <w:p>
      <w:pPr>
        <w:widowControl w:val="0"/>
        <w:numPr>
          <w:numId w:val="0"/>
        </w:numPr>
        <w:jc w:val="both"/>
        <w:rPr>
          <w:rFonts w:hint="default"/>
          <w:b/>
          <w:bCs/>
          <w:lang w:val="en-US" w:eastAsia="zh-CN"/>
        </w:rPr>
      </w:pPr>
      <w:r>
        <w:drawing>
          <wp:inline distT="0" distB="0" distL="114300" distR="114300">
            <wp:extent cx="2990850" cy="2311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90850" cy="23114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F1EBD"/>
    <w:multiLevelType w:val="singleLevel"/>
    <w:tmpl w:val="7ACF1EB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90A46"/>
    <w:rsid w:val="41E90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2019-08-27T08:24:00Z</dcterms:created>
  <dc:creator>格子</dc:creator>
  <cp:lastModifiedBy>格子</cp:lastModifiedBy>
  <dcterms:modified xsi:type="dcterms:W3CDTF">2019-08-27T08:45:34Z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