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8BC3C" w14:textId="77777777" w:rsidR="001A4D72" w:rsidRDefault="00000000">
      <w:pPr>
        <w:spacing w:before="200" w:after="160" w:line="360" w:lineRule="auto"/>
        <w:ind w:right="403"/>
        <w:jc w:val="center"/>
        <w:rPr>
          <w:rFonts w:ascii="Times New Roman" w:eastAsia="黑体" w:hAnsi="Times New Roman" w:cs="Times New Roman"/>
          <w:b/>
          <w:bCs/>
          <w:kern w:val="0"/>
          <w:sz w:val="36"/>
          <w:szCs w:val="44"/>
        </w:rPr>
      </w:pPr>
      <w:commentRangeStart w:id="0"/>
      <w:commentRangeStart w:id="1"/>
      <w:r>
        <w:rPr>
          <w:rFonts w:ascii="Times New Roman" w:eastAsia="黑体" w:hAnsi="Times New Roman" w:cs="Times New Roman"/>
          <w:b/>
          <w:bCs/>
          <w:kern w:val="0"/>
          <w:sz w:val="36"/>
          <w:szCs w:val="44"/>
        </w:rPr>
        <w:t>基于多阶段分析策略的加热卷烟烟气</w:t>
      </w:r>
      <w:r>
        <w:rPr>
          <w:rFonts w:ascii="Times New Roman" w:eastAsia="黑体" w:hAnsi="Times New Roman" w:cs="Times New Roman"/>
          <w:b/>
          <w:bCs/>
          <w:kern w:val="0"/>
          <w:sz w:val="36"/>
          <w:szCs w:val="44"/>
        </w:rPr>
        <w:t>“</w:t>
      </w:r>
      <w:r>
        <w:rPr>
          <w:rFonts w:ascii="Times New Roman" w:eastAsia="黑体" w:hAnsi="Times New Roman" w:cs="Times New Roman"/>
          <w:b/>
          <w:bCs/>
          <w:kern w:val="0"/>
          <w:sz w:val="36"/>
          <w:szCs w:val="44"/>
        </w:rPr>
        <w:t>酸感</w:t>
      </w:r>
      <w:r>
        <w:rPr>
          <w:rFonts w:ascii="Times New Roman" w:eastAsia="黑体" w:hAnsi="Times New Roman" w:cs="Times New Roman"/>
          <w:b/>
          <w:bCs/>
          <w:kern w:val="0"/>
          <w:sz w:val="36"/>
          <w:szCs w:val="44"/>
        </w:rPr>
        <w:t>”</w:t>
      </w:r>
      <w:r>
        <w:rPr>
          <w:rFonts w:ascii="Times New Roman" w:eastAsia="黑体" w:hAnsi="Times New Roman" w:cs="Times New Roman"/>
          <w:b/>
          <w:bCs/>
          <w:kern w:val="0"/>
          <w:sz w:val="36"/>
          <w:szCs w:val="44"/>
        </w:rPr>
        <w:t>物质基础研究</w:t>
      </w:r>
      <w:commentRangeEnd w:id="1"/>
      <w:r>
        <w:rPr>
          <w:rStyle w:val="a4"/>
          <w:rFonts w:ascii="Times New Roman" w:eastAsia="黑体" w:hAnsi="Times New Roman" w:cs="Times New Roman"/>
          <w:b/>
          <w:bCs/>
          <w:kern w:val="0"/>
          <w:sz w:val="36"/>
          <w:szCs w:val="44"/>
        </w:rPr>
        <w:commentReference w:id="1"/>
      </w:r>
      <w:commentRangeEnd w:id="0"/>
      <w:r>
        <w:rPr>
          <w:rStyle w:val="a4"/>
          <w:rFonts w:ascii="Times New Roman" w:eastAsia="黑体" w:hAnsi="Times New Roman" w:cs="Times New Roman"/>
          <w:b/>
          <w:bCs/>
          <w:kern w:val="0"/>
          <w:sz w:val="36"/>
          <w:szCs w:val="44"/>
        </w:rPr>
        <w:commentReference w:id="0"/>
      </w:r>
    </w:p>
    <w:p w14:paraId="52B8BC3D" w14:textId="77777777" w:rsidR="001A4D72" w:rsidRDefault="00000000">
      <w:pPr>
        <w:snapToGrid w:val="0"/>
        <w:spacing w:line="360" w:lineRule="auto"/>
        <w:rPr>
          <w:rFonts w:ascii="Times New Roman" w:eastAsia="宋体" w:hAnsi="Times New Roman" w:cs="Times New Roman"/>
          <w:szCs w:val="24"/>
        </w:rPr>
      </w:pPr>
      <w:r>
        <w:rPr>
          <w:b/>
          <w:bCs/>
          <w:kern w:val="0"/>
        </w:rPr>
        <w:t>摘要：</w:t>
      </w:r>
      <w:r>
        <w:t>【背景和目的】</w:t>
      </w:r>
      <w:r>
        <w:rPr>
          <w:rFonts w:ascii="Times New Roman" w:eastAsia="宋体" w:hAnsi="Times New Roman" w:cs="Times New Roman"/>
          <w:szCs w:val="24"/>
        </w:rPr>
        <w:t>感官品质是决定加热卷烟产品市场竞争力的核心要素，其中</w:t>
      </w:r>
      <w:r>
        <w:rPr>
          <w:rFonts w:ascii="Times New Roman" w:eastAsia="宋体" w:hAnsi="Times New Roman" w:cs="Times New Roman"/>
          <w:szCs w:val="24"/>
        </w:rPr>
        <w:t>“</w:t>
      </w:r>
      <w:r>
        <w:rPr>
          <w:rFonts w:ascii="Times New Roman" w:eastAsia="宋体" w:hAnsi="Times New Roman" w:cs="Times New Roman"/>
          <w:szCs w:val="24"/>
        </w:rPr>
        <w:t>酸感</w:t>
      </w:r>
      <w:r>
        <w:rPr>
          <w:rFonts w:ascii="Times New Roman" w:eastAsia="宋体" w:hAnsi="Times New Roman" w:cs="Times New Roman"/>
          <w:szCs w:val="24"/>
        </w:rPr>
        <w:t>”</w:t>
      </w:r>
      <w:r>
        <w:rPr>
          <w:rFonts w:ascii="Times New Roman" w:eastAsia="宋体" w:hAnsi="Times New Roman" w:cs="Times New Roman"/>
          <w:szCs w:val="24"/>
        </w:rPr>
        <w:t>作为一种关键但形成机制复杂的感官属性，其化学物质基础尚不明确。</w:t>
      </w:r>
      <w:r>
        <w:t>【方法】</w:t>
      </w:r>
      <w:r>
        <w:rPr>
          <w:rFonts w:ascii="Times New Roman" w:eastAsia="宋体" w:hAnsi="Times New Roman" w:cs="Times New Roman"/>
          <w:szCs w:val="24"/>
        </w:rPr>
        <w:t>本研究首先采用正交偏最小二乘判别分析（</w:t>
      </w:r>
      <w:r>
        <w:rPr>
          <w:rFonts w:ascii="Times New Roman" w:eastAsia="宋体" w:hAnsi="Times New Roman" w:cs="Times New Roman"/>
          <w:szCs w:val="24"/>
        </w:rPr>
        <w:t>OPLS-DA</w:t>
      </w:r>
      <w:r>
        <w:rPr>
          <w:rFonts w:ascii="Times New Roman" w:eastAsia="宋体" w:hAnsi="Times New Roman" w:cs="Times New Roman"/>
          <w:szCs w:val="24"/>
        </w:rPr>
        <w:t>）与随机森林（</w:t>
      </w:r>
      <w:r>
        <w:rPr>
          <w:rFonts w:ascii="Times New Roman" w:eastAsia="宋体" w:hAnsi="Times New Roman" w:cs="Times New Roman"/>
          <w:szCs w:val="24"/>
        </w:rPr>
        <w:t>Boruta</w:t>
      </w:r>
      <w:r>
        <w:rPr>
          <w:rFonts w:ascii="Times New Roman" w:eastAsia="宋体" w:hAnsi="Times New Roman" w:cs="Times New Roman"/>
          <w:szCs w:val="24"/>
        </w:rPr>
        <w:t>）算法相结合的方法，对具有显著酸感差异的加热卷烟烟叶原料样品化学组分与加热卷烟烟气组分进行全面筛选，构建了一个包含</w:t>
      </w:r>
      <w:r>
        <w:rPr>
          <w:rFonts w:ascii="Times New Roman" w:eastAsia="宋体" w:hAnsi="Times New Roman" w:cs="Times New Roman"/>
          <w:szCs w:val="24"/>
        </w:rPr>
        <w:t>53</w:t>
      </w:r>
      <w:r>
        <w:rPr>
          <w:rFonts w:ascii="Times New Roman" w:eastAsia="宋体" w:hAnsi="Times New Roman" w:cs="Times New Roman"/>
          <w:szCs w:val="24"/>
        </w:rPr>
        <w:t>种物质的候选核心物质列表。随后，通过建立偏最小二乘回归（</w:t>
      </w:r>
      <w:r>
        <w:rPr>
          <w:rFonts w:ascii="Times New Roman" w:eastAsia="宋体" w:hAnsi="Times New Roman" w:cs="Times New Roman"/>
          <w:szCs w:val="24"/>
        </w:rPr>
        <w:t>PLS-R</w:t>
      </w:r>
      <w:r>
        <w:rPr>
          <w:rFonts w:ascii="Times New Roman" w:eastAsia="宋体" w:hAnsi="Times New Roman" w:cs="Times New Roman"/>
          <w:szCs w:val="24"/>
        </w:rPr>
        <w:t>）模型验证了该物质组合的整体预测效度。最终，基于斯皮尔曼相关性分析（</w:t>
      </w:r>
      <w:r>
        <w:rPr>
          <w:rFonts w:ascii="Times New Roman" w:eastAsia="宋体" w:hAnsi="Times New Roman" w:cs="Times New Roman"/>
          <w:szCs w:val="24"/>
        </w:rPr>
        <w:t>p &lt; 0.05</w:t>
      </w:r>
      <w:r>
        <w:rPr>
          <w:rFonts w:ascii="Times New Roman" w:eastAsia="宋体" w:hAnsi="Times New Roman" w:cs="Times New Roman"/>
          <w:szCs w:val="24"/>
        </w:rPr>
        <w:t>）与</w:t>
      </w:r>
      <w:r>
        <w:rPr>
          <w:rFonts w:ascii="Times New Roman" w:eastAsia="宋体" w:hAnsi="Times New Roman" w:cs="Times New Roman"/>
          <w:szCs w:val="24"/>
        </w:rPr>
        <w:t>PLS-R</w:t>
      </w:r>
      <w:r>
        <w:rPr>
          <w:rFonts w:ascii="Times New Roman" w:eastAsia="宋体" w:hAnsi="Times New Roman" w:cs="Times New Roman"/>
          <w:szCs w:val="24"/>
        </w:rPr>
        <w:t>模型</w:t>
      </w:r>
      <w:r>
        <w:rPr>
          <w:rFonts w:ascii="Times New Roman" w:eastAsia="宋体" w:hAnsi="Times New Roman" w:cs="Times New Roman"/>
          <w:szCs w:val="24"/>
        </w:rPr>
        <w:t>VIP</w:t>
      </w:r>
      <w:r>
        <w:rPr>
          <w:rFonts w:ascii="Times New Roman" w:eastAsia="宋体" w:hAnsi="Times New Roman" w:cs="Times New Roman"/>
          <w:szCs w:val="24"/>
        </w:rPr>
        <w:t>值（</w:t>
      </w:r>
      <w:r>
        <w:rPr>
          <w:rFonts w:ascii="Times New Roman" w:eastAsia="宋体" w:hAnsi="Times New Roman" w:cs="Times New Roman"/>
          <w:szCs w:val="24"/>
        </w:rPr>
        <w:t>VIP &gt; 1</w:t>
      </w:r>
      <w:r>
        <w:rPr>
          <w:rFonts w:ascii="Times New Roman" w:eastAsia="宋体" w:hAnsi="Times New Roman" w:cs="Times New Roman"/>
          <w:szCs w:val="24"/>
        </w:rPr>
        <w:t>）的双重准则，对候选物进行精炼，并确定了最终的核心物质。</w:t>
      </w:r>
      <w:r>
        <w:t>【结果】</w:t>
      </w:r>
      <w:r>
        <w:rPr>
          <w:rFonts w:ascii="Times New Roman" w:eastAsia="宋体" w:hAnsi="Times New Roman" w:cs="Times New Roman"/>
          <w:szCs w:val="24"/>
        </w:rPr>
        <w:t>该策略成功筛选出</w:t>
      </w:r>
      <w:r>
        <w:rPr>
          <w:rFonts w:ascii="Times New Roman" w:eastAsia="宋体" w:hAnsi="Times New Roman" w:cs="Times New Roman"/>
          <w:szCs w:val="24"/>
        </w:rPr>
        <w:t>21</w:t>
      </w:r>
      <w:r>
        <w:rPr>
          <w:rFonts w:ascii="Times New Roman" w:eastAsia="宋体" w:hAnsi="Times New Roman" w:cs="Times New Roman"/>
          <w:szCs w:val="24"/>
        </w:rPr>
        <w:t>种与</w:t>
      </w:r>
      <w:r>
        <w:rPr>
          <w:rFonts w:ascii="Times New Roman" w:eastAsia="宋体" w:hAnsi="Times New Roman" w:cs="Times New Roman"/>
          <w:szCs w:val="24"/>
        </w:rPr>
        <w:t>“</w:t>
      </w:r>
      <w:r>
        <w:rPr>
          <w:rFonts w:ascii="Times New Roman" w:eastAsia="宋体" w:hAnsi="Times New Roman" w:cs="Times New Roman"/>
          <w:szCs w:val="24"/>
        </w:rPr>
        <w:t>酸感</w:t>
      </w:r>
      <w:r>
        <w:rPr>
          <w:rFonts w:ascii="Times New Roman" w:eastAsia="宋体" w:hAnsi="Times New Roman" w:cs="Times New Roman"/>
          <w:szCs w:val="24"/>
        </w:rPr>
        <w:t>”</w:t>
      </w:r>
      <w:r>
        <w:rPr>
          <w:rFonts w:ascii="Times New Roman" w:eastAsia="宋体" w:hAnsi="Times New Roman" w:cs="Times New Roman"/>
          <w:szCs w:val="24"/>
        </w:rPr>
        <w:t>高度相关的核心化学物质。其中，以酚类、有机酸、糖及其降解产物为代表的</w:t>
      </w:r>
      <w:r>
        <w:rPr>
          <w:rFonts w:ascii="Times New Roman" w:eastAsia="宋体" w:hAnsi="Times New Roman" w:cs="Times New Roman"/>
          <w:szCs w:val="24"/>
        </w:rPr>
        <w:t>18</w:t>
      </w:r>
      <w:r>
        <w:rPr>
          <w:rFonts w:ascii="Times New Roman" w:eastAsia="宋体" w:hAnsi="Times New Roman" w:cs="Times New Roman"/>
          <w:szCs w:val="24"/>
        </w:rPr>
        <w:t>种物质呈显著正相关，是酸感的主要贡献因素；而以二元羧酸（草酸、丙二酸）和总氮指标为代表的</w:t>
      </w:r>
      <w:r>
        <w:rPr>
          <w:rFonts w:ascii="Times New Roman" w:eastAsia="宋体" w:hAnsi="Times New Roman" w:cs="Times New Roman"/>
          <w:szCs w:val="24"/>
        </w:rPr>
        <w:t>3</w:t>
      </w:r>
      <w:r>
        <w:rPr>
          <w:rFonts w:ascii="Times New Roman" w:eastAsia="宋体" w:hAnsi="Times New Roman" w:cs="Times New Roman"/>
          <w:szCs w:val="24"/>
        </w:rPr>
        <w:t>种物质则呈显著负相关，表明其对酸感可能具有抑制或平衡作用。</w:t>
      </w:r>
      <w:r>
        <w:t>【结论】</w:t>
      </w:r>
      <w:r>
        <w:rPr>
          <w:rFonts w:ascii="Times New Roman" w:eastAsia="宋体" w:hAnsi="Times New Roman" w:cs="Times New Roman"/>
          <w:szCs w:val="24"/>
        </w:rPr>
        <w:t>本研究构建的</w:t>
      </w:r>
      <w:r>
        <w:rPr>
          <w:rFonts w:ascii="Times New Roman" w:eastAsia="宋体" w:hAnsi="Times New Roman" w:cs="Times New Roman"/>
          <w:szCs w:val="24"/>
        </w:rPr>
        <w:t>“</w:t>
      </w:r>
      <w:r>
        <w:rPr>
          <w:rFonts w:ascii="Times New Roman" w:eastAsia="宋体" w:hAnsi="Times New Roman" w:cs="Times New Roman"/>
          <w:szCs w:val="24"/>
        </w:rPr>
        <w:t>筛选</w:t>
      </w:r>
      <w:r>
        <w:rPr>
          <w:rFonts w:ascii="Times New Roman" w:eastAsia="宋体" w:hAnsi="Times New Roman" w:cs="Times New Roman"/>
          <w:szCs w:val="24"/>
        </w:rPr>
        <w:t>-</w:t>
      </w:r>
      <w:r>
        <w:rPr>
          <w:rFonts w:ascii="Times New Roman" w:eastAsia="宋体" w:hAnsi="Times New Roman" w:cs="Times New Roman"/>
          <w:szCs w:val="24"/>
        </w:rPr>
        <w:t>验证</w:t>
      </w:r>
      <w:r>
        <w:rPr>
          <w:rFonts w:ascii="Times New Roman" w:eastAsia="宋体" w:hAnsi="Times New Roman" w:cs="Times New Roman"/>
          <w:szCs w:val="24"/>
        </w:rPr>
        <w:t>-</w:t>
      </w:r>
      <w:r>
        <w:rPr>
          <w:rFonts w:ascii="Times New Roman" w:eastAsia="宋体" w:hAnsi="Times New Roman" w:cs="Times New Roman"/>
          <w:szCs w:val="24"/>
        </w:rPr>
        <w:t>精炼</w:t>
      </w:r>
      <w:r>
        <w:rPr>
          <w:rFonts w:ascii="Times New Roman" w:eastAsia="宋体" w:hAnsi="Times New Roman" w:cs="Times New Roman"/>
          <w:szCs w:val="24"/>
        </w:rPr>
        <w:t>”</w:t>
      </w:r>
      <w:r>
        <w:rPr>
          <w:rFonts w:ascii="Times New Roman" w:eastAsia="宋体" w:hAnsi="Times New Roman" w:cs="Times New Roman"/>
          <w:szCs w:val="24"/>
        </w:rPr>
        <w:t>分析框架为复杂感官属性的化学溯源提供了一个高效范式。研究结果不仅揭示了加热卷烟</w:t>
      </w:r>
      <w:r>
        <w:rPr>
          <w:rFonts w:ascii="Times New Roman" w:eastAsia="宋体" w:hAnsi="Times New Roman" w:cs="Times New Roman"/>
          <w:szCs w:val="24"/>
        </w:rPr>
        <w:t>“</w:t>
      </w:r>
      <w:r>
        <w:rPr>
          <w:rFonts w:ascii="Times New Roman" w:eastAsia="宋体" w:hAnsi="Times New Roman" w:cs="Times New Roman"/>
          <w:szCs w:val="24"/>
        </w:rPr>
        <w:t>酸感</w:t>
      </w:r>
      <w:r>
        <w:rPr>
          <w:rFonts w:ascii="Times New Roman" w:eastAsia="宋体" w:hAnsi="Times New Roman" w:cs="Times New Roman"/>
          <w:szCs w:val="24"/>
        </w:rPr>
        <w:t>”</w:t>
      </w:r>
      <w:r>
        <w:rPr>
          <w:rFonts w:ascii="Times New Roman" w:eastAsia="宋体" w:hAnsi="Times New Roman" w:cs="Times New Roman"/>
          <w:szCs w:val="24"/>
        </w:rPr>
        <w:t>的关键物质基础，也为原料筛选、产品质量控制及定向感官品质调控提供了可靠的化学指标与科学依据。</w:t>
      </w:r>
    </w:p>
    <w:p w14:paraId="52B8BC3E" w14:textId="77777777" w:rsidR="001A4D72" w:rsidRDefault="00000000">
      <w:pPr>
        <w:snapToGrid w:val="0"/>
        <w:spacing w:line="360" w:lineRule="auto"/>
        <w:rPr>
          <w:rFonts w:ascii="Times New Roman" w:eastAsia="宋体" w:hAnsi="Times New Roman" w:cs="Times New Roman"/>
          <w:szCs w:val="24"/>
        </w:rPr>
        <w:sectPr w:rsidR="001A4D72">
          <w:pgSz w:w="11906" w:h="16838"/>
          <w:pgMar w:top="1440" w:right="1797" w:bottom="1440" w:left="1797" w:header="0" w:footer="0" w:gutter="0"/>
          <w:cols w:space="720"/>
          <w:formProt w:val="0"/>
          <w:docGrid w:linePitch="326"/>
        </w:sectPr>
      </w:pPr>
      <w:r>
        <w:rPr>
          <w:b/>
          <w:bCs/>
          <w:kern w:val="0"/>
        </w:rPr>
        <w:t>关键词：</w:t>
      </w:r>
      <w:r>
        <w:rPr>
          <w:rFonts w:ascii="Times New Roman" w:eastAsia="宋体" w:hAnsi="Times New Roman" w:cs="Times New Roman"/>
          <w:szCs w:val="24"/>
        </w:rPr>
        <w:t>加热卷烟；感官品质；酸感；</w:t>
      </w:r>
      <w:commentRangeStart w:id="2"/>
      <w:r>
        <w:rPr>
          <w:rFonts w:ascii="Times New Roman" w:eastAsia="宋体" w:hAnsi="Times New Roman" w:cs="Times New Roman"/>
          <w:szCs w:val="24"/>
        </w:rPr>
        <w:t>机器学习</w:t>
      </w:r>
      <w:commentRangeStart w:id="3"/>
      <w:commentRangeEnd w:id="2"/>
      <w:r>
        <w:rPr>
          <w:rStyle w:val="a4"/>
          <w:rFonts w:ascii="Times New Roman" w:eastAsia="宋体" w:hAnsi="Times New Roman" w:cs="Times New Roman"/>
          <w:sz w:val="24"/>
          <w:szCs w:val="24"/>
        </w:rPr>
        <w:commentReference w:id="2"/>
      </w:r>
      <w:commentRangeEnd w:id="3"/>
      <w:r>
        <w:rPr>
          <w:rStyle w:val="a4"/>
          <w:rFonts w:ascii="Times New Roman" w:eastAsia="宋体" w:hAnsi="Times New Roman" w:cs="Times New Roman"/>
          <w:sz w:val="24"/>
          <w:szCs w:val="24"/>
        </w:rPr>
        <w:commentReference w:id="3"/>
      </w:r>
    </w:p>
    <w:p w14:paraId="52B8BC3F" w14:textId="77777777" w:rsidR="001A4D72" w:rsidRDefault="00000000">
      <w:pPr>
        <w:spacing w:before="120" w:after="120"/>
        <w:ind w:left="403" w:right="403"/>
        <w:jc w:val="center"/>
        <w:rPr>
          <w:rFonts w:ascii="Times New Roman" w:eastAsia="宋体" w:hAnsi="Times New Roman" w:cs="Times New Roman"/>
          <w:kern w:val="0"/>
          <w:sz w:val="32"/>
          <w:szCs w:val="24"/>
        </w:rPr>
      </w:pPr>
      <w:r>
        <w:rPr>
          <w:rFonts w:ascii="Times New Roman" w:eastAsia="宋体" w:hAnsi="Times New Roman" w:cs="Times New Roman"/>
          <w:kern w:val="0"/>
          <w:sz w:val="32"/>
          <w:szCs w:val="24"/>
        </w:rPr>
        <w:lastRenderedPageBreak/>
        <w:t>A study on the material basis of 'acid sensation' in heated cigarette smoke based on a multi-stage analysis strategy</w:t>
      </w:r>
    </w:p>
    <w:p w14:paraId="52B8BC40" w14:textId="77777777" w:rsidR="001A4D72" w:rsidRDefault="00000000">
      <w:pPr>
        <w:snapToGrid w:val="0"/>
        <w:spacing w:line="360" w:lineRule="auto"/>
        <w:rPr>
          <w:rFonts w:ascii="Times New Roman" w:eastAsia="宋体" w:hAnsi="Times New Roman" w:cs="Times New Roman"/>
          <w:sz w:val="21"/>
          <w:szCs w:val="24"/>
        </w:rPr>
      </w:pPr>
      <w:r>
        <w:rPr>
          <w:b/>
          <w:bCs/>
          <w:kern w:val="0"/>
        </w:rPr>
        <w:t>Abstract</w:t>
      </w:r>
      <w:r>
        <w:rPr>
          <w:b/>
          <w:bCs/>
          <w:kern w:val="0"/>
        </w:rPr>
        <w:t>：</w:t>
      </w:r>
      <w:r>
        <w:t>[</w:t>
      </w:r>
      <w:r>
        <w:rPr>
          <w:b/>
        </w:rPr>
        <w:t>Background</w:t>
      </w:r>
      <w:r>
        <w:t xml:space="preserve">] </w:t>
      </w:r>
      <w:r>
        <w:rPr>
          <w:rFonts w:ascii="Times New Roman" w:eastAsia="宋体" w:hAnsi="Times New Roman" w:cs="Times New Roman"/>
          <w:sz w:val="21"/>
          <w:szCs w:val="24"/>
        </w:rPr>
        <w:t xml:space="preserve">Sensory quality is the core factor determining the market competitiveness of heated tobacco products (the HTPs). As a key but mechanistically complex sensory attribute, the chemical basis for “sourness perception” remains unclear. </w:t>
      </w:r>
      <w:r>
        <w:t>[</w:t>
      </w:r>
      <w:r>
        <w:rPr>
          <w:b/>
        </w:rPr>
        <w:t>Methods</w:t>
      </w:r>
      <w:r>
        <w:t xml:space="preserve">] </w:t>
      </w:r>
      <w:r>
        <w:rPr>
          <w:rFonts w:ascii="Times New Roman" w:eastAsia="宋体" w:hAnsi="Times New Roman" w:cs="Times New Roman"/>
          <w:sz w:val="21"/>
          <w:szCs w:val="24"/>
        </w:rPr>
        <w:t xml:space="preserve">This study first employed a combined approach of orthogonal partial least squares discriminant analysis (OPLS-DA) and the Boruta algorithm to comprehensively screen the chemical components of heated tobacco leaf samples exhibiting significant acidity differences and the smoke components of heated tobacco products. This process yielded a candidate core substance list comprising 53 compounds. The predictive validity of this substance portfolio was subsequently verified by establishing a Partial Least Squares Regression (PLS-R) model. Finally, a dual-criterion approach was employed to refine the candidates, identifying the final core substances as those that simultaneously exhibited a significant Spearman correlation (p &lt; 0.05) and a Variable Importance in Projection (VIP) value &gt; 1 in the PLS-R model. </w:t>
      </w:r>
      <w:r>
        <w:rPr>
          <w:rFonts w:eastAsia="仿宋"/>
          <w:kern w:val="0"/>
        </w:rPr>
        <w:t>[</w:t>
      </w:r>
      <w:r>
        <w:rPr>
          <w:rFonts w:eastAsia="仿宋"/>
          <w:b/>
          <w:kern w:val="0"/>
        </w:rPr>
        <w:t>Results</w:t>
      </w:r>
      <w:r>
        <w:rPr>
          <w:rFonts w:eastAsia="仿宋"/>
          <w:kern w:val="0"/>
        </w:rPr>
        <w:t xml:space="preserve">] </w:t>
      </w:r>
      <w:r>
        <w:rPr>
          <w:rFonts w:ascii="Times New Roman" w:eastAsia="宋体" w:hAnsi="Times New Roman" w:cs="Times New Roman"/>
          <w:sz w:val="21"/>
          <w:szCs w:val="24"/>
        </w:rPr>
        <w:t xml:space="preserve">The strategy successfully identified 21 core chemical components highly correlated with sourness perception. Among these, 18 substances, primarily represented by phenols, organic acids, sugars, and their degradation products, were significantly positively correlated and identified as the main contributors to sourness. Conversely, three substances, represented by dicarboxylic acids (oxalic acid, malonic acid) and the total nitrogen index, showed a significant negative correlation, suggesting an inhibitory or balancing effect on sourness. </w:t>
      </w:r>
      <w:r>
        <w:t>[</w:t>
      </w:r>
      <w:r>
        <w:rPr>
          <w:b/>
        </w:rPr>
        <w:t>Conclusion</w:t>
      </w:r>
      <w:r>
        <w:t xml:space="preserve">] </w:t>
      </w:r>
      <w:r>
        <w:rPr>
          <w:rFonts w:ascii="Times New Roman" w:eastAsia="宋体" w:hAnsi="Times New Roman" w:cs="Times New Roman"/>
          <w:sz w:val="21"/>
          <w:szCs w:val="24"/>
        </w:rPr>
        <w:t>The “screening-verification-refining” analytical framework constructed in this study provides an efficient paradigm for the chemical traceability of complex sensory attributes. The findings not only reveal the key chemical basis of “sourness” in heated cigarettes but also provide reliable chemical indicators and a scientific basis for raw material selection, quality control, and for the targeted modulation of sensory quality.</w:t>
      </w:r>
    </w:p>
    <w:p w14:paraId="52B8BC41" w14:textId="77777777" w:rsidR="001A4D72" w:rsidRDefault="001A4D72">
      <w:pPr>
        <w:snapToGrid w:val="0"/>
        <w:spacing w:line="360" w:lineRule="auto"/>
        <w:rPr>
          <w:rFonts w:ascii="Times New Roman" w:eastAsia="宋体" w:hAnsi="Times New Roman" w:cs="Times New Roman"/>
          <w:sz w:val="21"/>
          <w:szCs w:val="21"/>
        </w:rPr>
      </w:pPr>
    </w:p>
    <w:p w14:paraId="52B8BC42" w14:textId="77777777" w:rsidR="001A4D72" w:rsidRDefault="00000000">
      <w:pPr>
        <w:snapToGrid w:val="0"/>
        <w:spacing w:line="360" w:lineRule="auto"/>
        <w:rPr>
          <w:rFonts w:ascii="Times New Roman" w:eastAsia="宋体" w:hAnsi="Times New Roman" w:cs="Times New Roman"/>
          <w:sz w:val="21"/>
          <w:szCs w:val="21"/>
        </w:rPr>
        <w:sectPr w:rsidR="001A4D72">
          <w:pgSz w:w="11906" w:h="16838"/>
          <w:pgMar w:top="1440" w:right="1797" w:bottom="1440" w:left="1797" w:header="0" w:footer="0" w:gutter="0"/>
          <w:cols w:space="720"/>
          <w:formProt w:val="0"/>
          <w:docGrid w:linePitch="326"/>
        </w:sectPr>
      </w:pPr>
      <w:r>
        <w:rPr>
          <w:rFonts w:cs="Times New Roman"/>
          <w:b/>
          <w:bCs/>
          <w:szCs w:val="18"/>
        </w:rPr>
        <w:t>Keyword:</w:t>
      </w:r>
      <w:r>
        <w:rPr>
          <w:rFonts w:ascii="Times New Roman" w:eastAsia="宋体" w:hAnsi="Times New Roman" w:cs="Times New Roman"/>
          <w:sz w:val="21"/>
          <w:szCs w:val="21"/>
        </w:rPr>
        <w:t xml:space="preserve"> </w:t>
      </w:r>
      <w:bookmarkStart w:id="4" w:name="OLE_LINK3"/>
      <w:r>
        <w:rPr>
          <w:rFonts w:ascii="Times New Roman" w:eastAsia="宋体" w:hAnsi="Times New Roman" w:cs="Times New Roman"/>
          <w:sz w:val="21"/>
          <w:szCs w:val="21"/>
        </w:rPr>
        <w:t xml:space="preserve">heated tobacco products; sensory quality; acid sense; machine learning </w:t>
      </w:r>
      <w:bookmarkEnd w:id="4"/>
    </w:p>
    <w:p w14:paraId="52B8BC43" w14:textId="77777777" w:rsidR="001A4D72" w:rsidRDefault="00000000">
      <w:pPr>
        <w:spacing w:line="360" w:lineRule="auto"/>
        <w:ind w:right="403"/>
        <w:rPr>
          <w:b/>
          <w:kern w:val="0"/>
          <w:sz w:val="28"/>
        </w:rPr>
      </w:pPr>
      <w:r>
        <w:rPr>
          <w:b/>
          <w:kern w:val="0"/>
          <w:sz w:val="28"/>
        </w:rPr>
        <w:lastRenderedPageBreak/>
        <w:t xml:space="preserve">0 </w:t>
      </w:r>
      <w:r>
        <w:rPr>
          <w:b/>
          <w:kern w:val="0"/>
          <w:sz w:val="28"/>
        </w:rPr>
        <w:t>引言</w:t>
      </w:r>
    </w:p>
    <w:p w14:paraId="52B8BC44" w14:textId="77777777" w:rsidR="001A4D72" w:rsidRDefault="00000000">
      <w:pPr>
        <w:tabs>
          <w:tab w:val="left" w:pos="9781"/>
          <w:tab w:val="left" w:pos="9923"/>
        </w:tabs>
        <w:snapToGrid w:val="0"/>
        <w:spacing w:line="360" w:lineRule="auto"/>
        <w:ind w:firstLine="480"/>
        <w:rPr>
          <w:rFonts w:ascii="Times New Roman" w:eastAsia="宋体" w:hAnsi="Times New Roman" w:cs="Times New Roman"/>
          <w:szCs w:val="24"/>
        </w:rPr>
      </w:pPr>
      <w:commentRangeStart w:id="5"/>
      <w:r>
        <w:rPr>
          <w:rFonts w:ascii="Times New Roman" w:eastAsia="宋体" w:hAnsi="Times New Roman" w:cs="Times New Roman"/>
          <w:szCs w:val="24"/>
        </w:rPr>
        <w:t>酸感</w:t>
      </w:r>
      <w:commentRangeStart w:id="6"/>
      <w:commentRangeEnd w:id="5"/>
      <w:r>
        <w:rPr>
          <w:rStyle w:val="a4"/>
          <w:rFonts w:ascii="Times New Roman" w:eastAsia="宋体" w:hAnsi="Times New Roman" w:cs="Times New Roman"/>
          <w:sz w:val="24"/>
          <w:szCs w:val="24"/>
        </w:rPr>
        <w:commentReference w:id="5"/>
      </w:r>
      <w:commentRangeEnd w:id="6"/>
      <w:r>
        <w:rPr>
          <w:rStyle w:val="a4"/>
          <w:rFonts w:ascii="Times New Roman" w:eastAsia="宋体" w:hAnsi="Times New Roman" w:cs="Times New Roman"/>
          <w:sz w:val="24"/>
          <w:szCs w:val="24"/>
        </w:rPr>
        <w:commentReference w:id="6"/>
      </w:r>
      <w:r>
        <w:rPr>
          <w:rFonts w:ascii="Times New Roman" w:eastAsia="宋体" w:hAnsi="Times New Roman" w:cs="Times New Roman"/>
          <w:szCs w:val="24"/>
        </w:rPr>
        <w:t>是食品与烟草感官品质的重要组成部分，通常指由有机酸等物质刺激味觉受体产生的复杂味觉感知，其强度与特性不仅取决于单一物质的含量，更依赖于多种呈酸成分的比例协同作用</w:t>
      </w:r>
      <w:r>
        <w:rPr>
          <w:rFonts w:ascii="Times New Roman" w:hAnsi="Times New Roman" w:cs="Times New Roman"/>
          <w:kern w:val="0"/>
          <w:szCs w:val="24"/>
          <w:vertAlign w:val="superscript"/>
        </w:rPr>
        <w:t>[1–3]</w:t>
      </w:r>
      <w:r>
        <w:rPr>
          <w:rFonts w:ascii="Times New Roman" w:eastAsia="宋体" w:hAnsi="Times New Roman" w:cs="Times New Roman"/>
          <w:szCs w:val="24"/>
        </w:rPr>
        <w:t>。在食品领域，酸感物质的研究已较为深入：徐伟</w:t>
      </w:r>
      <w:r>
        <w:rPr>
          <w:rFonts w:ascii="Times New Roman" w:hAnsi="Times New Roman" w:cs="Times New Roman"/>
          <w:kern w:val="0"/>
          <w:szCs w:val="24"/>
          <w:vertAlign w:val="superscript"/>
        </w:rPr>
        <w:t>[1]</w:t>
      </w:r>
      <w:r>
        <w:rPr>
          <w:rFonts w:ascii="Times New Roman" w:eastAsia="宋体" w:hAnsi="Times New Roman" w:cs="Times New Roman"/>
          <w:szCs w:val="24"/>
        </w:rPr>
        <w:t>等研究表明俄式面包发酵过程中，乳酸、乙酸、柠檬酸等</w:t>
      </w:r>
      <w:r>
        <w:rPr>
          <w:rFonts w:ascii="Times New Roman" w:eastAsia="宋体" w:hAnsi="Times New Roman" w:cs="Times New Roman"/>
          <w:szCs w:val="24"/>
        </w:rPr>
        <w:t xml:space="preserve"> 5 </w:t>
      </w:r>
      <w:r>
        <w:rPr>
          <w:rFonts w:ascii="Times New Roman" w:eastAsia="宋体" w:hAnsi="Times New Roman" w:cs="Times New Roman"/>
          <w:szCs w:val="24"/>
        </w:rPr>
        <w:t>种有机酸的动态平衡决定了酸感的柔和度，其中发酵</w:t>
      </w:r>
      <w:r>
        <w:rPr>
          <w:rFonts w:ascii="Times New Roman" w:eastAsia="宋体" w:hAnsi="Times New Roman" w:cs="Times New Roman"/>
          <w:szCs w:val="24"/>
        </w:rPr>
        <w:t xml:space="preserve"> 18 h </w:t>
      </w:r>
      <w:r>
        <w:rPr>
          <w:rFonts w:ascii="Times New Roman" w:eastAsia="宋体" w:hAnsi="Times New Roman" w:cs="Times New Roman"/>
          <w:szCs w:val="24"/>
        </w:rPr>
        <w:t>时有机酸比例最佳，乳酸（</w:t>
      </w:r>
      <w:r>
        <w:rPr>
          <w:rFonts w:ascii="Times New Roman" w:eastAsia="宋体" w:hAnsi="Times New Roman" w:cs="Times New Roman"/>
          <w:szCs w:val="24"/>
        </w:rPr>
        <w:t>402.00 mg/100 g</w:t>
      </w:r>
      <w:r>
        <w:rPr>
          <w:rFonts w:ascii="Times New Roman" w:eastAsia="宋体" w:hAnsi="Times New Roman" w:cs="Times New Roman"/>
          <w:szCs w:val="24"/>
        </w:rPr>
        <w:t>）与乙酸（</w:t>
      </w:r>
      <w:r>
        <w:rPr>
          <w:rFonts w:ascii="Times New Roman" w:eastAsia="宋体" w:hAnsi="Times New Roman" w:cs="Times New Roman"/>
          <w:szCs w:val="24"/>
        </w:rPr>
        <w:t>73.40 mg/100 g</w:t>
      </w:r>
      <w:r>
        <w:rPr>
          <w:rFonts w:ascii="Times New Roman" w:eastAsia="宋体" w:hAnsi="Times New Roman" w:cs="Times New Roman"/>
          <w:szCs w:val="24"/>
        </w:rPr>
        <w:t>）的协同作用使酸感最为适中；刘春凤</w:t>
      </w:r>
      <w:r>
        <w:rPr>
          <w:rFonts w:ascii="Times New Roman" w:hAnsi="Times New Roman" w:cs="Times New Roman"/>
          <w:kern w:val="0"/>
          <w:szCs w:val="24"/>
          <w:vertAlign w:val="superscript"/>
        </w:rPr>
        <w:t>[2]</w:t>
      </w:r>
      <w:r>
        <w:rPr>
          <w:rFonts w:ascii="Times New Roman" w:eastAsia="宋体" w:hAnsi="Times New Roman" w:cs="Times New Roman"/>
          <w:szCs w:val="24"/>
        </w:rPr>
        <w:t>等的研究表明小麦麦芽制麦过程中，乙酸、乳酸、柠檬酸和琥珀酸随发芽时间显著积累，分别较原料增加</w:t>
      </w:r>
      <w:r>
        <w:rPr>
          <w:rFonts w:ascii="Times New Roman" w:eastAsia="宋体" w:hAnsi="Times New Roman" w:cs="Times New Roman"/>
          <w:szCs w:val="24"/>
        </w:rPr>
        <w:t>11.2</w:t>
      </w:r>
      <w:r>
        <w:rPr>
          <w:rFonts w:ascii="Times New Roman" w:eastAsia="宋体" w:hAnsi="Times New Roman" w:cs="Times New Roman"/>
          <w:szCs w:val="24"/>
        </w:rPr>
        <w:t>倍、</w:t>
      </w:r>
      <w:r>
        <w:rPr>
          <w:rFonts w:ascii="Times New Roman" w:eastAsia="宋体" w:hAnsi="Times New Roman" w:cs="Times New Roman"/>
          <w:szCs w:val="24"/>
        </w:rPr>
        <w:t>6.1</w:t>
      </w:r>
      <w:r>
        <w:rPr>
          <w:rFonts w:ascii="Times New Roman" w:eastAsia="宋体" w:hAnsi="Times New Roman" w:cs="Times New Roman"/>
          <w:szCs w:val="24"/>
        </w:rPr>
        <w:t>倍、</w:t>
      </w:r>
      <w:r>
        <w:rPr>
          <w:rFonts w:ascii="Times New Roman" w:eastAsia="宋体" w:hAnsi="Times New Roman" w:cs="Times New Roman"/>
          <w:szCs w:val="24"/>
        </w:rPr>
        <w:t>3.8</w:t>
      </w:r>
      <w:r>
        <w:rPr>
          <w:rFonts w:ascii="Times New Roman" w:eastAsia="宋体" w:hAnsi="Times New Roman" w:cs="Times New Roman"/>
          <w:szCs w:val="24"/>
        </w:rPr>
        <w:t>倍和</w:t>
      </w:r>
      <w:r>
        <w:rPr>
          <w:rFonts w:ascii="Times New Roman" w:eastAsia="宋体" w:hAnsi="Times New Roman" w:cs="Times New Roman"/>
          <w:szCs w:val="24"/>
        </w:rPr>
        <w:t>4.7</w:t>
      </w:r>
      <w:r>
        <w:rPr>
          <w:rFonts w:ascii="Times New Roman" w:eastAsia="宋体" w:hAnsi="Times New Roman" w:cs="Times New Roman"/>
          <w:szCs w:val="24"/>
        </w:rPr>
        <w:t>倍，总酸含量与制麦时间呈线性正相关；马艺荧</w:t>
      </w:r>
      <w:r>
        <w:rPr>
          <w:rFonts w:ascii="Times New Roman" w:hAnsi="Times New Roman" w:cs="Times New Roman"/>
          <w:kern w:val="0"/>
          <w:szCs w:val="24"/>
          <w:vertAlign w:val="superscript"/>
        </w:rPr>
        <w:t>[3]</w:t>
      </w:r>
      <w:r>
        <w:rPr>
          <w:rFonts w:ascii="Times New Roman" w:eastAsia="宋体" w:hAnsi="Times New Roman" w:cs="Times New Roman"/>
          <w:szCs w:val="24"/>
        </w:rPr>
        <w:t>等的研究表明东北酸菜发酵</w:t>
      </w:r>
      <w:r>
        <w:rPr>
          <w:rFonts w:ascii="Times New Roman" w:eastAsia="宋体" w:hAnsi="Times New Roman" w:cs="Times New Roman"/>
          <w:szCs w:val="24"/>
        </w:rPr>
        <w:t xml:space="preserve"> 90 d </w:t>
      </w:r>
      <w:r>
        <w:rPr>
          <w:rFonts w:ascii="Times New Roman" w:eastAsia="宋体" w:hAnsi="Times New Roman" w:cs="Times New Roman"/>
          <w:szCs w:val="24"/>
        </w:rPr>
        <w:t>时，乳酸（</w:t>
      </w:r>
      <w:r>
        <w:rPr>
          <w:rFonts w:ascii="Times New Roman" w:eastAsia="宋体" w:hAnsi="Times New Roman" w:cs="Times New Roman"/>
          <w:szCs w:val="24"/>
        </w:rPr>
        <w:t>7.456 g/kg</w:t>
      </w:r>
      <w:r>
        <w:rPr>
          <w:rFonts w:ascii="Times New Roman" w:eastAsia="宋体" w:hAnsi="Times New Roman" w:cs="Times New Roman"/>
          <w:szCs w:val="24"/>
        </w:rPr>
        <w:t>）占总有机酸的</w:t>
      </w:r>
      <w:r>
        <w:rPr>
          <w:rFonts w:ascii="Times New Roman" w:eastAsia="宋体" w:hAnsi="Times New Roman" w:cs="Times New Roman"/>
          <w:szCs w:val="24"/>
        </w:rPr>
        <w:t xml:space="preserve"> 62.14%</w:t>
      </w:r>
      <w:r>
        <w:rPr>
          <w:rFonts w:ascii="Times New Roman" w:eastAsia="宋体" w:hAnsi="Times New Roman" w:cs="Times New Roman"/>
          <w:szCs w:val="24"/>
        </w:rPr>
        <w:t>，与柠檬酸、苹果酸等形成的平衡体系赋予产品柔和酸感，而丙酸与戊酸的出现则导致尖酸特质。这些研究表明有机酸的种类、含量及比例是调控酸感的核心因素，且不同发酵体系存在特异性规律。</w:t>
      </w:r>
      <w:r>
        <w:rPr>
          <w:rFonts w:ascii="MS Mincho" w:eastAsia="MS Mincho" w:hAnsi="MS Mincho" w:cs="MS Mincho"/>
          <w:szCs w:val="24"/>
        </w:rPr>
        <w:t>​</w:t>
      </w:r>
    </w:p>
    <w:p w14:paraId="52B8BC45" w14:textId="77777777" w:rsidR="001A4D72" w:rsidRDefault="00000000">
      <w:pPr>
        <w:snapToGrid w:val="0"/>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相较于食品领域，针对烟草制品抽吸过程中酸感的研究相对匮乏。传统烟草研究多聚焦于香味物质与杂气、浓度等感官质量指标，对酸感的形成机制及关键物质探讨较少</w:t>
      </w:r>
      <w:r>
        <w:rPr>
          <w:rFonts w:ascii="Times New Roman" w:hAnsi="Times New Roman" w:cs="Times New Roman"/>
          <w:kern w:val="0"/>
          <w:szCs w:val="24"/>
          <w:vertAlign w:val="superscript"/>
        </w:rPr>
        <w:t>[4–6]</w:t>
      </w:r>
      <w:r>
        <w:rPr>
          <w:rFonts w:ascii="Times New Roman" w:eastAsia="宋体" w:hAnsi="Times New Roman" w:cs="Times New Roman"/>
          <w:szCs w:val="21"/>
        </w:rPr>
        <w:t>。近年来，加热卷烟作为新型烟草制品</w:t>
      </w:r>
      <w:r>
        <w:rPr>
          <w:rFonts w:ascii="Times New Roman" w:hAnsi="Times New Roman" w:cs="Times New Roman"/>
          <w:kern w:val="0"/>
          <w:szCs w:val="24"/>
          <w:vertAlign w:val="superscript"/>
        </w:rPr>
        <w:t>[7]</w:t>
      </w:r>
      <w:r>
        <w:rPr>
          <w:rFonts w:ascii="Times New Roman" w:eastAsia="宋体" w:hAnsi="Times New Roman" w:cs="Times New Roman"/>
          <w:szCs w:val="21"/>
        </w:rPr>
        <w:t>，其酸感特征呈现出显著的原料特异性，相比传统卷烟，加热卷烟原料在感官评价中呈现出酸感更多。前期研究发现，在评吸过程中</w:t>
      </w:r>
      <w:bookmarkStart w:id="7" w:name="_Hlk216445998"/>
      <w:r>
        <w:rPr>
          <w:rFonts w:ascii="Times New Roman" w:eastAsia="宋体" w:hAnsi="Times New Roman" w:cs="Times New Roman"/>
          <w:szCs w:val="21"/>
        </w:rPr>
        <w:t>烤烟原料、香料烟原料</w:t>
      </w:r>
      <w:bookmarkStart w:id="8" w:name="_Hlk216644055"/>
      <w:r>
        <w:rPr>
          <w:rFonts w:ascii="Times New Roman" w:eastAsia="宋体" w:hAnsi="Times New Roman" w:cs="Times New Roman"/>
          <w:szCs w:val="21"/>
        </w:rPr>
        <w:t>制成加热卷烟</w:t>
      </w:r>
      <w:bookmarkEnd w:id="8"/>
      <w:r>
        <w:rPr>
          <w:rFonts w:ascii="Times New Roman" w:eastAsia="宋体" w:hAnsi="Times New Roman" w:cs="Times New Roman"/>
          <w:szCs w:val="21"/>
        </w:rPr>
        <w:t>表现出较强酸感，晒红烟原料、晒黄烟原料、雪茄烟原料及白肋烟原料制成加热卷烟均无明显酸感</w:t>
      </w:r>
      <w:bookmarkEnd w:id="7"/>
      <w:r>
        <w:rPr>
          <w:rFonts w:ascii="Times New Roman" w:eastAsia="宋体" w:hAnsi="Times New Roman" w:cs="Times New Roman"/>
          <w:szCs w:val="21"/>
        </w:rPr>
        <w:t>。这种原料依赖性的酸感分化现象，可能与加热卷烟与传统卷烟在烟气生成温度上的较大差异使得二者烟气中酸性成分的释放存在显著差异有关</w:t>
      </w:r>
      <w:r>
        <w:rPr>
          <w:rFonts w:ascii="Times New Roman" w:hAnsi="Times New Roman" w:cs="Times New Roman"/>
          <w:kern w:val="0"/>
          <w:szCs w:val="24"/>
          <w:vertAlign w:val="superscript"/>
        </w:rPr>
        <w:t>[8]</w:t>
      </w:r>
      <w:r>
        <w:rPr>
          <w:rFonts w:ascii="Times New Roman" w:eastAsia="宋体" w:hAnsi="Times New Roman" w:cs="Times New Roman"/>
          <w:szCs w:val="21"/>
        </w:rPr>
        <w:t>。然而，目前针对加热卷烟酸感物质的系统研究尚未展开，其核心呈酸物质及与原料特性的关联等关键问题仍不明确。</w:t>
      </w:r>
      <w:r>
        <w:rPr>
          <w:rFonts w:ascii="MS Mincho" w:eastAsia="MS Mincho" w:hAnsi="MS Mincho" w:cs="MS Mincho"/>
          <w:szCs w:val="21"/>
        </w:rPr>
        <w:t>​</w:t>
      </w:r>
    </w:p>
    <w:p w14:paraId="52B8BC46" w14:textId="77777777" w:rsidR="001A4D72" w:rsidRDefault="00000000">
      <w:pPr>
        <w:snapToGrid w:val="0"/>
        <w:spacing w:line="360" w:lineRule="auto"/>
        <w:ind w:firstLine="480"/>
        <w:rPr>
          <w:rFonts w:ascii="Times New Roman" w:eastAsia="宋体" w:hAnsi="Times New Roman" w:cs="Times New Roman"/>
          <w:szCs w:val="21"/>
        </w:rPr>
        <w:sectPr w:rsidR="001A4D72">
          <w:pgSz w:w="11906" w:h="16838"/>
          <w:pgMar w:top="1440" w:right="1797" w:bottom="1440" w:left="1797" w:header="0" w:footer="0" w:gutter="0"/>
          <w:cols w:space="720"/>
          <w:formProt w:val="0"/>
          <w:docGrid w:linePitch="326"/>
        </w:sectPr>
      </w:pPr>
      <w:r>
        <w:rPr>
          <w:rFonts w:ascii="Times New Roman" w:eastAsia="宋体" w:hAnsi="Times New Roman" w:cs="Times New Roman"/>
          <w:szCs w:val="21"/>
        </w:rPr>
        <w:t>鉴于酸感对加热卷烟感官质量的重要影响，以及现有研究的局限性，深入探究加热卷烟中酸感物质的组成及原料特性具有重要意义。本研究主要考察不同类型加热卷烟的酸感差异性以及影响酸感的主要指标，旨在揭示加热卷烟酸感的物质基础，为优化产品感官品质提供理论依据。</w:t>
      </w:r>
    </w:p>
    <w:p w14:paraId="52B8BC47" w14:textId="77777777" w:rsidR="001A4D72" w:rsidRDefault="00000000">
      <w:pPr>
        <w:snapToGrid w:val="0"/>
        <w:spacing w:line="360" w:lineRule="auto"/>
        <w:outlineLvl w:val="0"/>
        <w:rPr>
          <w:rFonts w:ascii="宋体" w:hAnsi="宋体"/>
          <w:b/>
          <w:kern w:val="0"/>
          <w:sz w:val="28"/>
        </w:rPr>
      </w:pPr>
      <w:r>
        <w:rPr>
          <w:rFonts w:ascii="宋体" w:hAnsi="宋体"/>
          <w:b/>
          <w:kern w:val="0"/>
          <w:sz w:val="28"/>
        </w:rPr>
        <w:lastRenderedPageBreak/>
        <w:t>1 材料与方法</w:t>
      </w:r>
    </w:p>
    <w:p w14:paraId="52B8BC48" w14:textId="77777777" w:rsidR="001A4D72" w:rsidRDefault="00000000">
      <w:pPr>
        <w:pStyle w:val="af6"/>
        <w:snapToGrid w:val="0"/>
        <w:spacing w:line="360" w:lineRule="auto"/>
        <w:ind w:left="505" w:hanging="505"/>
        <w:jc w:val="left"/>
        <w:outlineLvl w:val="1"/>
        <w:rPr>
          <w:rFonts w:ascii="Times New Roman" w:eastAsia="宋体" w:hAnsi="Times New Roman" w:cs="Times New Roman"/>
          <w:b/>
          <w:bCs/>
        </w:rPr>
      </w:pPr>
      <w:r>
        <w:rPr>
          <w:rFonts w:ascii="Times New Roman" w:eastAsia="宋体" w:hAnsi="Times New Roman" w:cs="Times New Roman"/>
          <w:b/>
          <w:bCs/>
        </w:rPr>
        <w:t xml:space="preserve">1.1 </w:t>
      </w:r>
      <w:r>
        <w:rPr>
          <w:rFonts w:ascii="Times New Roman" w:eastAsia="宋体" w:hAnsi="Times New Roman" w:cs="Times New Roman"/>
          <w:b/>
          <w:bCs/>
        </w:rPr>
        <w:t>研究材料</w:t>
      </w:r>
    </w:p>
    <w:p w14:paraId="52B8BC49" w14:textId="77777777" w:rsidR="001A4D72" w:rsidRDefault="00000000">
      <w:pPr>
        <w:snapToGrid w:val="0"/>
        <w:spacing w:line="360" w:lineRule="auto"/>
        <w:ind w:right="-159"/>
        <w:jc w:val="left"/>
        <w:outlineLvl w:val="2"/>
        <w:rPr>
          <w:rFonts w:ascii="Times New Roman" w:eastAsia="宋体" w:hAnsi="Times New Roman" w:cs="Times New Roman"/>
          <w:bCs/>
          <w:szCs w:val="24"/>
        </w:rPr>
      </w:pPr>
      <w:r>
        <w:rPr>
          <w:rFonts w:ascii="Times New Roman" w:eastAsia="宋体" w:hAnsi="Times New Roman" w:cs="Times New Roman"/>
          <w:bCs/>
          <w:szCs w:val="24"/>
        </w:rPr>
        <w:t xml:space="preserve">1.1.1 </w:t>
      </w:r>
      <w:r>
        <w:rPr>
          <w:rFonts w:ascii="Times New Roman" w:eastAsia="宋体" w:hAnsi="Times New Roman" w:cs="Times New Roman"/>
          <w:bCs/>
          <w:szCs w:val="24"/>
        </w:rPr>
        <w:t>烟叶样品</w:t>
      </w:r>
    </w:p>
    <w:p w14:paraId="52B8BC4A" w14:textId="77777777" w:rsidR="001A4D72" w:rsidRDefault="00000000">
      <w:pPr>
        <w:snapToGrid w:val="0"/>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本研究不同烟草类型烟叶样品</w:t>
      </w:r>
      <w:r>
        <w:rPr>
          <w:rFonts w:ascii="Times New Roman" w:eastAsia="宋体" w:hAnsi="Times New Roman" w:cs="Times New Roman"/>
          <w:szCs w:val="21"/>
        </w:rPr>
        <w:t>46</w:t>
      </w:r>
      <w:r>
        <w:rPr>
          <w:rFonts w:ascii="Times New Roman" w:eastAsia="宋体" w:hAnsi="Times New Roman" w:cs="Times New Roman"/>
          <w:szCs w:val="21"/>
        </w:rPr>
        <w:t>份，其中烤烟</w:t>
      </w:r>
      <w:r>
        <w:rPr>
          <w:rFonts w:ascii="Times New Roman" w:eastAsia="宋体" w:hAnsi="Times New Roman" w:cs="Times New Roman"/>
          <w:szCs w:val="21"/>
        </w:rPr>
        <w:t>11</w:t>
      </w:r>
      <w:r>
        <w:rPr>
          <w:rFonts w:ascii="Times New Roman" w:eastAsia="宋体" w:hAnsi="Times New Roman" w:cs="Times New Roman"/>
          <w:szCs w:val="21"/>
        </w:rPr>
        <w:t>份（云南曲靖、辽宁丹东、吉林延边、湖南郴州、山东潍坊、四川凉山、云南文山、贵州毕节、贵州遵义、河南许昌、福建三明各</w:t>
      </w:r>
      <w:r>
        <w:rPr>
          <w:rFonts w:ascii="Times New Roman" w:eastAsia="宋体" w:hAnsi="Times New Roman" w:cs="Times New Roman"/>
          <w:szCs w:val="21"/>
        </w:rPr>
        <w:t>1</w:t>
      </w:r>
      <w:r>
        <w:rPr>
          <w:rFonts w:ascii="Times New Roman" w:eastAsia="宋体" w:hAnsi="Times New Roman" w:cs="Times New Roman"/>
          <w:szCs w:val="21"/>
        </w:rPr>
        <w:t>份），香料烟</w:t>
      </w:r>
      <w:r>
        <w:rPr>
          <w:rFonts w:ascii="Times New Roman" w:eastAsia="宋体" w:hAnsi="Times New Roman" w:cs="Times New Roman"/>
          <w:szCs w:val="21"/>
        </w:rPr>
        <w:t>4</w:t>
      </w:r>
      <w:r>
        <w:rPr>
          <w:rFonts w:ascii="Times New Roman" w:eastAsia="宋体" w:hAnsi="Times New Roman" w:cs="Times New Roman"/>
          <w:szCs w:val="21"/>
        </w:rPr>
        <w:t>份（云南德宏</w:t>
      </w:r>
      <w:r>
        <w:rPr>
          <w:rFonts w:ascii="Times New Roman" w:eastAsia="宋体" w:hAnsi="Times New Roman" w:cs="Times New Roman"/>
          <w:szCs w:val="21"/>
        </w:rPr>
        <w:t>1</w:t>
      </w:r>
      <w:r>
        <w:rPr>
          <w:rFonts w:ascii="Times New Roman" w:eastAsia="宋体" w:hAnsi="Times New Roman" w:cs="Times New Roman"/>
          <w:szCs w:val="21"/>
        </w:rPr>
        <w:t>份、云南保山</w:t>
      </w:r>
      <w:r>
        <w:rPr>
          <w:rFonts w:ascii="Times New Roman" w:eastAsia="宋体" w:hAnsi="Times New Roman" w:cs="Times New Roman"/>
          <w:szCs w:val="21"/>
        </w:rPr>
        <w:t>2</w:t>
      </w:r>
      <w:r>
        <w:rPr>
          <w:rFonts w:ascii="Times New Roman" w:eastAsia="宋体" w:hAnsi="Times New Roman" w:cs="Times New Roman"/>
          <w:szCs w:val="21"/>
        </w:rPr>
        <w:t>份、新疆</w:t>
      </w:r>
      <w:r>
        <w:rPr>
          <w:rFonts w:ascii="Times New Roman" w:eastAsia="宋体" w:hAnsi="Times New Roman" w:cs="Times New Roman"/>
          <w:szCs w:val="21"/>
        </w:rPr>
        <w:t>1</w:t>
      </w:r>
      <w:r>
        <w:rPr>
          <w:rFonts w:ascii="Times New Roman" w:eastAsia="宋体" w:hAnsi="Times New Roman" w:cs="Times New Roman"/>
          <w:szCs w:val="21"/>
        </w:rPr>
        <w:t>份），晒红烟</w:t>
      </w:r>
      <w:r>
        <w:rPr>
          <w:rFonts w:ascii="Times New Roman" w:eastAsia="宋体" w:hAnsi="Times New Roman" w:cs="Times New Roman"/>
          <w:szCs w:val="21"/>
        </w:rPr>
        <w:t>16</w:t>
      </w:r>
      <w:r>
        <w:rPr>
          <w:rFonts w:ascii="Times New Roman" w:eastAsia="宋体" w:hAnsi="Times New Roman" w:cs="Times New Roman"/>
          <w:szCs w:val="21"/>
        </w:rPr>
        <w:t>份（湖北恩施</w:t>
      </w:r>
      <w:r>
        <w:rPr>
          <w:rFonts w:ascii="Times New Roman" w:eastAsia="宋体" w:hAnsi="Times New Roman" w:cs="Times New Roman"/>
          <w:szCs w:val="21"/>
        </w:rPr>
        <w:t>3</w:t>
      </w:r>
      <w:r>
        <w:rPr>
          <w:rFonts w:ascii="Times New Roman" w:eastAsia="宋体" w:hAnsi="Times New Roman" w:cs="Times New Roman"/>
          <w:szCs w:val="21"/>
        </w:rPr>
        <w:t>份、辽宁丹东</w:t>
      </w:r>
      <w:r>
        <w:rPr>
          <w:rFonts w:ascii="Times New Roman" w:eastAsia="宋体" w:hAnsi="Times New Roman" w:cs="Times New Roman"/>
          <w:szCs w:val="21"/>
        </w:rPr>
        <w:t>3</w:t>
      </w:r>
      <w:r>
        <w:rPr>
          <w:rFonts w:ascii="Times New Roman" w:eastAsia="宋体" w:hAnsi="Times New Roman" w:cs="Times New Roman"/>
          <w:szCs w:val="21"/>
        </w:rPr>
        <w:t>份、山东临沂</w:t>
      </w:r>
      <w:r>
        <w:rPr>
          <w:rFonts w:ascii="Times New Roman" w:eastAsia="宋体" w:hAnsi="Times New Roman" w:cs="Times New Roman"/>
          <w:szCs w:val="21"/>
        </w:rPr>
        <w:t>1</w:t>
      </w:r>
      <w:r>
        <w:rPr>
          <w:rFonts w:ascii="Times New Roman" w:eastAsia="宋体" w:hAnsi="Times New Roman" w:cs="Times New Roman"/>
          <w:szCs w:val="21"/>
        </w:rPr>
        <w:t>份、云南文山</w:t>
      </w:r>
      <w:r>
        <w:rPr>
          <w:rFonts w:ascii="Times New Roman" w:eastAsia="宋体" w:hAnsi="Times New Roman" w:cs="Times New Roman"/>
          <w:szCs w:val="21"/>
        </w:rPr>
        <w:t>3</w:t>
      </w:r>
      <w:r>
        <w:rPr>
          <w:rFonts w:ascii="Times New Roman" w:eastAsia="宋体" w:hAnsi="Times New Roman" w:cs="Times New Roman"/>
          <w:szCs w:val="21"/>
        </w:rPr>
        <w:t>份、四川什邡</w:t>
      </w:r>
      <w:r>
        <w:rPr>
          <w:rFonts w:ascii="Times New Roman" w:eastAsia="宋体" w:hAnsi="Times New Roman" w:cs="Times New Roman"/>
          <w:szCs w:val="21"/>
        </w:rPr>
        <w:t>3</w:t>
      </w:r>
      <w:r>
        <w:rPr>
          <w:rFonts w:ascii="Times New Roman" w:eastAsia="宋体" w:hAnsi="Times New Roman" w:cs="Times New Roman"/>
          <w:szCs w:val="21"/>
        </w:rPr>
        <w:t>份、湖南湘西</w:t>
      </w:r>
      <w:r>
        <w:rPr>
          <w:rFonts w:ascii="Times New Roman" w:eastAsia="宋体" w:hAnsi="Times New Roman" w:cs="Times New Roman"/>
          <w:szCs w:val="21"/>
        </w:rPr>
        <w:t>1</w:t>
      </w:r>
      <w:r>
        <w:rPr>
          <w:rFonts w:ascii="Times New Roman" w:eastAsia="宋体" w:hAnsi="Times New Roman" w:cs="Times New Roman"/>
          <w:szCs w:val="21"/>
        </w:rPr>
        <w:t>份、吉林长春</w:t>
      </w:r>
      <w:r>
        <w:rPr>
          <w:rFonts w:ascii="Times New Roman" w:eastAsia="宋体" w:hAnsi="Times New Roman" w:cs="Times New Roman"/>
          <w:szCs w:val="21"/>
        </w:rPr>
        <w:t>2</w:t>
      </w:r>
      <w:r>
        <w:rPr>
          <w:rFonts w:ascii="Times New Roman" w:eastAsia="宋体" w:hAnsi="Times New Roman" w:cs="Times New Roman"/>
          <w:szCs w:val="21"/>
        </w:rPr>
        <w:t>份），晒黄烟</w:t>
      </w:r>
      <w:r>
        <w:rPr>
          <w:rFonts w:ascii="Times New Roman" w:eastAsia="宋体" w:hAnsi="Times New Roman" w:cs="Times New Roman"/>
          <w:szCs w:val="21"/>
        </w:rPr>
        <w:t>8</w:t>
      </w:r>
      <w:r>
        <w:rPr>
          <w:rFonts w:ascii="Times New Roman" w:eastAsia="宋体" w:hAnsi="Times New Roman" w:cs="Times New Roman"/>
          <w:szCs w:val="21"/>
        </w:rPr>
        <w:t>份（广西贺州</w:t>
      </w:r>
      <w:r>
        <w:rPr>
          <w:rFonts w:ascii="Times New Roman" w:eastAsia="宋体" w:hAnsi="Times New Roman" w:cs="Times New Roman"/>
          <w:szCs w:val="21"/>
        </w:rPr>
        <w:t>4</w:t>
      </w:r>
      <w:r>
        <w:rPr>
          <w:rFonts w:ascii="Times New Roman" w:eastAsia="宋体" w:hAnsi="Times New Roman" w:cs="Times New Roman"/>
          <w:szCs w:val="21"/>
        </w:rPr>
        <w:t>份、广东韶关</w:t>
      </w:r>
      <w:r>
        <w:rPr>
          <w:rFonts w:ascii="Times New Roman" w:eastAsia="宋体" w:hAnsi="Times New Roman" w:cs="Times New Roman"/>
          <w:szCs w:val="21"/>
        </w:rPr>
        <w:t>4</w:t>
      </w:r>
      <w:r>
        <w:rPr>
          <w:rFonts w:ascii="Times New Roman" w:eastAsia="宋体" w:hAnsi="Times New Roman" w:cs="Times New Roman"/>
          <w:szCs w:val="21"/>
        </w:rPr>
        <w:t>份），雪茄烟</w:t>
      </w:r>
      <w:r>
        <w:rPr>
          <w:rFonts w:ascii="Times New Roman" w:eastAsia="宋体" w:hAnsi="Times New Roman" w:cs="Times New Roman"/>
          <w:szCs w:val="21"/>
        </w:rPr>
        <w:t>5</w:t>
      </w:r>
      <w:r>
        <w:rPr>
          <w:rFonts w:ascii="Times New Roman" w:eastAsia="宋体" w:hAnsi="Times New Roman" w:cs="Times New Roman"/>
          <w:szCs w:val="21"/>
        </w:rPr>
        <w:t>份（湖北恩施</w:t>
      </w:r>
      <w:r>
        <w:rPr>
          <w:rFonts w:ascii="Times New Roman" w:eastAsia="宋体" w:hAnsi="Times New Roman" w:cs="Times New Roman"/>
          <w:szCs w:val="21"/>
        </w:rPr>
        <w:t>1</w:t>
      </w:r>
      <w:r>
        <w:rPr>
          <w:rFonts w:ascii="Times New Roman" w:eastAsia="宋体" w:hAnsi="Times New Roman" w:cs="Times New Roman"/>
          <w:szCs w:val="21"/>
        </w:rPr>
        <w:t>份、四川什邡</w:t>
      </w:r>
      <w:r>
        <w:rPr>
          <w:rFonts w:ascii="Times New Roman" w:eastAsia="宋体" w:hAnsi="Times New Roman" w:cs="Times New Roman"/>
          <w:szCs w:val="21"/>
        </w:rPr>
        <w:t>4</w:t>
      </w:r>
      <w:r>
        <w:rPr>
          <w:rFonts w:ascii="Times New Roman" w:eastAsia="宋体" w:hAnsi="Times New Roman" w:cs="Times New Roman"/>
          <w:szCs w:val="21"/>
        </w:rPr>
        <w:t>份），白肋烟</w:t>
      </w:r>
      <w:r>
        <w:rPr>
          <w:rFonts w:ascii="Times New Roman" w:eastAsia="宋体" w:hAnsi="Times New Roman" w:cs="Times New Roman"/>
          <w:szCs w:val="21"/>
        </w:rPr>
        <w:t>2</w:t>
      </w:r>
      <w:r>
        <w:rPr>
          <w:rFonts w:ascii="Times New Roman" w:eastAsia="宋体" w:hAnsi="Times New Roman" w:cs="Times New Roman"/>
          <w:szCs w:val="21"/>
        </w:rPr>
        <w:t>份（湖北恩施</w:t>
      </w:r>
      <w:r>
        <w:rPr>
          <w:rFonts w:ascii="Times New Roman" w:eastAsia="宋体" w:hAnsi="Times New Roman" w:cs="Times New Roman"/>
          <w:szCs w:val="21"/>
        </w:rPr>
        <w:t>2</w:t>
      </w:r>
      <w:r>
        <w:rPr>
          <w:rFonts w:ascii="Times New Roman" w:eastAsia="宋体" w:hAnsi="Times New Roman" w:cs="Times New Roman"/>
          <w:szCs w:val="21"/>
        </w:rPr>
        <w:t>份），部位均为中部。</w:t>
      </w:r>
    </w:p>
    <w:p w14:paraId="52B8BC4B" w14:textId="77777777" w:rsidR="001A4D72" w:rsidRDefault="00000000">
      <w:pPr>
        <w:snapToGrid w:val="0"/>
        <w:spacing w:line="360" w:lineRule="auto"/>
        <w:ind w:right="-159"/>
        <w:jc w:val="left"/>
        <w:outlineLvl w:val="2"/>
        <w:rPr>
          <w:rFonts w:ascii="Times New Roman" w:eastAsia="宋体" w:hAnsi="Times New Roman" w:cs="Times New Roman"/>
          <w:bCs/>
          <w:szCs w:val="24"/>
        </w:rPr>
      </w:pPr>
      <w:r>
        <w:rPr>
          <w:rFonts w:ascii="Times New Roman" w:eastAsia="宋体" w:hAnsi="Times New Roman" w:cs="Times New Roman"/>
          <w:bCs/>
          <w:szCs w:val="24"/>
        </w:rPr>
        <w:t xml:space="preserve">1.1.2 </w:t>
      </w:r>
      <w:commentRangeStart w:id="9"/>
      <w:commentRangeStart w:id="10"/>
      <w:r>
        <w:rPr>
          <w:rFonts w:ascii="Times New Roman" w:eastAsia="宋体" w:hAnsi="Times New Roman" w:cs="Times New Roman"/>
          <w:bCs/>
          <w:szCs w:val="24"/>
        </w:rPr>
        <w:t>加热卷烟样品</w:t>
      </w:r>
      <w:commentRangeEnd w:id="10"/>
      <w:r>
        <w:rPr>
          <w:rStyle w:val="a4"/>
          <w:rFonts w:ascii="Times New Roman" w:eastAsia="宋体" w:hAnsi="Times New Roman" w:cs="Times New Roman"/>
          <w:bCs/>
          <w:sz w:val="24"/>
          <w:szCs w:val="24"/>
        </w:rPr>
        <w:commentReference w:id="10"/>
      </w:r>
      <w:commentRangeEnd w:id="9"/>
      <w:r>
        <w:rPr>
          <w:rStyle w:val="a4"/>
          <w:rFonts w:ascii="Times New Roman" w:eastAsia="宋体" w:hAnsi="Times New Roman" w:cs="Times New Roman"/>
          <w:bCs/>
          <w:sz w:val="24"/>
          <w:szCs w:val="24"/>
        </w:rPr>
        <w:commentReference w:id="9"/>
      </w:r>
      <w:r>
        <w:rPr>
          <w:rFonts w:ascii="Times New Roman" w:eastAsia="宋体" w:hAnsi="Times New Roman" w:cs="Times New Roman"/>
          <w:bCs/>
          <w:szCs w:val="24"/>
        </w:rPr>
        <w:t>预处理</w:t>
      </w:r>
    </w:p>
    <w:p w14:paraId="52B8BC4C" w14:textId="77777777" w:rsidR="001A4D72" w:rsidRDefault="00000000">
      <w:pPr>
        <w:snapToGrid w:val="0"/>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样品预处理即辊压法再造烟叶制作：将初烤烟叶磨粉至</w:t>
      </w:r>
      <w:r>
        <w:rPr>
          <w:rFonts w:ascii="Times New Roman" w:eastAsia="宋体" w:hAnsi="Times New Roman" w:cs="Times New Roman"/>
          <w:szCs w:val="21"/>
        </w:rPr>
        <w:t>100</w:t>
      </w:r>
      <w:r>
        <w:rPr>
          <w:rFonts w:ascii="Times New Roman" w:eastAsia="宋体" w:hAnsi="Times New Roman" w:cs="Times New Roman"/>
          <w:szCs w:val="21"/>
        </w:rPr>
        <w:t>目以上，与胶黏剂、丙三醇、水混合搅拌，经烟草薄片制浆仪充分混合均匀成团后，用烟草薄片打样仪制成厚度</w:t>
      </w:r>
      <w:r>
        <w:rPr>
          <w:rFonts w:ascii="Times New Roman" w:eastAsia="宋体" w:hAnsi="Times New Roman" w:cs="Times New Roman"/>
          <w:szCs w:val="21"/>
        </w:rPr>
        <w:t>0.15mm</w:t>
      </w:r>
      <w:r>
        <w:rPr>
          <w:rFonts w:ascii="Times New Roman" w:eastAsia="宋体" w:hAnsi="Times New Roman" w:cs="Times New Roman"/>
          <w:szCs w:val="21"/>
        </w:rPr>
        <w:t>的辊压法再造烟叶，各物料比例为烟粉：胶黏剂：丙三醇：水</w:t>
      </w:r>
      <w:r>
        <w:rPr>
          <w:rFonts w:ascii="Times New Roman" w:eastAsia="宋体" w:hAnsi="Times New Roman" w:cs="Times New Roman"/>
          <w:szCs w:val="21"/>
        </w:rPr>
        <w:t>=30:0.75:7.5:21.75</w:t>
      </w:r>
      <w:r>
        <w:rPr>
          <w:rFonts w:ascii="Times New Roman" w:eastAsia="宋体" w:hAnsi="Times New Roman" w:cs="Times New Roman"/>
          <w:szCs w:val="21"/>
        </w:rPr>
        <w:t>。</w:t>
      </w:r>
    </w:p>
    <w:p w14:paraId="52B8BC4D" w14:textId="77777777" w:rsidR="001A4D72" w:rsidRDefault="00000000">
      <w:pPr>
        <w:pStyle w:val="af6"/>
        <w:snapToGrid w:val="0"/>
        <w:spacing w:line="360" w:lineRule="auto"/>
        <w:ind w:left="505" w:hanging="505"/>
        <w:jc w:val="left"/>
        <w:outlineLvl w:val="1"/>
        <w:rPr>
          <w:rFonts w:ascii="Times New Roman" w:eastAsia="宋体" w:hAnsi="Times New Roman" w:cs="Times New Roman"/>
          <w:b/>
          <w:bCs/>
        </w:rPr>
      </w:pPr>
      <w:r>
        <w:rPr>
          <w:rFonts w:ascii="Times New Roman" w:eastAsia="宋体" w:hAnsi="Times New Roman" w:cs="Times New Roman"/>
          <w:b/>
          <w:bCs/>
        </w:rPr>
        <w:t xml:space="preserve">1.2 </w:t>
      </w:r>
      <w:r>
        <w:rPr>
          <w:rFonts w:ascii="Times New Roman" w:eastAsia="宋体" w:hAnsi="Times New Roman" w:cs="Times New Roman"/>
          <w:b/>
          <w:bCs/>
        </w:rPr>
        <w:t>样品分析鉴定方法</w:t>
      </w:r>
    </w:p>
    <w:p w14:paraId="52B8BC4E" w14:textId="77777777" w:rsidR="001A4D72" w:rsidRDefault="00000000">
      <w:pPr>
        <w:snapToGrid w:val="0"/>
        <w:spacing w:line="360" w:lineRule="auto"/>
        <w:ind w:right="-159"/>
        <w:jc w:val="left"/>
        <w:outlineLvl w:val="2"/>
        <w:rPr>
          <w:rFonts w:ascii="Times New Roman" w:eastAsia="宋体" w:hAnsi="Times New Roman" w:cs="Times New Roman"/>
          <w:bCs/>
          <w:szCs w:val="24"/>
        </w:rPr>
      </w:pPr>
      <w:r>
        <w:rPr>
          <w:rFonts w:ascii="Times New Roman" w:eastAsia="宋体" w:hAnsi="Times New Roman" w:cs="Times New Roman"/>
          <w:bCs/>
          <w:szCs w:val="24"/>
        </w:rPr>
        <w:t xml:space="preserve">1.2.1 </w:t>
      </w:r>
      <w:r>
        <w:rPr>
          <w:rFonts w:ascii="Times New Roman" w:eastAsia="宋体" w:hAnsi="Times New Roman" w:cs="Times New Roman"/>
          <w:bCs/>
          <w:szCs w:val="24"/>
        </w:rPr>
        <w:t>烟叶样品主要化学成分分析</w:t>
      </w:r>
    </w:p>
    <w:p w14:paraId="52B8BC4F"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总植物碱：按照</w:t>
      </w:r>
      <w:bookmarkStart w:id="11" w:name="OLE_LINK2"/>
      <w:r>
        <w:rPr>
          <w:rFonts w:ascii="Times New Roman" w:eastAsia="宋体" w:hAnsi="Times New Roman" w:cs="Times New Roman"/>
          <w:szCs w:val="21"/>
        </w:rPr>
        <w:t>YC/T 160-2002</w:t>
      </w:r>
      <w:bookmarkEnd w:id="11"/>
      <w:r>
        <w:rPr>
          <w:rFonts w:ascii="Times New Roman" w:eastAsia="宋体" w:hAnsi="Times New Roman" w:cs="Times New Roman"/>
          <w:szCs w:val="21"/>
        </w:rPr>
        <w:t xml:space="preserve"> </w:t>
      </w:r>
      <w:r>
        <w:rPr>
          <w:rFonts w:ascii="Times New Roman" w:eastAsia="宋体" w:hAnsi="Times New Roman" w:cs="Times New Roman"/>
          <w:szCs w:val="21"/>
        </w:rPr>
        <w:t>烟草及烟草制品总植物碱的测定</w:t>
      </w:r>
      <w:r>
        <w:rPr>
          <w:rFonts w:ascii="Times New Roman" w:eastAsia="宋体" w:hAnsi="Times New Roman" w:cs="Times New Roman"/>
          <w:szCs w:val="21"/>
        </w:rPr>
        <w:t>——</w:t>
      </w:r>
      <w:r>
        <w:rPr>
          <w:rFonts w:ascii="Times New Roman" w:eastAsia="宋体" w:hAnsi="Times New Roman" w:cs="Times New Roman"/>
          <w:szCs w:val="21"/>
        </w:rPr>
        <w:t>连续流动分析法</w:t>
      </w:r>
      <w:r>
        <w:rPr>
          <w:rFonts w:ascii="Times New Roman" w:eastAsia="宋体" w:hAnsi="Times New Roman" w:cs="Times New Roman"/>
          <w:szCs w:val="21"/>
        </w:rPr>
        <w:t xml:space="preserve"> </w:t>
      </w:r>
      <w:r>
        <w:rPr>
          <w:rFonts w:ascii="Times New Roman" w:eastAsia="宋体" w:hAnsi="Times New Roman" w:cs="Times New Roman"/>
          <w:szCs w:val="21"/>
        </w:rPr>
        <w:t>分析测定。总糖、还原糖：按照</w:t>
      </w:r>
      <w:r>
        <w:rPr>
          <w:rFonts w:ascii="Times New Roman" w:eastAsia="宋体" w:hAnsi="Times New Roman" w:cs="Times New Roman"/>
          <w:szCs w:val="21"/>
        </w:rPr>
        <w:t xml:space="preserve">YC/T 159-2019 </w:t>
      </w:r>
      <w:r>
        <w:rPr>
          <w:rFonts w:ascii="Times New Roman" w:eastAsia="宋体" w:hAnsi="Times New Roman" w:cs="Times New Roman"/>
          <w:szCs w:val="21"/>
        </w:rPr>
        <w:t>烟草及烟草制品水溶性糖的测定</w:t>
      </w:r>
      <w:r>
        <w:rPr>
          <w:rFonts w:ascii="Times New Roman" w:eastAsia="宋体" w:hAnsi="Times New Roman" w:cs="Times New Roman"/>
          <w:szCs w:val="21"/>
        </w:rPr>
        <w:t>——</w:t>
      </w:r>
      <w:r>
        <w:rPr>
          <w:rFonts w:ascii="Times New Roman" w:eastAsia="宋体" w:hAnsi="Times New Roman" w:cs="Times New Roman"/>
          <w:szCs w:val="21"/>
        </w:rPr>
        <w:t>连续流动分析法分析测定。总氮：按照</w:t>
      </w:r>
      <w:r>
        <w:rPr>
          <w:rFonts w:ascii="Times New Roman" w:eastAsia="宋体" w:hAnsi="Times New Roman" w:cs="Times New Roman"/>
          <w:szCs w:val="21"/>
        </w:rPr>
        <w:t xml:space="preserve">YC/T 161-2002 </w:t>
      </w:r>
      <w:r>
        <w:rPr>
          <w:rFonts w:ascii="Times New Roman" w:eastAsia="宋体" w:hAnsi="Times New Roman" w:cs="Times New Roman"/>
          <w:szCs w:val="21"/>
        </w:rPr>
        <w:t>烟草及烟草制品总氮的测定</w:t>
      </w:r>
      <w:r>
        <w:rPr>
          <w:rFonts w:ascii="Times New Roman" w:eastAsia="宋体" w:hAnsi="Times New Roman" w:cs="Times New Roman"/>
          <w:szCs w:val="21"/>
        </w:rPr>
        <w:t>——</w:t>
      </w:r>
      <w:r>
        <w:rPr>
          <w:rFonts w:ascii="Times New Roman" w:eastAsia="宋体" w:hAnsi="Times New Roman" w:cs="Times New Roman"/>
          <w:szCs w:val="21"/>
        </w:rPr>
        <w:t>连续流动分析法分析测定。钾：按照</w:t>
      </w:r>
      <w:r>
        <w:rPr>
          <w:rFonts w:ascii="Times New Roman" w:eastAsia="宋体" w:hAnsi="Times New Roman" w:cs="Times New Roman"/>
          <w:szCs w:val="21"/>
        </w:rPr>
        <w:t xml:space="preserve">YC/T 173-2003 </w:t>
      </w:r>
      <w:r>
        <w:rPr>
          <w:rFonts w:ascii="Times New Roman" w:eastAsia="宋体" w:hAnsi="Times New Roman" w:cs="Times New Roman"/>
          <w:szCs w:val="21"/>
        </w:rPr>
        <w:t>烟草及烟草制品钾的测定</w:t>
      </w:r>
      <w:r>
        <w:rPr>
          <w:rFonts w:ascii="Times New Roman" w:eastAsia="宋体" w:hAnsi="Times New Roman" w:cs="Times New Roman"/>
          <w:szCs w:val="21"/>
        </w:rPr>
        <w:t>——</w:t>
      </w:r>
      <w:r>
        <w:rPr>
          <w:rFonts w:ascii="Times New Roman" w:eastAsia="宋体" w:hAnsi="Times New Roman" w:cs="Times New Roman"/>
          <w:szCs w:val="21"/>
        </w:rPr>
        <w:t>连续流动分析法分析测定。氯：按照</w:t>
      </w:r>
      <w:r>
        <w:rPr>
          <w:rFonts w:ascii="Times New Roman" w:eastAsia="宋体" w:hAnsi="Times New Roman" w:cs="Times New Roman"/>
          <w:szCs w:val="21"/>
        </w:rPr>
        <w:t xml:space="preserve">YC/T 162-2011 </w:t>
      </w:r>
      <w:r>
        <w:rPr>
          <w:rFonts w:ascii="Times New Roman" w:eastAsia="宋体" w:hAnsi="Times New Roman" w:cs="Times New Roman"/>
          <w:szCs w:val="21"/>
        </w:rPr>
        <w:t>烟草及烟草制品氯的测定</w:t>
      </w:r>
      <w:r>
        <w:rPr>
          <w:rFonts w:ascii="Times New Roman" w:eastAsia="宋体" w:hAnsi="Times New Roman" w:cs="Times New Roman"/>
          <w:szCs w:val="21"/>
        </w:rPr>
        <w:t>——</w:t>
      </w:r>
      <w:r>
        <w:rPr>
          <w:rFonts w:ascii="Times New Roman" w:eastAsia="宋体" w:hAnsi="Times New Roman" w:cs="Times New Roman"/>
          <w:szCs w:val="21"/>
        </w:rPr>
        <w:t>连续流动分析法分析测定。</w:t>
      </w:r>
    </w:p>
    <w:p w14:paraId="52B8BC50"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采用指数和法计算化学成分评价分值，见公式（</w:t>
      </w:r>
      <w:r>
        <w:rPr>
          <w:rFonts w:ascii="Times New Roman" w:eastAsia="宋体" w:hAnsi="Times New Roman" w:cs="Times New Roman"/>
          <w:szCs w:val="21"/>
        </w:rPr>
        <w:t>1</w:t>
      </w:r>
      <w:r>
        <w:rPr>
          <w:rFonts w:ascii="Times New Roman" w:eastAsia="宋体" w:hAnsi="Times New Roman" w:cs="Times New Roman"/>
          <w:szCs w:val="21"/>
        </w:rPr>
        <w:t>）。</w:t>
      </w:r>
    </w:p>
    <w:p w14:paraId="52B8BC51"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 xml:space="preserve">J = ∑Ki × Li…………………………………………… </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w:t>
      </w:r>
    </w:p>
    <w:p w14:paraId="52B8BC52"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式中：</w:t>
      </w:r>
    </w:p>
    <w:p w14:paraId="52B8BC53"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J----</w:t>
      </w:r>
      <w:r>
        <w:rPr>
          <w:rFonts w:ascii="Times New Roman" w:eastAsia="宋体" w:hAnsi="Times New Roman" w:cs="Times New Roman"/>
          <w:szCs w:val="21"/>
        </w:rPr>
        <w:t>烤烟化学成分协调性综合质量分值；</w:t>
      </w:r>
    </w:p>
    <w:p w14:paraId="52B8BC54"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Ki ----</w:t>
      </w:r>
      <w:r>
        <w:rPr>
          <w:rFonts w:ascii="Times New Roman" w:eastAsia="宋体" w:hAnsi="Times New Roman" w:cs="Times New Roman"/>
          <w:szCs w:val="21"/>
        </w:rPr>
        <w:t>第</w:t>
      </w:r>
      <w:r>
        <w:rPr>
          <w:rFonts w:ascii="Times New Roman" w:eastAsia="宋体" w:hAnsi="Times New Roman" w:cs="Times New Roman"/>
          <w:szCs w:val="21"/>
        </w:rPr>
        <w:t>i</w:t>
      </w:r>
      <w:r>
        <w:rPr>
          <w:rFonts w:ascii="Times New Roman" w:eastAsia="宋体" w:hAnsi="Times New Roman" w:cs="Times New Roman"/>
          <w:szCs w:val="21"/>
        </w:rPr>
        <w:t>个化学成分指标分值；</w:t>
      </w:r>
    </w:p>
    <w:p w14:paraId="52B8BC55"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Li----</w:t>
      </w:r>
      <w:r>
        <w:rPr>
          <w:rFonts w:ascii="Times New Roman" w:eastAsia="宋体" w:hAnsi="Times New Roman" w:cs="Times New Roman"/>
          <w:szCs w:val="21"/>
        </w:rPr>
        <w:t>第</w:t>
      </w:r>
      <w:r>
        <w:rPr>
          <w:rFonts w:ascii="Times New Roman" w:eastAsia="宋体" w:hAnsi="Times New Roman" w:cs="Times New Roman"/>
          <w:szCs w:val="21"/>
        </w:rPr>
        <w:t>i</w:t>
      </w:r>
      <w:r>
        <w:rPr>
          <w:rFonts w:ascii="Times New Roman" w:eastAsia="宋体" w:hAnsi="Times New Roman" w:cs="Times New Roman"/>
          <w:szCs w:val="21"/>
        </w:rPr>
        <w:t>个化学成分指标的权重。</w:t>
      </w:r>
    </w:p>
    <w:p w14:paraId="52B8BC56"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总植物碱、总氮、还原糖、钾、氮碱比值、糖碱比值、钾氯比值、两糖比</w:t>
      </w:r>
      <w:r>
        <w:rPr>
          <w:rFonts w:ascii="Times New Roman" w:eastAsia="宋体" w:hAnsi="Times New Roman" w:cs="Times New Roman"/>
          <w:szCs w:val="21"/>
        </w:rPr>
        <w:lastRenderedPageBreak/>
        <w:t>值的权重分别为</w:t>
      </w:r>
      <w:r>
        <w:rPr>
          <w:rFonts w:ascii="Times New Roman" w:eastAsia="宋体" w:hAnsi="Times New Roman" w:cs="Times New Roman"/>
          <w:szCs w:val="21"/>
        </w:rPr>
        <w:t>0.14</w:t>
      </w:r>
      <w:r>
        <w:rPr>
          <w:rFonts w:ascii="Times New Roman" w:eastAsia="宋体" w:hAnsi="Times New Roman" w:cs="Times New Roman"/>
          <w:szCs w:val="21"/>
        </w:rPr>
        <w:t>、</w:t>
      </w:r>
      <w:r>
        <w:rPr>
          <w:rFonts w:ascii="Times New Roman" w:eastAsia="宋体" w:hAnsi="Times New Roman" w:cs="Times New Roman"/>
          <w:szCs w:val="21"/>
        </w:rPr>
        <w:t>0.07</w:t>
      </w:r>
      <w:r>
        <w:rPr>
          <w:rFonts w:ascii="Times New Roman" w:eastAsia="宋体" w:hAnsi="Times New Roman" w:cs="Times New Roman"/>
          <w:szCs w:val="21"/>
        </w:rPr>
        <w:t>、</w:t>
      </w:r>
      <w:r>
        <w:rPr>
          <w:rFonts w:ascii="Times New Roman" w:eastAsia="宋体" w:hAnsi="Times New Roman" w:cs="Times New Roman"/>
          <w:szCs w:val="21"/>
        </w:rPr>
        <w:t>0.14</w:t>
      </w:r>
      <w:r>
        <w:rPr>
          <w:rFonts w:ascii="Times New Roman" w:eastAsia="宋体" w:hAnsi="Times New Roman" w:cs="Times New Roman"/>
          <w:szCs w:val="21"/>
        </w:rPr>
        <w:t>、</w:t>
      </w:r>
      <w:r>
        <w:rPr>
          <w:rFonts w:ascii="Times New Roman" w:eastAsia="宋体" w:hAnsi="Times New Roman" w:cs="Times New Roman"/>
          <w:szCs w:val="21"/>
        </w:rPr>
        <w:t>0.06</w:t>
      </w:r>
      <w:r>
        <w:rPr>
          <w:rFonts w:ascii="Times New Roman" w:eastAsia="宋体" w:hAnsi="Times New Roman" w:cs="Times New Roman"/>
          <w:szCs w:val="21"/>
        </w:rPr>
        <w:t>、</w:t>
      </w:r>
      <w:r>
        <w:rPr>
          <w:rFonts w:ascii="Times New Roman" w:eastAsia="宋体" w:hAnsi="Times New Roman" w:cs="Times New Roman"/>
          <w:szCs w:val="21"/>
        </w:rPr>
        <w:t>0.15</w:t>
      </w:r>
      <w:r>
        <w:rPr>
          <w:rFonts w:ascii="Times New Roman" w:eastAsia="宋体" w:hAnsi="Times New Roman" w:cs="Times New Roman"/>
          <w:szCs w:val="21"/>
        </w:rPr>
        <w:t>、</w:t>
      </w:r>
      <w:r>
        <w:rPr>
          <w:rFonts w:ascii="Times New Roman" w:eastAsia="宋体" w:hAnsi="Times New Roman" w:cs="Times New Roman"/>
          <w:szCs w:val="21"/>
        </w:rPr>
        <w:t>0.22</w:t>
      </w:r>
      <w:r>
        <w:rPr>
          <w:rFonts w:ascii="Times New Roman" w:eastAsia="宋体" w:hAnsi="Times New Roman" w:cs="Times New Roman"/>
          <w:szCs w:val="21"/>
        </w:rPr>
        <w:t>、</w:t>
      </w:r>
      <w:r>
        <w:rPr>
          <w:rFonts w:ascii="Times New Roman" w:eastAsia="宋体" w:hAnsi="Times New Roman" w:cs="Times New Roman"/>
          <w:szCs w:val="21"/>
        </w:rPr>
        <w:t>0.10</w:t>
      </w:r>
      <w:r>
        <w:rPr>
          <w:rFonts w:ascii="Times New Roman" w:eastAsia="宋体" w:hAnsi="Times New Roman" w:cs="Times New Roman"/>
          <w:szCs w:val="21"/>
        </w:rPr>
        <w:t>、</w:t>
      </w:r>
      <w:r>
        <w:rPr>
          <w:rFonts w:ascii="Times New Roman" w:eastAsia="宋体" w:hAnsi="Times New Roman" w:cs="Times New Roman"/>
          <w:szCs w:val="21"/>
        </w:rPr>
        <w:t>0.12</w:t>
      </w:r>
      <w:r>
        <w:rPr>
          <w:rFonts w:ascii="Times New Roman" w:eastAsia="宋体" w:hAnsi="Times New Roman" w:cs="Times New Roman"/>
          <w:szCs w:val="21"/>
        </w:rPr>
        <w:t>。</w:t>
      </w:r>
    </w:p>
    <w:p w14:paraId="52B8BC57" w14:textId="77777777" w:rsidR="001A4D72" w:rsidRDefault="00000000">
      <w:pPr>
        <w:snapToGrid w:val="0"/>
        <w:spacing w:line="360" w:lineRule="auto"/>
        <w:ind w:right="-159"/>
        <w:jc w:val="left"/>
        <w:outlineLvl w:val="2"/>
        <w:rPr>
          <w:rFonts w:ascii="Times New Roman" w:eastAsia="宋体" w:hAnsi="Times New Roman" w:cs="Times New Roman"/>
          <w:bCs/>
          <w:szCs w:val="24"/>
        </w:rPr>
      </w:pPr>
      <w:r>
        <w:rPr>
          <w:rFonts w:ascii="Times New Roman" w:eastAsia="宋体" w:hAnsi="Times New Roman" w:cs="Times New Roman"/>
          <w:bCs/>
          <w:szCs w:val="24"/>
        </w:rPr>
        <w:t xml:space="preserve">1.2.2 </w:t>
      </w:r>
      <w:r>
        <w:rPr>
          <w:rFonts w:ascii="Times New Roman" w:eastAsia="宋体" w:hAnsi="Times New Roman" w:cs="Times New Roman"/>
          <w:bCs/>
          <w:szCs w:val="24"/>
        </w:rPr>
        <w:t>烟草粉末香味物质检测</w:t>
      </w:r>
      <w:r>
        <w:rPr>
          <w:rFonts w:ascii="Times New Roman" w:eastAsia="宋体" w:hAnsi="Times New Roman" w:cs="Times New Roman"/>
          <w:bCs/>
          <w:szCs w:val="24"/>
        </w:rPr>
        <w:t xml:space="preserve"> </w:t>
      </w:r>
    </w:p>
    <w:p w14:paraId="52B8BC58"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本研究对加热卷烟原料中的</w:t>
      </w:r>
      <w:r>
        <w:rPr>
          <w:rFonts w:ascii="Times New Roman" w:eastAsia="宋体" w:hAnsi="Times New Roman" w:cs="Times New Roman"/>
          <w:szCs w:val="21"/>
        </w:rPr>
        <w:t>36</w:t>
      </w:r>
      <w:r>
        <w:rPr>
          <w:rFonts w:ascii="Times New Roman" w:eastAsia="宋体" w:hAnsi="Times New Roman" w:cs="Times New Roman"/>
          <w:szCs w:val="21"/>
        </w:rPr>
        <w:t>种关键香味前体物进行了定量或半定量分析，具体包括：</w:t>
      </w:r>
    </w:p>
    <w:p w14:paraId="52B8BC59" w14:textId="77777777" w:rsidR="001A4D72" w:rsidRDefault="00000000">
      <w:pPr>
        <w:spacing w:line="360" w:lineRule="auto"/>
        <w:ind w:firstLine="480"/>
        <w:rPr>
          <w:rFonts w:ascii="Times New Roman" w:eastAsia="宋体" w:hAnsi="Times New Roman" w:cs="Times New Roman"/>
          <w:szCs w:val="21"/>
        </w:rPr>
      </w:pPr>
      <w:commentRangeStart w:id="12"/>
      <w:commentRangeStart w:id="13"/>
      <w:r>
        <w:rPr>
          <w:rFonts w:ascii="Times New Roman" w:eastAsia="宋体" w:hAnsi="Times New Roman" w:cs="Times New Roman"/>
          <w:szCs w:val="21"/>
        </w:rPr>
        <w:t>非挥发性有机酸</w:t>
      </w:r>
      <w:commentRangeEnd w:id="13"/>
      <w:r>
        <w:rPr>
          <w:rStyle w:val="a4"/>
          <w:rFonts w:ascii="Times New Roman" w:eastAsia="宋体" w:hAnsi="Times New Roman" w:cs="Times New Roman"/>
          <w:sz w:val="24"/>
        </w:rPr>
        <w:commentReference w:id="13"/>
      </w:r>
      <w:commentRangeEnd w:id="12"/>
      <w:r>
        <w:rPr>
          <w:rStyle w:val="a4"/>
          <w:rFonts w:ascii="Times New Roman" w:eastAsia="宋体" w:hAnsi="Times New Roman" w:cs="Times New Roman"/>
          <w:sz w:val="24"/>
        </w:rPr>
        <w:commentReference w:id="12"/>
      </w:r>
      <w:r>
        <w:rPr>
          <w:rFonts w:ascii="Times New Roman" w:eastAsia="宋体" w:hAnsi="Times New Roman" w:cs="Times New Roman"/>
          <w:szCs w:val="21"/>
        </w:rPr>
        <w:t>（</w:t>
      </w:r>
      <w:r>
        <w:rPr>
          <w:rFonts w:ascii="Times New Roman" w:eastAsia="宋体" w:hAnsi="Times New Roman" w:cs="Times New Roman"/>
          <w:szCs w:val="21"/>
        </w:rPr>
        <w:t>9</w:t>
      </w:r>
      <w:r>
        <w:rPr>
          <w:rFonts w:ascii="Times New Roman" w:eastAsia="宋体" w:hAnsi="Times New Roman" w:cs="Times New Roman"/>
          <w:szCs w:val="21"/>
        </w:rPr>
        <w:t>种）：苹果酸、草酸、柠檬酸、丙二酸、乳酸、棕榈酸、硬脂酸、油酸、亚油酸。使用</w:t>
      </w:r>
      <w:commentRangeStart w:id="14"/>
      <w:commentRangeStart w:id="15"/>
      <w:r>
        <w:rPr>
          <w:rFonts w:ascii="Times New Roman" w:eastAsia="宋体" w:hAnsi="Times New Roman" w:cs="Times New Roman"/>
          <w:szCs w:val="21"/>
        </w:rPr>
        <w:t>《烟草中草酸、苹果酸、柠檬酸和高级脂肪酸类物质的测定》</w:t>
      </w:r>
      <w:commentRangeEnd w:id="15"/>
      <w:r>
        <w:rPr>
          <w:rStyle w:val="a4"/>
          <w:rFonts w:ascii="Times New Roman" w:eastAsia="宋体" w:hAnsi="Times New Roman" w:cs="Times New Roman"/>
          <w:sz w:val="24"/>
        </w:rPr>
        <w:commentReference w:id="15"/>
      </w:r>
      <w:commentRangeEnd w:id="14"/>
      <w:r>
        <w:rPr>
          <w:rStyle w:val="a4"/>
          <w:rFonts w:ascii="Times New Roman" w:eastAsia="宋体" w:hAnsi="Times New Roman" w:cs="Times New Roman"/>
          <w:sz w:val="24"/>
        </w:rPr>
        <w:commentReference w:id="14"/>
      </w:r>
      <w:r>
        <w:rPr>
          <w:rFonts w:ascii="Times New Roman" w:eastAsia="宋体" w:hAnsi="Times New Roman" w:cs="Times New Roman"/>
          <w:szCs w:val="21"/>
        </w:rPr>
        <w:t>方法，利用在酸性条件下的酯化反应和置换反应，使有机酸全部转变成甲酯类化合物，然后用二氯甲烷萃取、离心分离、利用</w:t>
      </w:r>
      <w:r>
        <w:rPr>
          <w:rFonts w:ascii="Times New Roman" w:eastAsia="宋体" w:hAnsi="Times New Roman" w:cs="Times New Roman"/>
          <w:szCs w:val="21"/>
        </w:rPr>
        <w:t>GC/FID</w:t>
      </w:r>
      <w:r>
        <w:rPr>
          <w:rFonts w:ascii="Times New Roman" w:eastAsia="宋体" w:hAnsi="Times New Roman" w:cs="Times New Roman"/>
          <w:szCs w:val="21"/>
        </w:rPr>
        <w:t>进行定量分析检测其中多种有机酸的含量。</w:t>
      </w:r>
    </w:p>
    <w:p w14:paraId="52B8BC5A"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多酚（</w:t>
      </w:r>
      <w:r>
        <w:rPr>
          <w:rFonts w:ascii="Times New Roman" w:eastAsia="宋体" w:hAnsi="Times New Roman" w:cs="Times New Roman"/>
          <w:szCs w:val="21"/>
        </w:rPr>
        <w:t>3</w:t>
      </w:r>
      <w:r>
        <w:rPr>
          <w:rFonts w:ascii="Times New Roman" w:eastAsia="宋体" w:hAnsi="Times New Roman" w:cs="Times New Roman"/>
          <w:szCs w:val="21"/>
        </w:rPr>
        <w:t>种）：绿原酸、莨菪亭、芸香苷。参考刘芳等</w:t>
      </w:r>
      <w:r>
        <w:rPr>
          <w:rFonts w:ascii="Times New Roman" w:eastAsia="宋体" w:hAnsi="Times New Roman" w:cs="Times New Roman"/>
          <w:szCs w:val="21"/>
          <w:vertAlign w:val="superscript"/>
        </w:rPr>
        <w:t>[9]</w:t>
      </w:r>
      <w:r>
        <w:rPr>
          <w:rFonts w:ascii="Times New Roman" w:eastAsia="宋体" w:hAnsi="Times New Roman" w:cs="Times New Roman"/>
          <w:szCs w:val="21"/>
        </w:rPr>
        <w:t>的方法，采用超高效液相色谱（</w:t>
      </w:r>
      <w:r>
        <w:rPr>
          <w:rFonts w:ascii="Times New Roman" w:eastAsia="宋体" w:hAnsi="Times New Roman" w:cs="Times New Roman"/>
          <w:szCs w:val="21"/>
        </w:rPr>
        <w:t>UPLC</w:t>
      </w:r>
      <w:r>
        <w:rPr>
          <w:rFonts w:ascii="Times New Roman" w:eastAsia="宋体" w:hAnsi="Times New Roman" w:cs="Times New Roman"/>
          <w:szCs w:val="21"/>
        </w:rPr>
        <w:t>）进行测定。</w:t>
      </w:r>
    </w:p>
    <w:p w14:paraId="52B8BC5B"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类胡萝卜素（</w:t>
      </w:r>
      <w:r>
        <w:rPr>
          <w:rFonts w:ascii="Times New Roman" w:eastAsia="宋体" w:hAnsi="Times New Roman" w:cs="Times New Roman"/>
          <w:szCs w:val="21"/>
        </w:rPr>
        <w:t>2</w:t>
      </w:r>
      <w:r>
        <w:rPr>
          <w:rFonts w:ascii="Times New Roman" w:eastAsia="宋体" w:hAnsi="Times New Roman" w:cs="Times New Roman"/>
          <w:szCs w:val="21"/>
        </w:rPr>
        <w:t>种）：叶黄素、胡萝卜素。参考李小玉等</w:t>
      </w:r>
      <w:r>
        <w:rPr>
          <w:rFonts w:ascii="Times New Roman" w:eastAsia="宋体" w:hAnsi="Times New Roman" w:cs="Times New Roman"/>
          <w:szCs w:val="21"/>
          <w:vertAlign w:val="superscript"/>
        </w:rPr>
        <w:t>[10]</w:t>
      </w:r>
      <w:r>
        <w:rPr>
          <w:rFonts w:ascii="Times New Roman" w:eastAsia="宋体" w:hAnsi="Times New Roman" w:cs="Times New Roman"/>
          <w:szCs w:val="21"/>
        </w:rPr>
        <w:t xml:space="preserve"> </w:t>
      </w:r>
      <w:r>
        <w:rPr>
          <w:rFonts w:ascii="Times New Roman" w:eastAsia="宋体" w:hAnsi="Times New Roman" w:cs="Times New Roman"/>
          <w:szCs w:val="21"/>
        </w:rPr>
        <w:t>的方法，采用超高效液相色谱（</w:t>
      </w:r>
      <w:r>
        <w:rPr>
          <w:rFonts w:ascii="Times New Roman" w:eastAsia="宋体" w:hAnsi="Times New Roman" w:cs="Times New Roman"/>
          <w:szCs w:val="21"/>
        </w:rPr>
        <w:t>UPLC</w:t>
      </w:r>
      <w:r>
        <w:rPr>
          <w:rFonts w:ascii="Times New Roman" w:eastAsia="宋体" w:hAnsi="Times New Roman" w:cs="Times New Roman"/>
          <w:szCs w:val="21"/>
        </w:rPr>
        <w:t>）进行测定。</w:t>
      </w:r>
    </w:p>
    <w:p w14:paraId="52B8BC5C"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中性香味成分（</w:t>
      </w:r>
      <w:r>
        <w:rPr>
          <w:rFonts w:ascii="Times New Roman" w:eastAsia="宋体" w:hAnsi="Times New Roman" w:cs="Times New Roman"/>
          <w:szCs w:val="21"/>
        </w:rPr>
        <w:t>10</w:t>
      </w:r>
      <w:r>
        <w:rPr>
          <w:rFonts w:ascii="Times New Roman" w:eastAsia="宋体" w:hAnsi="Times New Roman" w:cs="Times New Roman"/>
          <w:szCs w:val="21"/>
        </w:rPr>
        <w:t>种）：茄酮、香叶基丙酮、</w:t>
      </w:r>
      <w:r>
        <w:rPr>
          <w:rFonts w:ascii="Times New Roman" w:eastAsia="宋体" w:hAnsi="Times New Roman" w:cs="Times New Roman"/>
          <w:szCs w:val="21"/>
        </w:rPr>
        <w:t>β-</w:t>
      </w:r>
      <w:r>
        <w:rPr>
          <w:rFonts w:ascii="Times New Roman" w:eastAsia="宋体" w:hAnsi="Times New Roman" w:cs="Times New Roman"/>
          <w:szCs w:val="21"/>
        </w:rPr>
        <w:t>紫罗兰酮、氧化紫罗兰酮、降茄二酮、</w:t>
      </w:r>
      <w:r>
        <w:rPr>
          <w:rFonts w:ascii="Times New Roman" w:eastAsia="宋体" w:hAnsi="Times New Roman" w:cs="Times New Roman"/>
          <w:szCs w:val="21"/>
        </w:rPr>
        <w:t>3-</w:t>
      </w:r>
      <w:r>
        <w:rPr>
          <w:rFonts w:ascii="Times New Roman" w:eastAsia="宋体" w:hAnsi="Times New Roman" w:cs="Times New Roman"/>
          <w:szCs w:val="21"/>
        </w:rPr>
        <w:t>羟基</w:t>
      </w:r>
      <w:r>
        <w:rPr>
          <w:rFonts w:ascii="Times New Roman" w:eastAsia="宋体" w:hAnsi="Times New Roman" w:cs="Times New Roman"/>
          <w:szCs w:val="21"/>
        </w:rPr>
        <w:t>-β-</w:t>
      </w:r>
      <w:r>
        <w:rPr>
          <w:rFonts w:ascii="Times New Roman" w:eastAsia="宋体" w:hAnsi="Times New Roman" w:cs="Times New Roman"/>
          <w:szCs w:val="21"/>
        </w:rPr>
        <w:t>二氢大马酮、</w:t>
      </w:r>
      <w:r>
        <w:rPr>
          <w:rFonts w:ascii="Times New Roman" w:eastAsia="宋体" w:hAnsi="Times New Roman" w:cs="Times New Roman"/>
          <w:szCs w:val="21"/>
        </w:rPr>
        <w:t>3-</w:t>
      </w:r>
      <w:r>
        <w:rPr>
          <w:rFonts w:ascii="Times New Roman" w:eastAsia="宋体" w:hAnsi="Times New Roman" w:cs="Times New Roman"/>
          <w:szCs w:val="21"/>
        </w:rPr>
        <w:t>氧代</w:t>
      </w:r>
      <w:r>
        <w:rPr>
          <w:rFonts w:ascii="Times New Roman" w:eastAsia="宋体" w:hAnsi="Times New Roman" w:cs="Times New Roman"/>
          <w:szCs w:val="21"/>
        </w:rPr>
        <w:t>-α-</w:t>
      </w:r>
      <w:r>
        <w:rPr>
          <w:rFonts w:ascii="Times New Roman" w:eastAsia="宋体" w:hAnsi="Times New Roman" w:cs="Times New Roman"/>
          <w:szCs w:val="21"/>
        </w:rPr>
        <w:t>紫罗兰醇、巨豆三烯酮、二氢猕猴桃内酯、新植二烯。</w:t>
      </w:r>
      <w:commentRangeStart w:id="16"/>
      <w:r>
        <w:rPr>
          <w:rFonts w:ascii="Times New Roman" w:eastAsia="宋体" w:hAnsi="Times New Roman" w:cs="Times New Roman"/>
          <w:szCs w:val="21"/>
        </w:rPr>
        <w:t>运用液相</w:t>
      </w:r>
      <w:r>
        <w:rPr>
          <w:rFonts w:ascii="Times New Roman" w:eastAsia="宋体" w:hAnsi="Times New Roman" w:cs="Times New Roman"/>
          <w:szCs w:val="21"/>
        </w:rPr>
        <w:t>-</w:t>
      </w:r>
      <w:r>
        <w:rPr>
          <w:rFonts w:ascii="Times New Roman" w:eastAsia="宋体" w:hAnsi="Times New Roman" w:cs="Times New Roman"/>
          <w:szCs w:val="21"/>
        </w:rPr>
        <w:t>气相质谱联用方法，</w:t>
      </w:r>
      <w:commentRangeEnd w:id="16"/>
      <w:r>
        <w:rPr>
          <w:rStyle w:val="a4"/>
          <w:rFonts w:ascii="Times New Roman" w:eastAsia="宋体" w:hAnsi="Times New Roman" w:cs="Times New Roman"/>
          <w:sz w:val="24"/>
        </w:rPr>
        <w:commentReference w:id="16"/>
      </w:r>
      <w:r>
        <w:rPr>
          <w:rFonts w:ascii="Times New Roman" w:eastAsia="宋体" w:hAnsi="Times New Roman" w:cs="Times New Roman"/>
          <w:szCs w:val="21"/>
        </w:rPr>
        <w:t>通过正己烷和叔丁基甲醚混合溶剂萃取，对样品中中性香味成分进行检测分析。</w:t>
      </w:r>
    </w:p>
    <w:p w14:paraId="52B8BC5D" w14:textId="77777777" w:rsidR="001A4D72" w:rsidRDefault="00000000">
      <w:pPr>
        <w:spacing w:line="360" w:lineRule="auto"/>
        <w:ind w:firstLine="480"/>
        <w:rPr>
          <w:rFonts w:ascii="Times New Roman" w:eastAsia="宋体" w:hAnsi="Times New Roman" w:cs="Times New Roman"/>
          <w:szCs w:val="21"/>
        </w:rPr>
      </w:pPr>
      <w:commentRangeStart w:id="17"/>
      <w:r>
        <w:rPr>
          <w:rFonts w:ascii="Times New Roman" w:eastAsia="宋体" w:hAnsi="Times New Roman" w:cs="Times New Roman"/>
          <w:szCs w:val="21"/>
        </w:rPr>
        <w:t>硅烷化成分（</w:t>
      </w:r>
      <w:r>
        <w:rPr>
          <w:rFonts w:ascii="Times New Roman" w:eastAsia="宋体" w:hAnsi="Times New Roman" w:cs="Times New Roman"/>
          <w:szCs w:val="21"/>
        </w:rPr>
        <w:t>12</w:t>
      </w:r>
      <w:r>
        <w:rPr>
          <w:rFonts w:ascii="Times New Roman" w:eastAsia="宋体" w:hAnsi="Times New Roman" w:cs="Times New Roman"/>
          <w:szCs w:val="21"/>
        </w:rPr>
        <w:t>种）：</w:t>
      </w:r>
      <w:commentRangeEnd w:id="17"/>
      <w:r>
        <w:rPr>
          <w:rStyle w:val="a4"/>
          <w:rFonts w:ascii="Times New Roman" w:eastAsia="宋体" w:hAnsi="Times New Roman" w:cs="Times New Roman"/>
          <w:sz w:val="24"/>
        </w:rPr>
        <w:commentReference w:id="17"/>
      </w:r>
      <w:r>
        <w:rPr>
          <w:rFonts w:ascii="Times New Roman" w:eastAsia="宋体" w:hAnsi="Times New Roman" w:cs="Times New Roman"/>
          <w:szCs w:val="21"/>
        </w:rPr>
        <w:t>磷酸、甘油、脯氨酸、尼古丁、二羟基丙酸、苹果酸、三羟基丁酸、柠檬酸、果糖、葡萄糖、肌醇、蔗糖。利用硅烷化试剂对烟草或烟草制品中含活泼氢的化合物进行衍生化，从而降低化合物的沸点，以达到气相色谱检测温度范围，通过气相色谱</w:t>
      </w:r>
      <w:r>
        <w:rPr>
          <w:rFonts w:ascii="Times New Roman" w:eastAsia="宋体" w:hAnsi="Times New Roman" w:cs="Times New Roman"/>
          <w:szCs w:val="21"/>
        </w:rPr>
        <w:t>GC/FID</w:t>
      </w:r>
      <w:r>
        <w:rPr>
          <w:rFonts w:ascii="Times New Roman" w:eastAsia="宋体" w:hAnsi="Times New Roman" w:cs="Times New Roman"/>
          <w:szCs w:val="21"/>
        </w:rPr>
        <w:t>分析检测其中</w:t>
      </w:r>
      <w:r>
        <w:rPr>
          <w:rFonts w:ascii="Times New Roman" w:eastAsia="宋体" w:hAnsi="Times New Roman" w:cs="Times New Roman"/>
          <w:szCs w:val="21"/>
        </w:rPr>
        <w:t>12</w:t>
      </w:r>
      <w:r>
        <w:rPr>
          <w:rFonts w:ascii="Times New Roman" w:eastAsia="宋体" w:hAnsi="Times New Roman" w:cs="Times New Roman"/>
          <w:szCs w:val="21"/>
        </w:rPr>
        <w:t>种物质。</w:t>
      </w:r>
    </w:p>
    <w:p w14:paraId="52B8BC5E"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上述所有检出物质的定量结果均作为变量用于后续的统计分析。</w:t>
      </w:r>
    </w:p>
    <w:p w14:paraId="52B8BC5F" w14:textId="77777777" w:rsidR="001A4D72" w:rsidRDefault="00000000">
      <w:pPr>
        <w:snapToGrid w:val="0"/>
        <w:spacing w:line="360" w:lineRule="auto"/>
        <w:ind w:right="-159"/>
        <w:jc w:val="left"/>
        <w:outlineLvl w:val="2"/>
        <w:rPr>
          <w:rFonts w:ascii="Times New Roman" w:eastAsia="宋体" w:hAnsi="Times New Roman" w:cs="Times New Roman"/>
          <w:bCs/>
          <w:szCs w:val="24"/>
        </w:rPr>
      </w:pPr>
      <w:r>
        <w:rPr>
          <w:rFonts w:ascii="Times New Roman" w:eastAsia="宋体" w:hAnsi="Times New Roman" w:cs="Times New Roman"/>
          <w:bCs/>
          <w:szCs w:val="24"/>
        </w:rPr>
        <w:t xml:space="preserve">1.2.3 </w:t>
      </w:r>
      <w:r>
        <w:rPr>
          <w:rFonts w:ascii="Times New Roman" w:eastAsia="宋体" w:hAnsi="Times New Roman" w:cs="Times New Roman"/>
          <w:bCs/>
          <w:szCs w:val="24"/>
        </w:rPr>
        <w:t>烟气香味成分</w:t>
      </w:r>
      <w:r>
        <w:rPr>
          <w:rFonts w:ascii="Times New Roman" w:eastAsia="宋体" w:hAnsi="Times New Roman" w:cs="Times New Roman"/>
          <w:bCs/>
          <w:szCs w:val="24"/>
        </w:rPr>
        <w:t xml:space="preserve"> </w:t>
      </w:r>
    </w:p>
    <w:p w14:paraId="52B8BC60" w14:textId="77777777" w:rsidR="001A4D72" w:rsidRDefault="00000000">
      <w:pPr>
        <w:spacing w:line="360" w:lineRule="auto"/>
        <w:ind w:firstLine="480"/>
        <w:rPr>
          <w:rFonts w:ascii="Times New Roman" w:eastAsia="宋体" w:hAnsi="Times New Roman" w:cs="Times New Roman"/>
          <w:szCs w:val="24"/>
        </w:rPr>
      </w:pPr>
      <w:r>
        <w:rPr>
          <w:rFonts w:ascii="Times New Roman" w:eastAsia="宋体" w:hAnsi="Times New Roman" w:cs="Times New Roman"/>
          <w:szCs w:val="24"/>
        </w:rPr>
        <w:t>本研究采用中心切割二维气相色谱</w:t>
      </w:r>
      <w:r>
        <w:rPr>
          <w:rFonts w:ascii="Times New Roman" w:eastAsia="宋体" w:hAnsi="Times New Roman" w:cs="Times New Roman"/>
          <w:szCs w:val="24"/>
        </w:rPr>
        <w:t>-</w:t>
      </w:r>
      <w:r>
        <w:rPr>
          <w:rFonts w:ascii="Times New Roman" w:eastAsia="宋体" w:hAnsi="Times New Roman" w:cs="Times New Roman"/>
          <w:szCs w:val="24"/>
        </w:rPr>
        <w:t>质谱法对加热卷烟烟气粒相物进行分析，共检测到</w:t>
      </w:r>
      <w:r>
        <w:rPr>
          <w:rFonts w:ascii="Times New Roman" w:eastAsia="宋体" w:hAnsi="Times New Roman" w:cs="Times New Roman"/>
          <w:szCs w:val="24"/>
        </w:rPr>
        <w:t>55</w:t>
      </w:r>
      <w:r>
        <w:rPr>
          <w:rFonts w:ascii="Times New Roman" w:eastAsia="宋体" w:hAnsi="Times New Roman" w:cs="Times New Roman"/>
          <w:szCs w:val="24"/>
        </w:rPr>
        <w:t>种烟气香味成分，依据物质的化学结构及官能团特征将</w:t>
      </w:r>
      <w:r>
        <w:rPr>
          <w:rFonts w:ascii="Times New Roman" w:eastAsia="宋体" w:hAnsi="Times New Roman" w:cs="Times New Roman"/>
          <w:szCs w:val="24"/>
        </w:rPr>
        <w:t>55</w:t>
      </w:r>
      <w:r>
        <w:rPr>
          <w:rFonts w:ascii="Times New Roman" w:eastAsia="宋体" w:hAnsi="Times New Roman" w:cs="Times New Roman"/>
          <w:szCs w:val="24"/>
        </w:rPr>
        <w:t>种烟气香味成分分为</w:t>
      </w:r>
      <w:r>
        <w:rPr>
          <w:rFonts w:ascii="Times New Roman" w:eastAsia="宋体" w:hAnsi="Times New Roman" w:cs="Times New Roman"/>
          <w:szCs w:val="24"/>
        </w:rPr>
        <w:t>5</w:t>
      </w:r>
      <w:r>
        <w:rPr>
          <w:rFonts w:ascii="Times New Roman" w:eastAsia="宋体" w:hAnsi="Times New Roman" w:cs="Times New Roman"/>
          <w:szCs w:val="24"/>
        </w:rPr>
        <w:t>类</w:t>
      </w:r>
      <w:r>
        <w:rPr>
          <w:rFonts w:ascii="Times New Roman" w:eastAsia="宋体" w:hAnsi="Times New Roman" w:cs="Times New Roman"/>
          <w:szCs w:val="24"/>
        </w:rPr>
        <w:t>——</w:t>
      </w:r>
      <w:r>
        <w:rPr>
          <w:rFonts w:ascii="Times New Roman" w:eastAsia="宋体" w:hAnsi="Times New Roman" w:cs="Times New Roman"/>
          <w:szCs w:val="24"/>
        </w:rPr>
        <w:t>（</w:t>
      </w:r>
      <w:r>
        <w:rPr>
          <w:rFonts w:ascii="Times New Roman" w:eastAsia="宋体" w:hAnsi="Times New Roman" w:cs="Times New Roman"/>
          <w:szCs w:val="24"/>
        </w:rPr>
        <w:t>1</w:t>
      </w:r>
      <w:r>
        <w:rPr>
          <w:rFonts w:ascii="Times New Roman" w:eastAsia="宋体" w:hAnsi="Times New Roman" w:cs="Times New Roman"/>
          <w:szCs w:val="24"/>
        </w:rPr>
        <w:t>）酚类（</w:t>
      </w:r>
      <w:r>
        <w:rPr>
          <w:rFonts w:ascii="Times New Roman" w:eastAsia="宋体" w:hAnsi="Times New Roman" w:cs="Times New Roman"/>
          <w:szCs w:val="24"/>
        </w:rPr>
        <w:t>10</w:t>
      </w:r>
      <w:r>
        <w:rPr>
          <w:rFonts w:ascii="Times New Roman" w:eastAsia="宋体" w:hAnsi="Times New Roman" w:cs="Times New Roman"/>
          <w:szCs w:val="24"/>
        </w:rPr>
        <w:t>种）、（</w:t>
      </w:r>
      <w:r>
        <w:rPr>
          <w:rFonts w:ascii="Times New Roman" w:eastAsia="宋体" w:hAnsi="Times New Roman" w:cs="Times New Roman"/>
          <w:szCs w:val="24"/>
        </w:rPr>
        <w:t>2</w:t>
      </w:r>
      <w:r>
        <w:rPr>
          <w:rFonts w:ascii="Times New Roman" w:eastAsia="宋体" w:hAnsi="Times New Roman" w:cs="Times New Roman"/>
          <w:szCs w:val="24"/>
        </w:rPr>
        <w:t>）酮类和酸类（</w:t>
      </w:r>
      <w:r>
        <w:rPr>
          <w:rFonts w:ascii="Times New Roman" w:eastAsia="宋体" w:hAnsi="Times New Roman" w:cs="Times New Roman"/>
          <w:szCs w:val="24"/>
        </w:rPr>
        <w:t>16</w:t>
      </w:r>
      <w:r>
        <w:rPr>
          <w:rFonts w:ascii="Times New Roman" w:eastAsia="宋体" w:hAnsi="Times New Roman" w:cs="Times New Roman"/>
          <w:szCs w:val="24"/>
        </w:rPr>
        <w:t>种）、（</w:t>
      </w:r>
      <w:r>
        <w:rPr>
          <w:rFonts w:ascii="Times New Roman" w:eastAsia="宋体" w:hAnsi="Times New Roman" w:cs="Times New Roman"/>
          <w:szCs w:val="24"/>
        </w:rPr>
        <w:t>3</w:t>
      </w:r>
      <w:r>
        <w:rPr>
          <w:rFonts w:ascii="Times New Roman" w:eastAsia="宋体" w:hAnsi="Times New Roman" w:cs="Times New Roman"/>
          <w:szCs w:val="24"/>
        </w:rPr>
        <w:t>）呋喃、吡喃和内酯类（</w:t>
      </w:r>
      <w:r>
        <w:rPr>
          <w:rFonts w:ascii="Times New Roman" w:eastAsia="宋体" w:hAnsi="Times New Roman" w:cs="Times New Roman"/>
          <w:szCs w:val="24"/>
        </w:rPr>
        <w:t>9</w:t>
      </w:r>
      <w:r>
        <w:rPr>
          <w:rFonts w:ascii="Times New Roman" w:eastAsia="宋体" w:hAnsi="Times New Roman" w:cs="Times New Roman"/>
          <w:szCs w:val="24"/>
        </w:rPr>
        <w:t>种）、（</w:t>
      </w:r>
      <w:r>
        <w:rPr>
          <w:rFonts w:ascii="Times New Roman" w:eastAsia="宋体" w:hAnsi="Times New Roman" w:cs="Times New Roman"/>
          <w:szCs w:val="24"/>
        </w:rPr>
        <w:t>4</w:t>
      </w:r>
      <w:r>
        <w:rPr>
          <w:rFonts w:ascii="Times New Roman" w:eastAsia="宋体" w:hAnsi="Times New Roman" w:cs="Times New Roman"/>
          <w:szCs w:val="24"/>
        </w:rPr>
        <w:t>）含氮化合物（</w:t>
      </w:r>
      <w:r>
        <w:rPr>
          <w:rFonts w:ascii="Times New Roman" w:eastAsia="宋体" w:hAnsi="Times New Roman" w:cs="Times New Roman"/>
          <w:szCs w:val="24"/>
        </w:rPr>
        <w:t>17</w:t>
      </w:r>
      <w:r>
        <w:rPr>
          <w:rFonts w:ascii="Times New Roman" w:eastAsia="宋体" w:hAnsi="Times New Roman" w:cs="Times New Roman"/>
          <w:szCs w:val="24"/>
        </w:rPr>
        <w:t>种）、（</w:t>
      </w:r>
      <w:r>
        <w:rPr>
          <w:rFonts w:ascii="Times New Roman" w:eastAsia="宋体" w:hAnsi="Times New Roman" w:cs="Times New Roman"/>
          <w:szCs w:val="24"/>
        </w:rPr>
        <w:t>5</w:t>
      </w:r>
      <w:r>
        <w:rPr>
          <w:rFonts w:ascii="Times New Roman" w:eastAsia="宋体" w:hAnsi="Times New Roman" w:cs="Times New Roman"/>
          <w:szCs w:val="24"/>
        </w:rPr>
        <w:t>）其他类（</w:t>
      </w:r>
      <w:r>
        <w:rPr>
          <w:rFonts w:ascii="Times New Roman" w:eastAsia="宋体" w:hAnsi="Times New Roman" w:cs="Times New Roman"/>
          <w:szCs w:val="24"/>
        </w:rPr>
        <w:t>3</w:t>
      </w:r>
      <w:r>
        <w:rPr>
          <w:rFonts w:ascii="Times New Roman" w:eastAsia="宋体" w:hAnsi="Times New Roman" w:cs="Times New Roman"/>
          <w:szCs w:val="24"/>
        </w:rPr>
        <w:t>种）。具体检测方法如下；</w:t>
      </w:r>
    </w:p>
    <w:p w14:paraId="52B8BC61" w14:textId="77777777" w:rsidR="001A4D72" w:rsidRDefault="00000000">
      <w:pPr>
        <w:spacing w:line="360" w:lineRule="auto"/>
        <w:ind w:firstLine="480"/>
        <w:rPr>
          <w:rFonts w:ascii="Times New Roman" w:eastAsia="宋体" w:hAnsi="Times New Roman" w:cs="Times New Roman"/>
          <w:szCs w:val="24"/>
        </w:rPr>
      </w:pPr>
      <w:r>
        <w:rPr>
          <w:rFonts w:ascii="Times New Roman" w:eastAsia="宋体" w:hAnsi="Times New Roman" w:cs="Times New Roman"/>
          <w:szCs w:val="24"/>
        </w:rPr>
        <w:t>仪器及试剂：</w:t>
      </w:r>
    </w:p>
    <w:p w14:paraId="52B8BC62" w14:textId="77777777" w:rsidR="001A4D72" w:rsidRDefault="00000000">
      <w:pPr>
        <w:spacing w:line="360" w:lineRule="auto"/>
        <w:ind w:firstLine="480"/>
        <w:rPr>
          <w:rFonts w:ascii="Times New Roman" w:eastAsia="宋体" w:hAnsi="Times New Roman" w:cs="Times New Roman"/>
          <w:szCs w:val="24"/>
        </w:rPr>
      </w:pPr>
      <w:r>
        <w:rPr>
          <w:rFonts w:ascii="Times New Roman" w:eastAsia="宋体" w:hAnsi="Times New Roman" w:cs="Times New Roman"/>
          <w:szCs w:val="24"/>
        </w:rPr>
        <w:t>甲基叔丁基醚（</w:t>
      </w:r>
      <w:r>
        <w:rPr>
          <w:rFonts w:ascii="Times New Roman" w:eastAsia="宋体" w:hAnsi="Times New Roman" w:cs="Times New Roman"/>
          <w:szCs w:val="24"/>
        </w:rPr>
        <w:t>99.8%</w:t>
      </w:r>
      <w:r>
        <w:rPr>
          <w:rFonts w:ascii="Times New Roman" w:eastAsia="宋体" w:hAnsi="Times New Roman" w:cs="Times New Roman"/>
          <w:szCs w:val="24"/>
        </w:rPr>
        <w:t>，美国</w:t>
      </w:r>
      <w:r>
        <w:rPr>
          <w:rFonts w:ascii="Times New Roman" w:eastAsia="宋体" w:hAnsi="Times New Roman" w:cs="Times New Roman"/>
          <w:szCs w:val="24"/>
        </w:rPr>
        <w:t>Anaqua</w:t>
      </w:r>
      <w:r>
        <w:rPr>
          <w:rFonts w:ascii="Times New Roman" w:eastAsia="宋体" w:hAnsi="Times New Roman" w:cs="Times New Roman"/>
          <w:szCs w:val="24"/>
        </w:rPr>
        <w:t>公司）；戊酸甲酯（</w:t>
      </w:r>
      <w:r>
        <w:rPr>
          <w:rFonts w:ascii="Times New Roman" w:eastAsia="宋体" w:hAnsi="Times New Roman" w:cs="Times New Roman"/>
          <w:szCs w:val="24"/>
        </w:rPr>
        <w:t>98%</w:t>
      </w:r>
      <w:r>
        <w:rPr>
          <w:rFonts w:ascii="Times New Roman" w:eastAsia="宋体" w:hAnsi="Times New Roman" w:cs="Times New Roman"/>
          <w:szCs w:val="24"/>
        </w:rPr>
        <w:t>）、庚酸甲酯</w:t>
      </w:r>
      <w:r>
        <w:rPr>
          <w:rFonts w:ascii="Times New Roman" w:eastAsia="宋体" w:hAnsi="Times New Roman" w:cs="Times New Roman"/>
          <w:szCs w:val="24"/>
        </w:rPr>
        <w:lastRenderedPageBreak/>
        <w:t>（</w:t>
      </w:r>
      <w:r>
        <w:rPr>
          <w:rFonts w:ascii="Times New Roman" w:eastAsia="宋体" w:hAnsi="Times New Roman" w:cs="Times New Roman"/>
          <w:szCs w:val="24"/>
        </w:rPr>
        <w:t>98.2%</w:t>
      </w:r>
      <w:r>
        <w:rPr>
          <w:rFonts w:ascii="Times New Roman" w:eastAsia="宋体" w:hAnsi="Times New Roman" w:cs="Times New Roman"/>
          <w:szCs w:val="24"/>
        </w:rPr>
        <w:t>）、壬酸甲酯（</w:t>
      </w:r>
      <w:r>
        <w:rPr>
          <w:rFonts w:ascii="Times New Roman" w:eastAsia="宋体" w:hAnsi="Times New Roman" w:cs="Times New Roman"/>
          <w:szCs w:val="24"/>
        </w:rPr>
        <w:t>98%</w:t>
      </w:r>
      <w:r>
        <w:rPr>
          <w:rFonts w:ascii="Times New Roman" w:eastAsia="宋体" w:hAnsi="Times New Roman" w:cs="Times New Roman"/>
          <w:szCs w:val="24"/>
        </w:rPr>
        <w:t>）、十三酸甲酯（</w:t>
      </w:r>
      <w:r>
        <w:rPr>
          <w:rFonts w:ascii="Times New Roman" w:eastAsia="宋体" w:hAnsi="Times New Roman" w:cs="Times New Roman"/>
          <w:szCs w:val="24"/>
        </w:rPr>
        <w:t>98.1%</w:t>
      </w:r>
      <w:r>
        <w:rPr>
          <w:rFonts w:ascii="Times New Roman" w:eastAsia="宋体" w:hAnsi="Times New Roman" w:cs="Times New Roman"/>
          <w:szCs w:val="24"/>
        </w:rPr>
        <w:t>）、十五酸甲酯（</w:t>
      </w:r>
      <w:r>
        <w:rPr>
          <w:rFonts w:ascii="Times New Roman" w:eastAsia="宋体" w:hAnsi="Times New Roman" w:cs="Times New Roman"/>
          <w:szCs w:val="24"/>
        </w:rPr>
        <w:t>98%</w:t>
      </w:r>
      <w:r>
        <w:rPr>
          <w:rFonts w:ascii="Times New Roman" w:eastAsia="宋体" w:hAnsi="Times New Roman" w:cs="Times New Roman"/>
          <w:szCs w:val="24"/>
        </w:rPr>
        <w:t>）（美国</w:t>
      </w:r>
      <w:r>
        <w:rPr>
          <w:rFonts w:ascii="Times New Roman" w:eastAsia="宋体" w:hAnsi="Times New Roman" w:cs="Times New Roman"/>
          <w:szCs w:val="24"/>
        </w:rPr>
        <w:t>ChemService</w:t>
      </w:r>
      <w:r>
        <w:rPr>
          <w:rFonts w:ascii="Times New Roman" w:eastAsia="宋体" w:hAnsi="Times New Roman" w:cs="Times New Roman"/>
          <w:szCs w:val="24"/>
        </w:rPr>
        <w:t>公司）。</w:t>
      </w:r>
    </w:p>
    <w:p w14:paraId="52B8BC63" w14:textId="77777777" w:rsidR="001A4D72" w:rsidRDefault="00000000">
      <w:pPr>
        <w:spacing w:line="360" w:lineRule="auto"/>
        <w:ind w:firstLine="480"/>
        <w:rPr>
          <w:rFonts w:ascii="Times New Roman" w:eastAsia="宋体" w:hAnsi="Times New Roman" w:cs="Times New Roman"/>
          <w:szCs w:val="24"/>
        </w:rPr>
      </w:pPr>
      <w:r>
        <w:rPr>
          <w:rFonts w:ascii="Times New Roman" w:eastAsia="宋体" w:hAnsi="Times New Roman" w:cs="Times New Roman"/>
          <w:szCs w:val="24"/>
        </w:rPr>
        <w:t>7890B/5977A</w:t>
      </w:r>
      <w:r>
        <w:rPr>
          <w:rFonts w:ascii="Times New Roman" w:eastAsia="宋体" w:hAnsi="Times New Roman" w:cs="Times New Roman"/>
          <w:szCs w:val="24"/>
        </w:rPr>
        <w:t>气质联用仪、</w:t>
      </w:r>
      <w:r>
        <w:rPr>
          <w:rFonts w:ascii="Times New Roman" w:eastAsia="宋体" w:hAnsi="Times New Roman" w:cs="Times New Roman"/>
          <w:szCs w:val="24"/>
        </w:rPr>
        <w:t>DB‒5MS</w:t>
      </w:r>
      <w:r>
        <w:rPr>
          <w:rFonts w:ascii="Times New Roman" w:eastAsia="宋体" w:hAnsi="Times New Roman" w:cs="Times New Roman"/>
          <w:szCs w:val="24"/>
        </w:rPr>
        <w:t>色谱柱（</w:t>
      </w:r>
      <w:r>
        <w:rPr>
          <w:rFonts w:ascii="Times New Roman" w:eastAsia="宋体" w:hAnsi="Times New Roman" w:cs="Times New Roman"/>
          <w:szCs w:val="24"/>
        </w:rPr>
        <w:t>30m×0.32mm id×0.25μmdf</w:t>
      </w:r>
      <w:r>
        <w:rPr>
          <w:rFonts w:ascii="Times New Roman" w:eastAsia="宋体" w:hAnsi="Times New Roman" w:cs="Times New Roman"/>
          <w:szCs w:val="24"/>
        </w:rPr>
        <w:t>）、</w:t>
      </w:r>
      <w:r>
        <w:rPr>
          <w:rFonts w:ascii="Times New Roman" w:eastAsia="宋体" w:hAnsi="Times New Roman" w:cs="Times New Roman"/>
          <w:szCs w:val="24"/>
        </w:rPr>
        <w:t>DB‒WAX</w:t>
      </w:r>
      <w:r>
        <w:rPr>
          <w:rFonts w:ascii="Times New Roman" w:eastAsia="宋体" w:hAnsi="Times New Roman" w:cs="Times New Roman"/>
          <w:szCs w:val="24"/>
        </w:rPr>
        <w:t>色谱柱（</w:t>
      </w:r>
      <w:r>
        <w:rPr>
          <w:rFonts w:ascii="Times New Roman" w:eastAsia="宋体" w:hAnsi="Times New Roman" w:cs="Times New Roman"/>
          <w:szCs w:val="24"/>
        </w:rPr>
        <w:t>60m×0.32mm id×0.25μmdf</w:t>
      </w:r>
      <w:r>
        <w:rPr>
          <w:rFonts w:ascii="Times New Roman" w:eastAsia="宋体" w:hAnsi="Times New Roman" w:cs="Times New Roman"/>
          <w:szCs w:val="24"/>
        </w:rPr>
        <w:t>）（美国</w:t>
      </w:r>
      <w:r>
        <w:rPr>
          <w:rFonts w:ascii="Times New Roman" w:eastAsia="宋体" w:hAnsi="Times New Roman" w:cs="Times New Roman"/>
          <w:szCs w:val="24"/>
        </w:rPr>
        <w:t>Agilent</w:t>
      </w:r>
      <w:r>
        <w:rPr>
          <w:rFonts w:ascii="Times New Roman" w:eastAsia="宋体" w:hAnsi="Times New Roman" w:cs="Times New Roman"/>
          <w:szCs w:val="24"/>
        </w:rPr>
        <w:t>公司）、转盘式吸烟机。</w:t>
      </w:r>
    </w:p>
    <w:p w14:paraId="52B8BC64" w14:textId="77777777" w:rsidR="001A4D72" w:rsidRDefault="00000000">
      <w:pPr>
        <w:spacing w:line="360" w:lineRule="auto"/>
        <w:ind w:firstLine="480"/>
        <w:rPr>
          <w:rFonts w:ascii="Times New Roman" w:eastAsia="宋体" w:hAnsi="Times New Roman" w:cs="Times New Roman"/>
          <w:szCs w:val="24"/>
        </w:rPr>
      </w:pPr>
      <w:r>
        <w:rPr>
          <w:rFonts w:ascii="Times New Roman" w:eastAsia="宋体" w:hAnsi="Times New Roman" w:cs="Times New Roman"/>
          <w:szCs w:val="24"/>
        </w:rPr>
        <w:t>滤片前处理方法：</w:t>
      </w:r>
    </w:p>
    <w:p w14:paraId="52B8BC65" w14:textId="77777777" w:rsidR="001A4D72" w:rsidRDefault="00000000">
      <w:pPr>
        <w:spacing w:line="360" w:lineRule="auto"/>
        <w:ind w:firstLine="480"/>
        <w:rPr>
          <w:rFonts w:ascii="Times New Roman" w:eastAsia="宋体" w:hAnsi="Times New Roman" w:cs="Times New Roman"/>
          <w:szCs w:val="24"/>
        </w:rPr>
      </w:pPr>
      <w:r>
        <w:rPr>
          <w:rFonts w:ascii="Times New Roman" w:eastAsia="宋体" w:hAnsi="Times New Roman" w:cs="Times New Roman"/>
          <w:szCs w:val="24"/>
        </w:rPr>
        <w:t>烟气粒相成分的测定采用中心切割二维气相色谱</w:t>
      </w:r>
      <w:r>
        <w:rPr>
          <w:rFonts w:ascii="Times New Roman" w:eastAsia="宋体" w:hAnsi="Times New Roman" w:cs="Times New Roman"/>
          <w:szCs w:val="24"/>
        </w:rPr>
        <w:t>‒</w:t>
      </w:r>
      <w:r>
        <w:rPr>
          <w:rFonts w:ascii="Times New Roman" w:eastAsia="宋体" w:hAnsi="Times New Roman" w:cs="Times New Roman"/>
          <w:szCs w:val="24"/>
        </w:rPr>
        <w:t>质谱法。每张剑桥滤片捕集</w:t>
      </w:r>
      <w:r>
        <w:rPr>
          <w:rFonts w:ascii="Times New Roman" w:eastAsia="宋体" w:hAnsi="Times New Roman" w:cs="Times New Roman"/>
          <w:szCs w:val="24"/>
        </w:rPr>
        <w:t>4</w:t>
      </w:r>
      <w:r>
        <w:rPr>
          <w:rFonts w:ascii="Times New Roman" w:eastAsia="宋体" w:hAnsi="Times New Roman" w:cs="Times New Roman"/>
          <w:szCs w:val="24"/>
        </w:rPr>
        <w:t>支烟的粒相物，每平行的</w:t>
      </w:r>
      <w:r>
        <w:rPr>
          <w:rFonts w:ascii="Times New Roman" w:eastAsia="宋体" w:hAnsi="Times New Roman" w:cs="Times New Roman"/>
          <w:szCs w:val="24"/>
        </w:rPr>
        <w:t>2</w:t>
      </w:r>
      <w:r>
        <w:rPr>
          <w:rFonts w:ascii="Times New Roman" w:eastAsia="宋体" w:hAnsi="Times New Roman" w:cs="Times New Roman"/>
          <w:szCs w:val="24"/>
        </w:rPr>
        <w:t>张滤片置于锥形瓶中，加入</w:t>
      </w:r>
      <w:r>
        <w:rPr>
          <w:rFonts w:ascii="Times New Roman" w:eastAsia="宋体" w:hAnsi="Times New Roman" w:cs="Times New Roman"/>
          <w:szCs w:val="24"/>
        </w:rPr>
        <w:t>10mL</w:t>
      </w:r>
      <w:r>
        <w:rPr>
          <w:rFonts w:ascii="Times New Roman" w:eastAsia="宋体" w:hAnsi="Times New Roman" w:cs="Times New Roman"/>
          <w:szCs w:val="24"/>
        </w:rPr>
        <w:t>甲基叔丁基醚溶剂，</w:t>
      </w:r>
      <w:r>
        <w:rPr>
          <w:rFonts w:ascii="Times New Roman" w:eastAsia="宋体" w:hAnsi="Times New Roman" w:cs="Times New Roman"/>
          <w:szCs w:val="24"/>
        </w:rPr>
        <w:t>100μL</w:t>
      </w:r>
      <w:r>
        <w:rPr>
          <w:rFonts w:ascii="Times New Roman" w:eastAsia="宋体" w:hAnsi="Times New Roman" w:cs="Times New Roman"/>
          <w:szCs w:val="24"/>
        </w:rPr>
        <w:t>混标溶液（</w:t>
      </w:r>
      <w:r>
        <w:rPr>
          <w:rFonts w:ascii="Times New Roman" w:eastAsia="宋体" w:hAnsi="Times New Roman" w:cs="Times New Roman"/>
          <w:szCs w:val="24"/>
        </w:rPr>
        <w:t>4ug/mL</w:t>
      </w:r>
      <w:r>
        <w:rPr>
          <w:rFonts w:ascii="Times New Roman" w:eastAsia="宋体" w:hAnsi="Times New Roman" w:cs="Times New Roman"/>
          <w:szCs w:val="24"/>
        </w:rPr>
        <w:t>戊酸甲酯、庚酸甲酯、壬酸甲酯、十一酸甲酯、十三酸甲酯溶于甲醇），密封振荡</w:t>
      </w:r>
      <w:r>
        <w:rPr>
          <w:rFonts w:ascii="Times New Roman" w:eastAsia="宋体" w:hAnsi="Times New Roman" w:cs="Times New Roman"/>
          <w:szCs w:val="24"/>
        </w:rPr>
        <w:t>30min</w:t>
      </w:r>
      <w:r>
        <w:rPr>
          <w:rFonts w:ascii="Times New Roman" w:eastAsia="宋体" w:hAnsi="Times New Roman" w:cs="Times New Roman"/>
          <w:szCs w:val="24"/>
        </w:rPr>
        <w:t>后取上层清液至色谱瓶，上机进行分析。</w:t>
      </w:r>
    </w:p>
    <w:p w14:paraId="52B8BC66" w14:textId="77777777" w:rsidR="001A4D72" w:rsidRDefault="00000000">
      <w:pPr>
        <w:spacing w:line="360" w:lineRule="auto"/>
        <w:ind w:firstLine="480"/>
        <w:rPr>
          <w:rFonts w:ascii="Times New Roman" w:eastAsia="宋体" w:hAnsi="Times New Roman" w:cs="Times New Roman"/>
          <w:szCs w:val="24"/>
        </w:rPr>
      </w:pPr>
      <w:r>
        <w:rPr>
          <w:rFonts w:ascii="Times New Roman" w:eastAsia="宋体" w:hAnsi="Times New Roman" w:cs="Times New Roman"/>
          <w:szCs w:val="24"/>
        </w:rPr>
        <w:t>分析条件：</w:t>
      </w:r>
    </w:p>
    <w:p w14:paraId="52B8BC67" w14:textId="77777777" w:rsidR="001A4D72" w:rsidRDefault="00000000">
      <w:pPr>
        <w:spacing w:line="360" w:lineRule="auto"/>
        <w:ind w:firstLine="480"/>
        <w:rPr>
          <w:rFonts w:ascii="Times New Roman" w:eastAsia="宋体" w:hAnsi="Times New Roman" w:cs="Times New Roman"/>
          <w:szCs w:val="24"/>
        </w:rPr>
      </w:pPr>
      <w:r>
        <w:rPr>
          <w:rFonts w:ascii="Times New Roman" w:eastAsia="宋体" w:hAnsi="Times New Roman" w:cs="Times New Roman"/>
          <w:szCs w:val="24"/>
        </w:rPr>
        <w:t>一维柱：</w:t>
      </w:r>
      <w:r>
        <w:rPr>
          <w:rFonts w:ascii="Times New Roman" w:eastAsia="宋体" w:hAnsi="Times New Roman" w:cs="Times New Roman"/>
          <w:szCs w:val="24"/>
        </w:rPr>
        <w:t>DB‒5MS</w:t>
      </w:r>
      <w:r>
        <w:rPr>
          <w:rFonts w:ascii="Times New Roman" w:eastAsia="宋体" w:hAnsi="Times New Roman" w:cs="Times New Roman"/>
          <w:szCs w:val="24"/>
        </w:rPr>
        <w:t>色谱柱，恒流</w:t>
      </w:r>
      <w:r>
        <w:rPr>
          <w:rFonts w:ascii="Times New Roman" w:eastAsia="宋体" w:hAnsi="Times New Roman" w:cs="Times New Roman"/>
          <w:szCs w:val="24"/>
        </w:rPr>
        <w:t>1.9mL/min</w:t>
      </w:r>
      <w:r>
        <w:rPr>
          <w:rFonts w:ascii="Times New Roman" w:eastAsia="宋体" w:hAnsi="Times New Roman" w:cs="Times New Roman"/>
          <w:szCs w:val="24"/>
        </w:rPr>
        <w:t>；二维柱：</w:t>
      </w:r>
      <w:r>
        <w:rPr>
          <w:rFonts w:ascii="Times New Roman" w:eastAsia="宋体" w:hAnsi="Times New Roman" w:cs="Times New Roman"/>
          <w:szCs w:val="24"/>
        </w:rPr>
        <w:t>DB‒WAX</w:t>
      </w:r>
      <w:r>
        <w:rPr>
          <w:rFonts w:ascii="Times New Roman" w:eastAsia="宋体" w:hAnsi="Times New Roman" w:cs="Times New Roman"/>
          <w:szCs w:val="24"/>
        </w:rPr>
        <w:t>色谱柱，恒流</w:t>
      </w:r>
      <w:r>
        <w:rPr>
          <w:rFonts w:ascii="Times New Roman" w:eastAsia="宋体" w:hAnsi="Times New Roman" w:cs="Times New Roman"/>
          <w:szCs w:val="24"/>
        </w:rPr>
        <w:t>1.9mL/min</w:t>
      </w:r>
      <w:r>
        <w:rPr>
          <w:rFonts w:ascii="Times New Roman" w:eastAsia="宋体" w:hAnsi="Times New Roman" w:cs="Times New Roman"/>
          <w:szCs w:val="24"/>
        </w:rPr>
        <w:t>；进样口温度：</w:t>
      </w:r>
      <w:r>
        <w:rPr>
          <w:rFonts w:ascii="Times New Roman" w:eastAsia="宋体" w:hAnsi="Times New Roman" w:cs="Times New Roman"/>
          <w:szCs w:val="24"/>
        </w:rPr>
        <w:t>250℃</w:t>
      </w:r>
      <w:r>
        <w:rPr>
          <w:rFonts w:ascii="Times New Roman" w:eastAsia="宋体" w:hAnsi="Times New Roman" w:cs="Times New Roman"/>
          <w:szCs w:val="24"/>
        </w:rPr>
        <w:t>；进样量：</w:t>
      </w:r>
      <w:r>
        <w:rPr>
          <w:rFonts w:ascii="Times New Roman" w:eastAsia="宋体" w:hAnsi="Times New Roman" w:cs="Times New Roman"/>
          <w:szCs w:val="24"/>
        </w:rPr>
        <w:t>3μL</w:t>
      </w:r>
      <w:r>
        <w:rPr>
          <w:rFonts w:ascii="Times New Roman" w:eastAsia="宋体" w:hAnsi="Times New Roman" w:cs="Times New Roman"/>
          <w:szCs w:val="24"/>
        </w:rPr>
        <w:t>；进样模式：不分流进样；不分流时间：</w:t>
      </w:r>
      <w:r>
        <w:rPr>
          <w:rFonts w:ascii="Times New Roman" w:eastAsia="宋体" w:hAnsi="Times New Roman" w:cs="Times New Roman"/>
          <w:szCs w:val="24"/>
        </w:rPr>
        <w:t>1min</w:t>
      </w:r>
      <w:r>
        <w:rPr>
          <w:rFonts w:ascii="Times New Roman" w:eastAsia="宋体" w:hAnsi="Times New Roman" w:cs="Times New Roman"/>
          <w:szCs w:val="24"/>
        </w:rPr>
        <w:t>；吹扫流量：</w:t>
      </w:r>
      <w:r>
        <w:rPr>
          <w:rFonts w:ascii="Times New Roman" w:eastAsia="宋体" w:hAnsi="Times New Roman" w:cs="Times New Roman"/>
          <w:szCs w:val="24"/>
        </w:rPr>
        <w:t>50mL/min</w:t>
      </w:r>
      <w:r>
        <w:rPr>
          <w:rFonts w:ascii="Times New Roman" w:eastAsia="宋体" w:hAnsi="Times New Roman" w:cs="Times New Roman"/>
          <w:szCs w:val="24"/>
        </w:rPr>
        <w:t>；中心切割时间：切割</w:t>
      </w:r>
      <w:r>
        <w:rPr>
          <w:rFonts w:ascii="Times New Roman" w:eastAsia="宋体" w:hAnsi="Times New Roman" w:cs="Times New Roman"/>
          <w:szCs w:val="24"/>
        </w:rPr>
        <w:t>1(5.1~10.0min)</w:t>
      </w:r>
      <w:r>
        <w:rPr>
          <w:rFonts w:ascii="Times New Roman" w:eastAsia="宋体" w:hAnsi="Times New Roman" w:cs="Times New Roman"/>
          <w:szCs w:val="24"/>
        </w:rPr>
        <w:t>，切割</w:t>
      </w:r>
      <w:r>
        <w:rPr>
          <w:rFonts w:ascii="Times New Roman" w:eastAsia="宋体" w:hAnsi="Times New Roman" w:cs="Times New Roman"/>
          <w:szCs w:val="24"/>
        </w:rPr>
        <w:t>2(10.0~16.6min)</w:t>
      </w:r>
      <w:r>
        <w:rPr>
          <w:rFonts w:ascii="Times New Roman" w:eastAsia="宋体" w:hAnsi="Times New Roman" w:cs="Times New Roman"/>
          <w:szCs w:val="24"/>
        </w:rPr>
        <w:t>，切割</w:t>
      </w:r>
      <w:r>
        <w:rPr>
          <w:rFonts w:ascii="Times New Roman" w:eastAsia="宋体" w:hAnsi="Times New Roman" w:cs="Times New Roman"/>
          <w:szCs w:val="24"/>
        </w:rPr>
        <w:t>3(16.6~23.5min)</w:t>
      </w:r>
      <w:r>
        <w:rPr>
          <w:rFonts w:ascii="Times New Roman" w:eastAsia="宋体" w:hAnsi="Times New Roman" w:cs="Times New Roman"/>
          <w:szCs w:val="24"/>
        </w:rPr>
        <w:t>，切割</w:t>
      </w:r>
      <w:r>
        <w:rPr>
          <w:rFonts w:ascii="Times New Roman" w:eastAsia="宋体" w:hAnsi="Times New Roman" w:cs="Times New Roman"/>
          <w:szCs w:val="24"/>
        </w:rPr>
        <w:t>4(23.5~30.5 min)</w:t>
      </w:r>
      <w:r>
        <w:rPr>
          <w:rFonts w:ascii="Times New Roman" w:eastAsia="宋体" w:hAnsi="Times New Roman" w:cs="Times New Roman"/>
          <w:szCs w:val="24"/>
        </w:rPr>
        <w:t>。一维升温程序：</w:t>
      </w:r>
      <w:r>
        <w:rPr>
          <w:rFonts w:ascii="Times New Roman" w:eastAsia="宋体" w:hAnsi="Times New Roman" w:cs="Times New Roman"/>
          <w:szCs w:val="24"/>
        </w:rPr>
        <w:t>4</w:t>
      </w:r>
      <w:r>
        <w:rPr>
          <w:rFonts w:ascii="Times New Roman" w:eastAsia="宋体" w:hAnsi="Times New Roman" w:cs="Times New Roman"/>
          <w:szCs w:val="24"/>
        </w:rPr>
        <w:t>段切割初温皆为</w:t>
      </w:r>
      <w:r>
        <w:rPr>
          <w:rFonts w:ascii="Times New Roman" w:eastAsia="宋体" w:hAnsi="Times New Roman" w:cs="Times New Roman"/>
          <w:szCs w:val="24"/>
        </w:rPr>
        <w:t>45℃</w:t>
      </w:r>
      <w:r>
        <w:rPr>
          <w:rFonts w:ascii="Times New Roman" w:eastAsia="宋体" w:hAnsi="Times New Roman" w:cs="Times New Roman"/>
          <w:szCs w:val="24"/>
        </w:rPr>
        <w:t>（保持</w:t>
      </w:r>
      <w:r>
        <w:rPr>
          <w:rFonts w:ascii="Times New Roman" w:eastAsia="宋体" w:hAnsi="Times New Roman" w:cs="Times New Roman"/>
          <w:szCs w:val="24"/>
        </w:rPr>
        <w:t>2min</w:t>
      </w:r>
      <w:r>
        <w:rPr>
          <w:rFonts w:ascii="Times New Roman" w:eastAsia="宋体" w:hAnsi="Times New Roman" w:cs="Times New Roman"/>
          <w:szCs w:val="24"/>
        </w:rPr>
        <w:t>），并以</w:t>
      </w:r>
      <w:r>
        <w:rPr>
          <w:rFonts w:ascii="Times New Roman" w:eastAsia="宋体" w:hAnsi="Times New Roman" w:cs="Times New Roman"/>
          <w:szCs w:val="24"/>
        </w:rPr>
        <w:t>6℃/min</w:t>
      </w:r>
      <w:r>
        <w:rPr>
          <w:rFonts w:ascii="Times New Roman" w:eastAsia="宋体" w:hAnsi="Times New Roman" w:cs="Times New Roman"/>
          <w:szCs w:val="24"/>
        </w:rPr>
        <w:t>的速率升温，切割</w:t>
      </w:r>
      <w:r>
        <w:rPr>
          <w:rFonts w:ascii="Times New Roman" w:eastAsia="宋体" w:hAnsi="Times New Roman" w:cs="Times New Roman"/>
          <w:szCs w:val="24"/>
        </w:rPr>
        <w:t>1</w:t>
      </w:r>
      <w:r>
        <w:rPr>
          <w:rFonts w:ascii="Times New Roman" w:eastAsia="宋体" w:hAnsi="Times New Roman" w:cs="Times New Roman"/>
          <w:szCs w:val="24"/>
        </w:rPr>
        <w:t>升至</w:t>
      </w:r>
      <w:r>
        <w:rPr>
          <w:rFonts w:ascii="Times New Roman" w:eastAsia="宋体" w:hAnsi="Times New Roman" w:cs="Times New Roman"/>
          <w:szCs w:val="24"/>
        </w:rPr>
        <w:t>93℃</w:t>
      </w:r>
      <w:r>
        <w:rPr>
          <w:rFonts w:ascii="Times New Roman" w:eastAsia="宋体" w:hAnsi="Times New Roman" w:cs="Times New Roman"/>
          <w:szCs w:val="24"/>
        </w:rPr>
        <w:t>，切割</w:t>
      </w:r>
      <w:r>
        <w:rPr>
          <w:rFonts w:ascii="Times New Roman" w:eastAsia="宋体" w:hAnsi="Times New Roman" w:cs="Times New Roman"/>
          <w:szCs w:val="24"/>
        </w:rPr>
        <w:t>2</w:t>
      </w:r>
      <w:r>
        <w:rPr>
          <w:rFonts w:ascii="Times New Roman" w:eastAsia="宋体" w:hAnsi="Times New Roman" w:cs="Times New Roman"/>
          <w:szCs w:val="24"/>
        </w:rPr>
        <w:t>升至</w:t>
      </w:r>
      <w:r>
        <w:rPr>
          <w:rFonts w:ascii="Times New Roman" w:eastAsia="宋体" w:hAnsi="Times New Roman" w:cs="Times New Roman"/>
          <w:szCs w:val="24"/>
        </w:rPr>
        <w:t>132.6℃</w:t>
      </w:r>
      <w:r>
        <w:rPr>
          <w:rFonts w:ascii="Times New Roman" w:eastAsia="宋体" w:hAnsi="Times New Roman" w:cs="Times New Roman"/>
          <w:szCs w:val="24"/>
        </w:rPr>
        <w:t>，切割</w:t>
      </w:r>
      <w:r>
        <w:rPr>
          <w:rFonts w:ascii="Times New Roman" w:eastAsia="宋体" w:hAnsi="Times New Roman" w:cs="Times New Roman"/>
          <w:szCs w:val="24"/>
        </w:rPr>
        <w:t>3</w:t>
      </w:r>
      <w:r>
        <w:rPr>
          <w:rFonts w:ascii="Times New Roman" w:eastAsia="宋体" w:hAnsi="Times New Roman" w:cs="Times New Roman"/>
          <w:szCs w:val="24"/>
        </w:rPr>
        <w:t>升至</w:t>
      </w:r>
      <w:r>
        <w:rPr>
          <w:rFonts w:ascii="Times New Roman" w:eastAsia="宋体" w:hAnsi="Times New Roman" w:cs="Times New Roman"/>
          <w:szCs w:val="24"/>
        </w:rPr>
        <w:t>174℃</w:t>
      </w:r>
      <w:r>
        <w:rPr>
          <w:rFonts w:ascii="Times New Roman" w:eastAsia="宋体" w:hAnsi="Times New Roman" w:cs="Times New Roman"/>
          <w:szCs w:val="24"/>
        </w:rPr>
        <w:t>，切割</w:t>
      </w:r>
      <w:r>
        <w:rPr>
          <w:rFonts w:ascii="Times New Roman" w:eastAsia="宋体" w:hAnsi="Times New Roman" w:cs="Times New Roman"/>
          <w:szCs w:val="24"/>
        </w:rPr>
        <w:t>4</w:t>
      </w:r>
      <w:r>
        <w:rPr>
          <w:rFonts w:ascii="Times New Roman" w:eastAsia="宋体" w:hAnsi="Times New Roman" w:cs="Times New Roman"/>
          <w:szCs w:val="24"/>
        </w:rPr>
        <w:t>升至</w:t>
      </w:r>
      <w:r>
        <w:rPr>
          <w:rFonts w:ascii="Times New Roman" w:eastAsia="宋体" w:hAnsi="Times New Roman" w:cs="Times New Roman"/>
          <w:szCs w:val="24"/>
        </w:rPr>
        <w:t>216℃</w:t>
      </w:r>
      <w:r>
        <w:rPr>
          <w:rFonts w:ascii="Times New Roman" w:eastAsia="宋体" w:hAnsi="Times New Roman" w:cs="Times New Roman"/>
          <w:szCs w:val="24"/>
        </w:rPr>
        <w:t>，然后快速降温至</w:t>
      </w:r>
      <w:r>
        <w:rPr>
          <w:rFonts w:ascii="Times New Roman" w:eastAsia="宋体" w:hAnsi="Times New Roman" w:cs="Times New Roman"/>
          <w:szCs w:val="24"/>
        </w:rPr>
        <w:t>60℃</w:t>
      </w:r>
      <w:r>
        <w:rPr>
          <w:rFonts w:ascii="Times New Roman" w:eastAsia="宋体" w:hAnsi="Times New Roman" w:cs="Times New Roman"/>
          <w:szCs w:val="24"/>
        </w:rPr>
        <w:t>（切割</w:t>
      </w:r>
      <w:r>
        <w:rPr>
          <w:rFonts w:ascii="Times New Roman" w:eastAsia="宋体" w:hAnsi="Times New Roman" w:cs="Times New Roman"/>
          <w:szCs w:val="24"/>
        </w:rPr>
        <w:t>1</w:t>
      </w:r>
      <w:r>
        <w:rPr>
          <w:rFonts w:ascii="Times New Roman" w:eastAsia="宋体" w:hAnsi="Times New Roman" w:cs="Times New Roman"/>
          <w:szCs w:val="24"/>
        </w:rPr>
        <w:t>、切割</w:t>
      </w:r>
      <w:r>
        <w:rPr>
          <w:rFonts w:ascii="Times New Roman" w:eastAsia="宋体" w:hAnsi="Times New Roman" w:cs="Times New Roman"/>
          <w:szCs w:val="24"/>
        </w:rPr>
        <w:t>2</w:t>
      </w:r>
      <w:r>
        <w:rPr>
          <w:rFonts w:ascii="Times New Roman" w:eastAsia="宋体" w:hAnsi="Times New Roman" w:cs="Times New Roman"/>
          <w:szCs w:val="24"/>
        </w:rPr>
        <w:t>）或</w:t>
      </w:r>
      <w:r>
        <w:rPr>
          <w:rFonts w:ascii="Times New Roman" w:eastAsia="宋体" w:hAnsi="Times New Roman" w:cs="Times New Roman"/>
          <w:szCs w:val="24"/>
        </w:rPr>
        <w:t>80℃</w:t>
      </w:r>
      <w:r>
        <w:rPr>
          <w:rFonts w:ascii="Times New Roman" w:eastAsia="宋体" w:hAnsi="Times New Roman" w:cs="Times New Roman"/>
          <w:szCs w:val="24"/>
        </w:rPr>
        <w:t>（切割</w:t>
      </w:r>
      <w:r>
        <w:rPr>
          <w:rFonts w:ascii="Times New Roman" w:eastAsia="宋体" w:hAnsi="Times New Roman" w:cs="Times New Roman"/>
          <w:szCs w:val="24"/>
        </w:rPr>
        <w:t>3</w:t>
      </w:r>
      <w:r>
        <w:rPr>
          <w:rFonts w:ascii="Times New Roman" w:eastAsia="宋体" w:hAnsi="Times New Roman" w:cs="Times New Roman"/>
          <w:szCs w:val="24"/>
        </w:rPr>
        <w:t>、切割</w:t>
      </w:r>
      <w:r>
        <w:rPr>
          <w:rFonts w:ascii="Times New Roman" w:eastAsia="宋体" w:hAnsi="Times New Roman" w:cs="Times New Roman"/>
          <w:szCs w:val="24"/>
        </w:rPr>
        <w:t>4</w:t>
      </w:r>
      <w:r>
        <w:rPr>
          <w:rFonts w:ascii="Times New Roman" w:eastAsia="宋体" w:hAnsi="Times New Roman" w:cs="Times New Roman"/>
          <w:szCs w:val="24"/>
        </w:rPr>
        <w:t>）。二维升温程序：切割</w:t>
      </w:r>
      <w:r>
        <w:rPr>
          <w:rFonts w:ascii="Times New Roman" w:eastAsia="宋体" w:hAnsi="Times New Roman" w:cs="Times New Roman"/>
          <w:szCs w:val="24"/>
        </w:rPr>
        <w:t>1</w:t>
      </w:r>
      <w:r>
        <w:rPr>
          <w:rFonts w:ascii="Times New Roman" w:eastAsia="宋体" w:hAnsi="Times New Roman" w:cs="Times New Roman"/>
          <w:szCs w:val="24"/>
        </w:rPr>
        <w:t>以</w:t>
      </w:r>
      <w:r>
        <w:rPr>
          <w:rFonts w:ascii="Times New Roman" w:eastAsia="宋体" w:hAnsi="Times New Roman" w:cs="Times New Roman"/>
          <w:szCs w:val="24"/>
        </w:rPr>
        <w:t>4℃/min</w:t>
      </w:r>
      <w:r>
        <w:rPr>
          <w:rFonts w:ascii="Times New Roman" w:eastAsia="宋体" w:hAnsi="Times New Roman" w:cs="Times New Roman"/>
          <w:szCs w:val="24"/>
        </w:rPr>
        <w:t>的速率升至</w:t>
      </w:r>
      <w:r>
        <w:rPr>
          <w:rFonts w:ascii="Times New Roman" w:eastAsia="宋体" w:hAnsi="Times New Roman" w:cs="Times New Roman"/>
          <w:szCs w:val="24"/>
        </w:rPr>
        <w:t>180℃</w:t>
      </w:r>
      <w:r>
        <w:rPr>
          <w:rFonts w:ascii="Times New Roman" w:eastAsia="宋体" w:hAnsi="Times New Roman" w:cs="Times New Roman"/>
          <w:szCs w:val="24"/>
        </w:rPr>
        <w:t>，后以</w:t>
      </w:r>
      <w:r>
        <w:rPr>
          <w:rFonts w:ascii="Times New Roman" w:eastAsia="宋体" w:hAnsi="Times New Roman" w:cs="Times New Roman"/>
          <w:szCs w:val="24"/>
        </w:rPr>
        <w:t>10℃/min</w:t>
      </w:r>
      <w:r>
        <w:rPr>
          <w:rFonts w:ascii="Times New Roman" w:eastAsia="宋体" w:hAnsi="Times New Roman" w:cs="Times New Roman"/>
          <w:szCs w:val="24"/>
        </w:rPr>
        <w:t>的速率升至</w:t>
      </w:r>
      <w:r>
        <w:rPr>
          <w:rFonts w:ascii="Times New Roman" w:eastAsia="宋体" w:hAnsi="Times New Roman" w:cs="Times New Roman"/>
          <w:szCs w:val="24"/>
        </w:rPr>
        <w:t>230℃</w:t>
      </w:r>
      <w:r>
        <w:rPr>
          <w:rFonts w:ascii="Times New Roman" w:eastAsia="宋体" w:hAnsi="Times New Roman" w:cs="Times New Roman"/>
          <w:szCs w:val="24"/>
        </w:rPr>
        <w:t>（</w:t>
      </w:r>
      <w:r>
        <w:rPr>
          <w:rFonts w:ascii="Times New Roman" w:eastAsia="宋体" w:hAnsi="Times New Roman" w:cs="Times New Roman"/>
          <w:szCs w:val="24"/>
        </w:rPr>
        <w:t>20min</w:t>
      </w:r>
      <w:r>
        <w:rPr>
          <w:rFonts w:ascii="Times New Roman" w:eastAsia="宋体" w:hAnsi="Times New Roman" w:cs="Times New Roman"/>
          <w:szCs w:val="24"/>
        </w:rPr>
        <w:t>）；切割</w:t>
      </w:r>
      <w:r>
        <w:rPr>
          <w:rFonts w:ascii="Times New Roman" w:eastAsia="宋体" w:hAnsi="Times New Roman" w:cs="Times New Roman"/>
          <w:szCs w:val="24"/>
        </w:rPr>
        <w:t>2</w:t>
      </w:r>
      <w:r>
        <w:rPr>
          <w:rFonts w:ascii="Times New Roman" w:eastAsia="宋体" w:hAnsi="Times New Roman" w:cs="Times New Roman"/>
          <w:szCs w:val="24"/>
        </w:rPr>
        <w:t>、切割</w:t>
      </w:r>
      <w:r>
        <w:rPr>
          <w:rFonts w:ascii="Times New Roman" w:eastAsia="宋体" w:hAnsi="Times New Roman" w:cs="Times New Roman"/>
          <w:szCs w:val="24"/>
        </w:rPr>
        <w:t>3</w:t>
      </w:r>
      <w:r>
        <w:rPr>
          <w:rFonts w:ascii="Times New Roman" w:eastAsia="宋体" w:hAnsi="Times New Roman" w:cs="Times New Roman"/>
          <w:szCs w:val="24"/>
        </w:rPr>
        <w:t>皆以</w:t>
      </w:r>
      <w:r>
        <w:rPr>
          <w:rFonts w:ascii="Times New Roman" w:eastAsia="宋体" w:hAnsi="Times New Roman" w:cs="Times New Roman"/>
          <w:szCs w:val="24"/>
        </w:rPr>
        <w:t>4℃/min</w:t>
      </w:r>
      <w:r>
        <w:rPr>
          <w:rFonts w:ascii="Times New Roman" w:eastAsia="宋体" w:hAnsi="Times New Roman" w:cs="Times New Roman"/>
          <w:szCs w:val="24"/>
        </w:rPr>
        <w:t>的速率升至</w:t>
      </w:r>
      <w:r>
        <w:rPr>
          <w:rFonts w:ascii="Times New Roman" w:eastAsia="宋体" w:hAnsi="Times New Roman" w:cs="Times New Roman"/>
          <w:szCs w:val="24"/>
        </w:rPr>
        <w:t>230℃</w:t>
      </w:r>
      <w:r>
        <w:rPr>
          <w:rFonts w:ascii="Times New Roman" w:eastAsia="宋体" w:hAnsi="Times New Roman" w:cs="Times New Roman"/>
          <w:szCs w:val="24"/>
        </w:rPr>
        <w:t>（</w:t>
      </w:r>
      <w:r>
        <w:rPr>
          <w:rFonts w:ascii="Times New Roman" w:eastAsia="宋体" w:hAnsi="Times New Roman" w:cs="Times New Roman"/>
          <w:szCs w:val="24"/>
        </w:rPr>
        <w:t>20min</w:t>
      </w:r>
      <w:r>
        <w:rPr>
          <w:rFonts w:ascii="Times New Roman" w:eastAsia="宋体" w:hAnsi="Times New Roman" w:cs="Times New Roman"/>
          <w:szCs w:val="24"/>
        </w:rPr>
        <w:t>）；切割</w:t>
      </w:r>
      <w:r>
        <w:rPr>
          <w:rFonts w:ascii="Times New Roman" w:eastAsia="宋体" w:hAnsi="Times New Roman" w:cs="Times New Roman"/>
          <w:szCs w:val="24"/>
        </w:rPr>
        <w:t>4</w:t>
      </w:r>
      <w:r>
        <w:rPr>
          <w:rFonts w:ascii="Times New Roman" w:eastAsia="宋体" w:hAnsi="Times New Roman" w:cs="Times New Roman"/>
          <w:szCs w:val="24"/>
        </w:rPr>
        <w:t>以</w:t>
      </w:r>
      <w:r>
        <w:rPr>
          <w:rFonts w:ascii="Times New Roman" w:eastAsia="宋体" w:hAnsi="Times New Roman" w:cs="Times New Roman"/>
          <w:szCs w:val="24"/>
        </w:rPr>
        <w:t>4℃/min</w:t>
      </w:r>
      <w:r>
        <w:rPr>
          <w:rFonts w:ascii="Times New Roman" w:eastAsia="宋体" w:hAnsi="Times New Roman" w:cs="Times New Roman"/>
          <w:szCs w:val="24"/>
        </w:rPr>
        <w:t>的速率升至</w:t>
      </w:r>
      <w:r>
        <w:rPr>
          <w:rFonts w:ascii="Times New Roman" w:eastAsia="宋体" w:hAnsi="Times New Roman" w:cs="Times New Roman"/>
          <w:szCs w:val="24"/>
        </w:rPr>
        <w:t>230℃</w:t>
      </w:r>
      <w:r>
        <w:rPr>
          <w:rFonts w:ascii="Times New Roman" w:eastAsia="宋体" w:hAnsi="Times New Roman" w:cs="Times New Roman"/>
          <w:szCs w:val="24"/>
        </w:rPr>
        <w:t>（</w:t>
      </w:r>
      <w:r>
        <w:rPr>
          <w:rFonts w:ascii="Times New Roman" w:eastAsia="宋体" w:hAnsi="Times New Roman" w:cs="Times New Roman"/>
          <w:szCs w:val="24"/>
        </w:rPr>
        <w:t>30min</w:t>
      </w:r>
      <w:r>
        <w:rPr>
          <w:rFonts w:ascii="Times New Roman" w:eastAsia="宋体" w:hAnsi="Times New Roman" w:cs="Times New Roman"/>
          <w:szCs w:val="24"/>
        </w:rPr>
        <w:t>）。</w:t>
      </w:r>
      <w:r>
        <w:rPr>
          <w:rFonts w:ascii="Times New Roman" w:eastAsia="宋体" w:hAnsi="Times New Roman" w:cs="Times New Roman"/>
          <w:szCs w:val="24"/>
        </w:rPr>
        <w:t>GC/MS</w:t>
      </w:r>
      <w:r>
        <w:rPr>
          <w:rFonts w:ascii="Times New Roman" w:eastAsia="宋体" w:hAnsi="Times New Roman" w:cs="Times New Roman"/>
          <w:szCs w:val="24"/>
        </w:rPr>
        <w:t>接口温度：</w:t>
      </w:r>
      <w:r>
        <w:rPr>
          <w:rFonts w:ascii="Times New Roman" w:eastAsia="宋体" w:hAnsi="Times New Roman" w:cs="Times New Roman"/>
          <w:szCs w:val="24"/>
        </w:rPr>
        <w:t>240℃</w:t>
      </w:r>
      <w:r>
        <w:rPr>
          <w:rFonts w:ascii="Times New Roman" w:eastAsia="宋体" w:hAnsi="Times New Roman" w:cs="Times New Roman"/>
          <w:szCs w:val="24"/>
        </w:rPr>
        <w:t>；电子能量：</w:t>
      </w:r>
      <w:r>
        <w:rPr>
          <w:rFonts w:ascii="Times New Roman" w:eastAsia="宋体" w:hAnsi="Times New Roman" w:cs="Times New Roman"/>
          <w:szCs w:val="24"/>
        </w:rPr>
        <w:t>70eV</w:t>
      </w:r>
      <w:r>
        <w:rPr>
          <w:rFonts w:ascii="Times New Roman" w:eastAsia="宋体" w:hAnsi="Times New Roman" w:cs="Times New Roman"/>
          <w:szCs w:val="24"/>
        </w:rPr>
        <w:t>；</w:t>
      </w:r>
      <w:r>
        <w:rPr>
          <w:rFonts w:ascii="Times New Roman" w:eastAsia="宋体" w:hAnsi="Times New Roman" w:cs="Times New Roman"/>
          <w:szCs w:val="24"/>
        </w:rPr>
        <w:t>EI</w:t>
      </w:r>
      <w:r>
        <w:rPr>
          <w:rFonts w:ascii="Times New Roman" w:eastAsia="宋体" w:hAnsi="Times New Roman" w:cs="Times New Roman"/>
          <w:szCs w:val="24"/>
        </w:rPr>
        <w:t>源温度：</w:t>
      </w:r>
      <w:r>
        <w:rPr>
          <w:rFonts w:ascii="Times New Roman" w:eastAsia="宋体" w:hAnsi="Times New Roman" w:cs="Times New Roman"/>
          <w:szCs w:val="24"/>
        </w:rPr>
        <w:t>230℃</w:t>
      </w:r>
      <w:r>
        <w:rPr>
          <w:rFonts w:ascii="Times New Roman" w:eastAsia="宋体" w:hAnsi="Times New Roman" w:cs="Times New Roman"/>
          <w:szCs w:val="24"/>
        </w:rPr>
        <w:t>；四极杆温度：</w:t>
      </w:r>
      <w:r>
        <w:rPr>
          <w:rFonts w:ascii="Times New Roman" w:eastAsia="宋体" w:hAnsi="Times New Roman" w:cs="Times New Roman"/>
          <w:szCs w:val="24"/>
        </w:rPr>
        <w:t>150℃</w:t>
      </w:r>
      <w:r>
        <w:rPr>
          <w:rFonts w:ascii="Times New Roman" w:eastAsia="宋体" w:hAnsi="Times New Roman" w:cs="Times New Roman"/>
          <w:szCs w:val="24"/>
        </w:rPr>
        <w:t>；质量扫描范围：</w:t>
      </w:r>
      <w:r>
        <w:rPr>
          <w:rFonts w:ascii="Times New Roman" w:eastAsia="宋体" w:hAnsi="Times New Roman" w:cs="Times New Roman"/>
          <w:szCs w:val="24"/>
        </w:rPr>
        <w:t>33~400 amu</w:t>
      </w:r>
      <w:r>
        <w:rPr>
          <w:rFonts w:ascii="Times New Roman" w:eastAsia="宋体" w:hAnsi="Times New Roman" w:cs="Times New Roman"/>
          <w:szCs w:val="24"/>
        </w:rPr>
        <w:t>；采用提取离子法积分峰面积。</w:t>
      </w:r>
    </w:p>
    <w:p w14:paraId="52B8BC68" w14:textId="77777777" w:rsidR="001A4D72" w:rsidRDefault="00000000">
      <w:pPr>
        <w:snapToGrid w:val="0"/>
        <w:spacing w:line="360" w:lineRule="auto"/>
        <w:ind w:right="-159"/>
        <w:jc w:val="left"/>
        <w:outlineLvl w:val="2"/>
        <w:rPr>
          <w:rFonts w:ascii="Times New Roman" w:eastAsia="宋体" w:hAnsi="Times New Roman" w:cs="Times New Roman"/>
          <w:bCs/>
          <w:szCs w:val="24"/>
        </w:rPr>
      </w:pPr>
      <w:r>
        <w:rPr>
          <w:rFonts w:ascii="Times New Roman" w:eastAsia="宋体" w:hAnsi="Times New Roman" w:cs="Times New Roman"/>
          <w:bCs/>
          <w:szCs w:val="24"/>
        </w:rPr>
        <w:t xml:space="preserve">1.2.4 </w:t>
      </w:r>
      <w:r>
        <w:rPr>
          <w:rFonts w:ascii="Times New Roman" w:eastAsia="宋体" w:hAnsi="Times New Roman" w:cs="Times New Roman"/>
          <w:bCs/>
          <w:szCs w:val="24"/>
        </w:rPr>
        <w:t>感官评价</w:t>
      </w:r>
    </w:p>
    <w:p w14:paraId="52B8BC69"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感官评价指标包括香气质、香气量、杂气、劲头、刺激性、干燥感、苦涩感、残留和稳定性</w:t>
      </w:r>
      <w:r>
        <w:rPr>
          <w:rFonts w:ascii="Times New Roman" w:eastAsia="宋体" w:hAnsi="Times New Roman" w:cs="Times New Roman"/>
          <w:szCs w:val="21"/>
        </w:rPr>
        <w:t>9</w:t>
      </w:r>
      <w:r>
        <w:rPr>
          <w:rFonts w:ascii="Times New Roman" w:eastAsia="宋体" w:hAnsi="Times New Roman" w:cs="Times New Roman"/>
          <w:szCs w:val="21"/>
        </w:rPr>
        <w:t>项指标，由上海新型烟草制品研究院有限公司组织</w:t>
      </w:r>
      <w:bookmarkStart w:id="18" w:name="_Hlk216394732"/>
      <w:r>
        <w:rPr>
          <w:rFonts w:ascii="Times New Roman" w:eastAsia="宋体" w:hAnsi="Times New Roman" w:cs="Times New Roman"/>
          <w:szCs w:val="21"/>
        </w:rPr>
        <w:t>卷烟工业加热卷烟评吸专家</w:t>
      </w:r>
      <w:r>
        <w:rPr>
          <w:rFonts w:ascii="Times New Roman" w:eastAsia="宋体" w:hAnsi="Times New Roman" w:cs="Times New Roman"/>
          <w:szCs w:val="21"/>
        </w:rPr>
        <w:t xml:space="preserve"> 10 </w:t>
      </w:r>
      <w:r>
        <w:rPr>
          <w:rFonts w:ascii="Times New Roman" w:eastAsia="宋体" w:hAnsi="Times New Roman" w:cs="Times New Roman"/>
          <w:szCs w:val="21"/>
        </w:rPr>
        <w:t>名组成评价小组进行鉴定</w:t>
      </w:r>
      <w:bookmarkEnd w:id="18"/>
      <w:r>
        <w:rPr>
          <w:rFonts w:ascii="Times New Roman" w:eastAsia="宋体" w:hAnsi="Times New Roman" w:cs="Times New Roman"/>
          <w:szCs w:val="21"/>
        </w:rPr>
        <w:t>，专家评吸过程中带入标准样品，用于校正感官评价的打分基准，消除评价小组的系统误差。对各项指标进行量化打分，单项指标总分值为</w:t>
      </w:r>
      <w:r>
        <w:rPr>
          <w:rFonts w:ascii="Times New Roman" w:eastAsia="宋体" w:hAnsi="Times New Roman" w:cs="Times New Roman"/>
          <w:szCs w:val="21"/>
        </w:rPr>
        <w:t>9</w:t>
      </w:r>
      <w:r>
        <w:rPr>
          <w:rFonts w:ascii="Times New Roman" w:eastAsia="宋体" w:hAnsi="Times New Roman" w:cs="Times New Roman"/>
          <w:szCs w:val="21"/>
        </w:rPr>
        <w:t>分，各指标最小计分单位为</w:t>
      </w:r>
      <w:r>
        <w:rPr>
          <w:rFonts w:ascii="Times New Roman" w:eastAsia="宋体" w:hAnsi="Times New Roman" w:cs="Times New Roman"/>
          <w:szCs w:val="21"/>
        </w:rPr>
        <w:t>0.5</w:t>
      </w:r>
      <w:r>
        <w:rPr>
          <w:rFonts w:ascii="Times New Roman" w:eastAsia="宋体" w:hAnsi="Times New Roman" w:cs="Times New Roman"/>
          <w:szCs w:val="21"/>
        </w:rPr>
        <w:t>分。评吸总</w:t>
      </w:r>
      <w:r>
        <w:rPr>
          <w:rFonts w:ascii="Times New Roman" w:eastAsia="宋体" w:hAnsi="Times New Roman" w:cs="Times New Roman"/>
          <w:szCs w:val="21"/>
        </w:rPr>
        <w:lastRenderedPageBreak/>
        <w:t>分为去掉劲头、稳定性指标后所有</w:t>
      </w:r>
      <w:r>
        <w:rPr>
          <w:rFonts w:ascii="Times New Roman" w:eastAsia="宋体" w:hAnsi="Times New Roman" w:cs="Times New Roman"/>
          <w:szCs w:val="21"/>
        </w:rPr>
        <w:t>7</w:t>
      </w:r>
      <w:r>
        <w:rPr>
          <w:rFonts w:ascii="Times New Roman" w:eastAsia="宋体" w:hAnsi="Times New Roman" w:cs="Times New Roman"/>
          <w:szCs w:val="21"/>
        </w:rPr>
        <w:t>项指标的和（满分</w:t>
      </w:r>
      <w:r>
        <w:rPr>
          <w:rFonts w:ascii="Times New Roman" w:eastAsia="宋体" w:hAnsi="Times New Roman" w:cs="Times New Roman"/>
          <w:szCs w:val="21"/>
        </w:rPr>
        <w:t>63</w:t>
      </w:r>
      <w:r>
        <w:rPr>
          <w:rFonts w:ascii="Times New Roman" w:eastAsia="宋体" w:hAnsi="Times New Roman" w:cs="Times New Roman"/>
          <w:szCs w:val="21"/>
        </w:rPr>
        <w:t>分）。</w:t>
      </w:r>
    </w:p>
    <w:p w14:paraId="52B8BC6A"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此外，将各烟叶样品的评吸酸感按照无酸感、有酸感进行分级赋分，分别赋</w:t>
      </w:r>
      <w:commentRangeStart w:id="19"/>
      <w:commentRangeStart w:id="20"/>
      <w:r>
        <w:rPr>
          <w:rFonts w:ascii="Times New Roman" w:eastAsia="宋体" w:hAnsi="Times New Roman" w:cs="Times New Roman"/>
          <w:szCs w:val="21"/>
        </w:rPr>
        <w:t>分为</w:t>
      </w: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分。</w:t>
      </w:r>
      <w:commentRangeEnd w:id="20"/>
      <w:r>
        <w:rPr>
          <w:rStyle w:val="a4"/>
          <w:rFonts w:ascii="Times New Roman" w:eastAsia="宋体" w:hAnsi="Times New Roman" w:cs="Times New Roman"/>
          <w:sz w:val="24"/>
        </w:rPr>
        <w:commentReference w:id="20"/>
      </w:r>
      <w:commentRangeEnd w:id="19"/>
      <w:r>
        <w:rPr>
          <w:rStyle w:val="a4"/>
          <w:rFonts w:ascii="Times New Roman" w:eastAsia="宋体" w:hAnsi="Times New Roman" w:cs="Times New Roman"/>
          <w:sz w:val="24"/>
        </w:rPr>
        <w:commentReference w:id="19"/>
      </w:r>
    </w:p>
    <w:p w14:paraId="52B8BC6B" w14:textId="77777777" w:rsidR="001A4D72" w:rsidRDefault="00000000">
      <w:pPr>
        <w:snapToGrid w:val="0"/>
        <w:spacing w:line="360" w:lineRule="auto"/>
        <w:jc w:val="left"/>
        <w:outlineLvl w:val="1"/>
        <w:rPr>
          <w:rFonts w:ascii="Times New Roman" w:eastAsia="宋体" w:hAnsi="Times New Roman" w:cs="Times New Roman"/>
          <w:b/>
          <w:bCs/>
        </w:rPr>
      </w:pPr>
      <w:r>
        <w:rPr>
          <w:rFonts w:ascii="Times New Roman" w:eastAsia="宋体" w:hAnsi="Times New Roman" w:cs="Times New Roman"/>
          <w:b/>
          <w:bCs/>
        </w:rPr>
        <w:t xml:space="preserve">1.3 </w:t>
      </w:r>
      <w:r>
        <w:rPr>
          <w:rFonts w:ascii="Times New Roman" w:eastAsia="宋体" w:hAnsi="Times New Roman" w:cs="Times New Roman"/>
          <w:b/>
          <w:bCs/>
        </w:rPr>
        <w:t>数据处理与模型</w:t>
      </w:r>
    </w:p>
    <w:p w14:paraId="52B8BC6C" w14:textId="77777777" w:rsidR="001A4D72" w:rsidRDefault="00000000">
      <w:pPr>
        <w:snapToGrid w:val="0"/>
        <w:spacing w:line="360" w:lineRule="auto"/>
        <w:ind w:right="-159"/>
        <w:jc w:val="left"/>
        <w:outlineLvl w:val="2"/>
        <w:rPr>
          <w:rFonts w:ascii="Times New Roman" w:eastAsia="宋体" w:hAnsi="Times New Roman" w:cs="Times New Roman"/>
          <w:bCs/>
          <w:szCs w:val="24"/>
        </w:rPr>
      </w:pPr>
      <w:r>
        <w:rPr>
          <w:rFonts w:ascii="Times New Roman" w:eastAsia="宋体" w:hAnsi="Times New Roman" w:cs="Times New Roman"/>
          <w:bCs/>
          <w:szCs w:val="24"/>
        </w:rPr>
        <w:t xml:space="preserve">1.3.1 </w:t>
      </w:r>
      <w:r>
        <w:rPr>
          <w:rFonts w:ascii="Times New Roman" w:eastAsia="宋体" w:hAnsi="Times New Roman" w:cs="Times New Roman"/>
          <w:bCs/>
          <w:szCs w:val="24"/>
        </w:rPr>
        <w:t>数据处理</w:t>
      </w:r>
    </w:p>
    <w:p w14:paraId="52B8BC6D"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试验原始数据采用</w:t>
      </w:r>
      <w:r>
        <w:rPr>
          <w:rFonts w:ascii="Times New Roman" w:eastAsia="宋体" w:hAnsi="Times New Roman" w:cs="Times New Roman"/>
          <w:szCs w:val="21"/>
        </w:rPr>
        <w:t>Excel</w:t>
      </w:r>
      <w:r>
        <w:rPr>
          <w:rFonts w:ascii="Times New Roman" w:eastAsia="宋体" w:hAnsi="Times New Roman" w:cs="Times New Roman"/>
          <w:szCs w:val="21"/>
        </w:rPr>
        <w:t>整理，随后，应用</w:t>
      </w:r>
      <w:r>
        <w:rPr>
          <w:rFonts w:ascii="Times New Roman" w:eastAsia="宋体" w:hAnsi="Times New Roman" w:cs="Times New Roman"/>
          <w:szCs w:val="21"/>
        </w:rPr>
        <w:t>SIMCA</w:t>
      </w:r>
      <w:r>
        <w:rPr>
          <w:rFonts w:ascii="Times New Roman" w:eastAsia="宋体" w:hAnsi="Times New Roman" w:cs="Times New Roman"/>
          <w:szCs w:val="21"/>
        </w:rPr>
        <w:t>与</w:t>
      </w:r>
      <w:r>
        <w:rPr>
          <w:rFonts w:ascii="Times New Roman" w:eastAsia="宋体" w:hAnsi="Times New Roman" w:cs="Times New Roman"/>
          <w:szCs w:val="21"/>
        </w:rPr>
        <w:t>R</w:t>
      </w:r>
      <w:r>
        <w:rPr>
          <w:rFonts w:ascii="Times New Roman" w:eastAsia="宋体" w:hAnsi="Times New Roman" w:cs="Times New Roman"/>
          <w:szCs w:val="21"/>
        </w:rPr>
        <w:t>语言对数据进行多阶段分析。为消除不同指标的量纲影响，所有化学物质含量数据在分析前均进行了</w:t>
      </w:r>
      <w:r>
        <w:rPr>
          <w:rFonts w:ascii="Times New Roman" w:eastAsia="宋体" w:hAnsi="Times New Roman" w:cs="Times New Roman"/>
          <w:szCs w:val="21"/>
        </w:rPr>
        <w:t>Z-Score</w:t>
      </w:r>
      <w:r>
        <w:rPr>
          <w:rFonts w:ascii="Times New Roman" w:eastAsia="宋体" w:hAnsi="Times New Roman" w:cs="Times New Roman"/>
          <w:szCs w:val="21"/>
        </w:rPr>
        <w:t>标准化处理。。</w:t>
      </w:r>
    </w:p>
    <w:p w14:paraId="52B8BC6E" w14:textId="77777777" w:rsidR="001A4D72" w:rsidRDefault="00000000">
      <w:pPr>
        <w:snapToGrid w:val="0"/>
        <w:spacing w:line="360" w:lineRule="auto"/>
        <w:ind w:right="-159"/>
        <w:jc w:val="left"/>
        <w:outlineLvl w:val="2"/>
        <w:rPr>
          <w:rFonts w:ascii="Times New Roman" w:eastAsia="宋体" w:hAnsi="Times New Roman" w:cs="Times New Roman"/>
          <w:bCs/>
          <w:szCs w:val="24"/>
        </w:rPr>
      </w:pPr>
      <w:r>
        <w:rPr>
          <w:rFonts w:ascii="Times New Roman" w:eastAsia="宋体" w:hAnsi="Times New Roman" w:cs="Times New Roman"/>
          <w:bCs/>
          <w:szCs w:val="24"/>
        </w:rPr>
        <w:t xml:space="preserve">1.3.2 </w:t>
      </w:r>
      <w:r>
        <w:rPr>
          <w:rFonts w:ascii="Times New Roman" w:eastAsia="宋体" w:hAnsi="Times New Roman" w:cs="Times New Roman"/>
          <w:bCs/>
          <w:szCs w:val="24"/>
        </w:rPr>
        <w:t>多阶段特征筛选与验证模型</w:t>
      </w:r>
    </w:p>
    <w:p w14:paraId="52B8BC6F"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 xml:space="preserve">(1) OPLS-DA </w:t>
      </w:r>
      <w:r>
        <w:rPr>
          <w:rFonts w:ascii="Times New Roman" w:eastAsia="宋体" w:hAnsi="Times New Roman" w:cs="Times New Roman"/>
          <w:szCs w:val="21"/>
        </w:rPr>
        <w:t>判别分析：以酸感分组（</w:t>
      </w:r>
      <w:r>
        <w:rPr>
          <w:rFonts w:ascii="Times New Roman" w:eastAsia="宋体" w:hAnsi="Times New Roman" w:cs="Times New Roman"/>
          <w:szCs w:val="21"/>
        </w:rPr>
        <w:t>0/1</w:t>
      </w:r>
      <w:r>
        <w:rPr>
          <w:rFonts w:ascii="Times New Roman" w:eastAsia="宋体" w:hAnsi="Times New Roman" w:cs="Times New Roman"/>
          <w:szCs w:val="21"/>
        </w:rPr>
        <w:t>）为因变量，建立有监督的</w:t>
      </w:r>
      <w:r>
        <w:rPr>
          <w:rFonts w:ascii="Times New Roman" w:eastAsia="宋体" w:hAnsi="Times New Roman" w:cs="Times New Roman"/>
          <w:szCs w:val="21"/>
        </w:rPr>
        <w:t xml:space="preserve"> OPLS-DA </w:t>
      </w:r>
      <w:r>
        <w:rPr>
          <w:rFonts w:ascii="Times New Roman" w:eastAsia="宋体" w:hAnsi="Times New Roman" w:cs="Times New Roman"/>
          <w:szCs w:val="21"/>
        </w:rPr>
        <w:t>模型。采用</w:t>
      </w:r>
      <w:r>
        <w:rPr>
          <w:rFonts w:ascii="Times New Roman" w:eastAsia="宋体" w:hAnsi="Times New Roman" w:cs="Times New Roman"/>
          <w:szCs w:val="21"/>
        </w:rPr>
        <w:t xml:space="preserve"> 7 </w:t>
      </w:r>
      <w:r>
        <w:rPr>
          <w:rFonts w:ascii="Times New Roman" w:eastAsia="宋体" w:hAnsi="Times New Roman" w:cs="Times New Roman"/>
          <w:szCs w:val="21"/>
        </w:rPr>
        <w:t>折交叉验证（</w:t>
      </w:r>
      <w:r>
        <w:rPr>
          <w:rFonts w:ascii="Times New Roman" w:eastAsia="宋体" w:hAnsi="Times New Roman" w:cs="Times New Roman"/>
          <w:szCs w:val="21"/>
        </w:rPr>
        <w:t>7-fold CV</w:t>
      </w:r>
      <w:r>
        <w:rPr>
          <w:rFonts w:ascii="Times New Roman" w:eastAsia="宋体" w:hAnsi="Times New Roman" w:cs="Times New Roman"/>
          <w:szCs w:val="21"/>
        </w:rPr>
        <w:t>）检验模型稳健性，并以变量投影重要性</w:t>
      </w:r>
      <w:r>
        <w:rPr>
          <w:rFonts w:ascii="Times New Roman" w:eastAsia="宋体" w:hAnsi="Times New Roman" w:cs="Times New Roman"/>
          <w:szCs w:val="21"/>
        </w:rPr>
        <w:t xml:space="preserve"> VIP &gt; 1 </w:t>
      </w:r>
      <w:r>
        <w:rPr>
          <w:rFonts w:ascii="Times New Roman" w:eastAsia="宋体" w:hAnsi="Times New Roman" w:cs="Times New Roman"/>
          <w:szCs w:val="21"/>
        </w:rPr>
        <w:t>作为差异物质的初筛标准。</w:t>
      </w:r>
    </w:p>
    <w:p w14:paraId="52B8BC70"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 xml:space="preserve">(2) Boruta </w:t>
      </w:r>
      <w:r>
        <w:rPr>
          <w:rFonts w:ascii="Times New Roman" w:eastAsia="宋体" w:hAnsi="Times New Roman" w:cs="Times New Roman"/>
          <w:szCs w:val="21"/>
        </w:rPr>
        <w:t>算法验证：利用</w:t>
      </w:r>
      <w:r>
        <w:rPr>
          <w:rFonts w:ascii="Times New Roman" w:eastAsia="宋体" w:hAnsi="Times New Roman" w:cs="Times New Roman"/>
          <w:szCs w:val="21"/>
        </w:rPr>
        <w:t xml:space="preserve"> R </w:t>
      </w:r>
      <w:r>
        <w:rPr>
          <w:rFonts w:ascii="Times New Roman" w:eastAsia="宋体" w:hAnsi="Times New Roman" w:cs="Times New Roman"/>
          <w:szCs w:val="21"/>
        </w:rPr>
        <w:t>语言</w:t>
      </w:r>
      <w:r>
        <w:rPr>
          <w:rFonts w:ascii="Times New Roman" w:eastAsia="宋体" w:hAnsi="Times New Roman" w:cs="Times New Roman"/>
          <w:szCs w:val="21"/>
        </w:rPr>
        <w:t xml:space="preserve"> Boruta </w:t>
      </w:r>
      <w:r>
        <w:rPr>
          <w:rFonts w:ascii="Times New Roman" w:eastAsia="宋体" w:hAnsi="Times New Roman" w:cs="Times New Roman"/>
          <w:szCs w:val="21"/>
        </w:rPr>
        <w:t>包进行非线性特征选择，以</w:t>
      </w:r>
      <w:r>
        <w:rPr>
          <w:rFonts w:ascii="Times New Roman" w:eastAsia="宋体" w:hAnsi="Times New Roman" w:cs="Times New Roman"/>
          <w:szCs w:val="21"/>
        </w:rPr>
        <w:t>“Confirmed”</w:t>
      </w:r>
      <w:r>
        <w:rPr>
          <w:rFonts w:ascii="Times New Roman" w:eastAsia="宋体" w:hAnsi="Times New Roman" w:cs="Times New Roman"/>
          <w:szCs w:val="21"/>
        </w:rPr>
        <w:t>作为特征变量的最终判定标准，对</w:t>
      </w:r>
      <w:r>
        <w:rPr>
          <w:rFonts w:ascii="Times New Roman" w:eastAsia="宋体" w:hAnsi="Times New Roman" w:cs="Times New Roman"/>
          <w:szCs w:val="21"/>
        </w:rPr>
        <w:t xml:space="preserve"> OPLS-DA </w:t>
      </w:r>
      <w:r>
        <w:rPr>
          <w:rFonts w:ascii="Times New Roman" w:eastAsia="宋体" w:hAnsi="Times New Roman" w:cs="Times New Roman"/>
          <w:szCs w:val="21"/>
        </w:rPr>
        <w:t>筛选结果进行交叉验证。</w:t>
      </w:r>
    </w:p>
    <w:p w14:paraId="52B8BC71"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 xml:space="preserve">(3) </w:t>
      </w:r>
      <w:r>
        <w:rPr>
          <w:rFonts w:ascii="Times New Roman" w:eastAsia="宋体" w:hAnsi="Times New Roman" w:cs="Times New Roman"/>
          <w:szCs w:val="21"/>
        </w:rPr>
        <w:t>斯皮尔曼相关性分析：计算各物质含量与酸感评分的</w:t>
      </w:r>
      <w:r>
        <w:rPr>
          <w:rFonts w:ascii="Times New Roman" w:eastAsia="宋体" w:hAnsi="Times New Roman" w:cs="Times New Roman"/>
          <w:szCs w:val="21"/>
        </w:rPr>
        <w:t xml:space="preserve"> Spearman </w:t>
      </w:r>
      <w:r>
        <w:rPr>
          <w:rFonts w:ascii="Times New Roman" w:eastAsia="宋体" w:hAnsi="Times New Roman" w:cs="Times New Roman"/>
          <w:szCs w:val="21"/>
        </w:rPr>
        <w:t>相关系数（</w:t>
      </w:r>
      <w:r>
        <w:rPr>
          <w:rFonts w:ascii="Times New Roman" w:eastAsia="宋体" w:hAnsi="Times New Roman" w:cs="Times New Roman"/>
          <w:szCs w:val="21"/>
        </w:rPr>
        <w:t>rho</w:t>
      </w:r>
      <w:r>
        <w:rPr>
          <w:rFonts w:ascii="Times New Roman" w:eastAsia="宋体" w:hAnsi="Times New Roman" w:cs="Times New Roman"/>
          <w:szCs w:val="21"/>
        </w:rPr>
        <w:t>），以</w:t>
      </w:r>
      <w:r>
        <w:rPr>
          <w:rFonts w:ascii="Times New Roman" w:eastAsia="宋体" w:hAnsi="Times New Roman" w:cs="Times New Roman"/>
          <w:szCs w:val="21"/>
        </w:rPr>
        <w:t xml:space="preserve"> p &lt; 0.05 </w:t>
      </w:r>
      <w:r>
        <w:rPr>
          <w:rFonts w:ascii="Times New Roman" w:eastAsia="宋体" w:hAnsi="Times New Roman" w:cs="Times New Roman"/>
          <w:szCs w:val="21"/>
        </w:rPr>
        <w:t>作为统计学显著性筛选依据。</w:t>
      </w:r>
    </w:p>
    <w:p w14:paraId="52B8BC72" w14:textId="77777777" w:rsidR="001A4D72" w:rsidRDefault="00000000">
      <w:pPr>
        <w:spacing w:line="360" w:lineRule="auto"/>
        <w:ind w:firstLine="480"/>
        <w:rPr>
          <w:rFonts w:ascii="Times New Roman" w:eastAsia="宋体" w:hAnsi="Times New Roman" w:cs="Times New Roman"/>
          <w:szCs w:val="21"/>
        </w:rPr>
        <w:sectPr w:rsidR="001A4D72">
          <w:pgSz w:w="11906" w:h="16838"/>
          <w:pgMar w:top="1440" w:right="1797" w:bottom="1440" w:left="1797" w:header="0" w:footer="0" w:gutter="0"/>
          <w:cols w:space="720"/>
          <w:formProt w:val="0"/>
          <w:docGrid w:linePitch="326"/>
        </w:sectPr>
      </w:pPr>
      <w:r>
        <w:rPr>
          <w:rFonts w:ascii="Times New Roman" w:eastAsia="宋体" w:hAnsi="Times New Roman" w:cs="Times New Roman"/>
          <w:szCs w:val="21"/>
        </w:rPr>
        <w:t xml:space="preserve">(4) PLS-R </w:t>
      </w:r>
      <w:r>
        <w:rPr>
          <w:rFonts w:ascii="Times New Roman" w:eastAsia="宋体" w:hAnsi="Times New Roman" w:cs="Times New Roman"/>
          <w:szCs w:val="21"/>
        </w:rPr>
        <w:t>预测模型：基于核心物质构建</w:t>
      </w:r>
      <w:r>
        <w:rPr>
          <w:rFonts w:ascii="Times New Roman" w:eastAsia="宋体" w:hAnsi="Times New Roman" w:cs="Times New Roman"/>
          <w:szCs w:val="21"/>
        </w:rPr>
        <w:t xml:space="preserve"> PLS-R </w:t>
      </w:r>
      <w:r>
        <w:rPr>
          <w:rFonts w:ascii="Times New Roman" w:eastAsia="宋体" w:hAnsi="Times New Roman" w:cs="Times New Roman"/>
          <w:szCs w:val="21"/>
        </w:rPr>
        <w:t>回归模型，以交叉验证预测能力指数</w:t>
      </w:r>
      <w:r>
        <w:rPr>
          <w:rFonts w:ascii="Times New Roman" w:eastAsia="宋体" w:hAnsi="Times New Roman" w:cs="Times New Roman"/>
          <w:szCs w:val="21"/>
        </w:rPr>
        <w:t xml:space="preserve"> Q² &gt; 0.5 </w:t>
      </w:r>
      <w:r>
        <w:rPr>
          <w:rFonts w:ascii="Times New Roman" w:eastAsia="宋体" w:hAnsi="Times New Roman" w:cs="Times New Roman"/>
          <w:szCs w:val="21"/>
        </w:rPr>
        <w:t>作为模型有效性的评价指标，并再次考察</w:t>
      </w:r>
      <w:r>
        <w:rPr>
          <w:rFonts w:ascii="Times New Roman" w:eastAsia="宋体" w:hAnsi="Times New Roman" w:cs="Times New Roman"/>
          <w:szCs w:val="21"/>
        </w:rPr>
        <w:t xml:space="preserve"> VIP </w:t>
      </w:r>
      <w:r>
        <w:rPr>
          <w:rFonts w:ascii="Times New Roman" w:eastAsia="宋体" w:hAnsi="Times New Roman" w:cs="Times New Roman"/>
          <w:szCs w:val="21"/>
        </w:rPr>
        <w:t>值以确认核心因子的贡献度。</w:t>
      </w:r>
    </w:p>
    <w:p w14:paraId="52B8BC73" w14:textId="77777777" w:rsidR="001A4D72" w:rsidRDefault="00000000">
      <w:pPr>
        <w:snapToGrid w:val="0"/>
        <w:spacing w:line="360" w:lineRule="auto"/>
        <w:ind w:left="357" w:hanging="357"/>
        <w:outlineLvl w:val="0"/>
        <w:rPr>
          <w:rFonts w:ascii="宋体" w:eastAsia="宋体" w:hAnsi="宋体" w:cs="Times New Roman"/>
          <w:b/>
          <w:kern w:val="0"/>
          <w:sz w:val="28"/>
          <w:szCs w:val="24"/>
        </w:rPr>
      </w:pPr>
      <w:bookmarkStart w:id="21" w:name="OLE_LINK1"/>
      <w:r>
        <w:rPr>
          <w:rFonts w:ascii="宋体" w:eastAsia="宋体" w:hAnsi="宋体" w:cs="Times New Roman"/>
          <w:b/>
          <w:kern w:val="0"/>
          <w:sz w:val="28"/>
          <w:szCs w:val="24"/>
        </w:rPr>
        <w:lastRenderedPageBreak/>
        <w:t>2 结果与分析</w:t>
      </w:r>
      <w:bookmarkEnd w:id="21"/>
    </w:p>
    <w:p w14:paraId="52B8BC74" w14:textId="77777777" w:rsidR="001A4D72" w:rsidRDefault="00000000">
      <w:pPr>
        <w:pStyle w:val="af6"/>
        <w:snapToGrid w:val="0"/>
        <w:spacing w:line="360" w:lineRule="auto"/>
        <w:ind w:left="505" w:hanging="505"/>
        <w:jc w:val="left"/>
        <w:outlineLvl w:val="1"/>
        <w:rPr>
          <w:rFonts w:ascii="Times New Roman" w:eastAsia="宋体" w:hAnsi="Times New Roman" w:cs="Times New Roman"/>
          <w:b/>
          <w:bCs/>
        </w:rPr>
      </w:pPr>
      <w:r>
        <w:rPr>
          <w:rFonts w:ascii="Times New Roman" w:eastAsia="宋体" w:hAnsi="Times New Roman" w:cs="Times New Roman"/>
          <w:b/>
          <w:bCs/>
        </w:rPr>
        <w:t xml:space="preserve">2.1 </w:t>
      </w:r>
      <w:r>
        <w:rPr>
          <w:rFonts w:ascii="Times New Roman" w:eastAsia="宋体" w:hAnsi="Times New Roman" w:cs="Times New Roman"/>
          <w:b/>
          <w:bCs/>
        </w:rPr>
        <w:t>不同类型烟叶差异化学物质的筛选与确证</w:t>
      </w:r>
    </w:p>
    <w:p w14:paraId="52B8BC75"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为</w:t>
      </w:r>
      <w:commentRangeStart w:id="22"/>
      <w:commentRangeStart w:id="23"/>
      <w:r>
        <w:rPr>
          <w:rFonts w:ascii="Times New Roman" w:eastAsia="宋体" w:hAnsi="Times New Roman" w:cs="Times New Roman"/>
          <w:szCs w:val="21"/>
        </w:rPr>
        <w:t>全面筛选与烟草样品感官酸感相关的化学指标，本研究建立了</w:t>
      </w:r>
      <w:r>
        <w:rPr>
          <w:rFonts w:ascii="Times New Roman" w:eastAsia="宋体" w:hAnsi="Times New Roman" w:cs="Times New Roman"/>
          <w:szCs w:val="21"/>
        </w:rPr>
        <w:t>OPLS-DA</w:t>
      </w:r>
      <w:r>
        <w:rPr>
          <w:rFonts w:ascii="Times New Roman" w:eastAsia="宋体" w:hAnsi="Times New Roman" w:cs="Times New Roman"/>
          <w:szCs w:val="21"/>
        </w:rPr>
        <w:t>模型。如图</w:t>
      </w:r>
      <w:r>
        <w:rPr>
          <w:rFonts w:ascii="Times New Roman" w:eastAsia="宋体" w:hAnsi="Times New Roman" w:cs="Times New Roman"/>
          <w:szCs w:val="21"/>
        </w:rPr>
        <w:t>1</w:t>
      </w:r>
      <w:r>
        <w:rPr>
          <w:rFonts w:ascii="Times New Roman" w:eastAsia="宋体" w:hAnsi="Times New Roman" w:cs="Times New Roman"/>
          <w:szCs w:val="21"/>
        </w:rPr>
        <w:t>显示，模型具有良好的拟合优度与出色的预测能（</w:t>
      </w:r>
      <w:r>
        <w:rPr>
          <w:rFonts w:ascii="Times New Roman" w:eastAsia="宋体" w:hAnsi="Times New Roman" w:cs="Times New Roman"/>
          <w:szCs w:val="21"/>
        </w:rPr>
        <w:t>Q²=0.892</w:t>
      </w:r>
      <w:r>
        <w:rPr>
          <w:rFonts w:ascii="Times New Roman" w:eastAsia="宋体" w:hAnsi="Times New Roman" w:cs="Times New Roman"/>
          <w:szCs w:val="21"/>
        </w:rPr>
        <w:t>）。远超</w:t>
      </w:r>
      <w:r>
        <w:rPr>
          <w:rFonts w:ascii="Times New Roman" w:eastAsia="宋体" w:hAnsi="Times New Roman" w:cs="Times New Roman"/>
          <w:szCs w:val="21"/>
        </w:rPr>
        <w:t>0.5</w:t>
      </w:r>
      <w:r>
        <w:rPr>
          <w:rFonts w:ascii="Times New Roman" w:eastAsia="宋体" w:hAnsi="Times New Roman" w:cs="Times New Roman"/>
          <w:szCs w:val="21"/>
        </w:rPr>
        <w:t>的有效性阈值，证明该模型能够稳健、有效地对不同酸感样品进行区分。基于此，筛选出</w:t>
      </w:r>
      <w:r>
        <w:rPr>
          <w:rFonts w:ascii="Times New Roman" w:eastAsia="宋体" w:hAnsi="Times New Roman" w:cs="Times New Roman"/>
          <w:szCs w:val="21"/>
        </w:rPr>
        <w:t>45</w:t>
      </w:r>
      <w:r>
        <w:rPr>
          <w:rFonts w:ascii="Times New Roman" w:eastAsia="宋体" w:hAnsi="Times New Roman" w:cs="Times New Roman"/>
          <w:szCs w:val="21"/>
        </w:rPr>
        <w:t>种变量重要性投影（</w:t>
      </w:r>
      <w:r>
        <w:rPr>
          <w:rFonts w:ascii="Times New Roman" w:eastAsia="宋体" w:hAnsi="Times New Roman" w:cs="Times New Roman"/>
          <w:szCs w:val="21"/>
        </w:rPr>
        <w:t>VIP</w:t>
      </w:r>
      <w:r>
        <w:rPr>
          <w:rFonts w:ascii="Times New Roman" w:eastAsia="宋体" w:hAnsi="Times New Roman" w:cs="Times New Roman"/>
          <w:szCs w:val="21"/>
        </w:rPr>
        <w:t>）值大于</w:t>
      </w:r>
      <w:r>
        <w:rPr>
          <w:rFonts w:ascii="Times New Roman" w:eastAsia="宋体" w:hAnsi="Times New Roman" w:cs="Times New Roman"/>
          <w:szCs w:val="21"/>
        </w:rPr>
        <w:t>1</w:t>
      </w:r>
      <w:r>
        <w:rPr>
          <w:rFonts w:ascii="Times New Roman" w:eastAsia="宋体" w:hAnsi="Times New Roman" w:cs="Times New Roman"/>
          <w:szCs w:val="21"/>
        </w:rPr>
        <w:t>的化学物质。</w:t>
      </w:r>
    </w:p>
    <w:p w14:paraId="52B8BC76"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为提升筛选的可靠性，本研究引入了随机森林（</w:t>
      </w:r>
      <w:r>
        <w:rPr>
          <w:rFonts w:ascii="Times New Roman" w:eastAsia="宋体" w:hAnsi="Times New Roman" w:cs="Times New Roman"/>
          <w:szCs w:val="21"/>
        </w:rPr>
        <w:t>Boruta</w:t>
      </w:r>
      <w:r>
        <w:rPr>
          <w:rFonts w:ascii="Times New Roman" w:eastAsia="宋体" w:hAnsi="Times New Roman" w:cs="Times New Roman"/>
          <w:szCs w:val="21"/>
        </w:rPr>
        <w:t>）算法进行非线性特征选择，最终确认了</w:t>
      </w:r>
      <w:r>
        <w:rPr>
          <w:rFonts w:ascii="Times New Roman" w:eastAsia="宋体" w:hAnsi="Times New Roman" w:cs="Times New Roman"/>
          <w:szCs w:val="21"/>
        </w:rPr>
        <w:t>33</w:t>
      </w:r>
      <w:r>
        <w:rPr>
          <w:rFonts w:ascii="Times New Roman" w:eastAsia="宋体" w:hAnsi="Times New Roman" w:cs="Times New Roman"/>
          <w:szCs w:val="21"/>
        </w:rPr>
        <w:t>种强相关物质。</w:t>
      </w:r>
    </w:p>
    <w:p w14:paraId="52B8BC77"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采取并集策略对两种模型结果进行整合（图</w:t>
      </w:r>
      <w:r>
        <w:rPr>
          <w:rFonts w:ascii="Times New Roman" w:eastAsia="宋体" w:hAnsi="Times New Roman" w:cs="Times New Roman"/>
          <w:szCs w:val="21"/>
        </w:rPr>
        <w:t xml:space="preserve"> 2</w:t>
      </w:r>
      <w:r>
        <w:rPr>
          <w:rFonts w:ascii="Times New Roman" w:eastAsia="宋体" w:hAnsi="Times New Roman" w:cs="Times New Roman"/>
          <w:szCs w:val="21"/>
        </w:rPr>
        <w:t>），共筛选出</w:t>
      </w:r>
      <w:r>
        <w:rPr>
          <w:rFonts w:ascii="Times New Roman" w:eastAsia="宋体" w:hAnsi="Times New Roman" w:cs="Times New Roman"/>
          <w:szCs w:val="21"/>
        </w:rPr>
        <w:t>53</w:t>
      </w:r>
      <w:r>
        <w:rPr>
          <w:rFonts w:ascii="Times New Roman" w:eastAsia="宋体" w:hAnsi="Times New Roman" w:cs="Times New Roman"/>
          <w:szCs w:val="21"/>
        </w:rPr>
        <w:t>种不重复的化学物质。定义为</w:t>
      </w:r>
      <w:r>
        <w:rPr>
          <w:rFonts w:ascii="Times New Roman" w:eastAsia="宋体" w:hAnsi="Times New Roman" w:cs="Times New Roman"/>
          <w:szCs w:val="21"/>
        </w:rPr>
        <w:t>“</w:t>
      </w:r>
      <w:r>
        <w:rPr>
          <w:rFonts w:ascii="Times New Roman" w:eastAsia="宋体" w:hAnsi="Times New Roman" w:cs="Times New Roman"/>
          <w:szCs w:val="21"/>
        </w:rPr>
        <w:t>候选核心物质列表</w:t>
      </w:r>
      <w:r>
        <w:rPr>
          <w:rFonts w:ascii="Times New Roman" w:eastAsia="宋体" w:hAnsi="Times New Roman" w:cs="Times New Roman"/>
          <w:szCs w:val="21"/>
        </w:rPr>
        <w:t>”</w:t>
      </w:r>
      <w:r>
        <w:rPr>
          <w:rFonts w:ascii="Times New Roman" w:eastAsia="宋体" w:hAnsi="Times New Roman" w:cs="Times New Roman"/>
          <w:szCs w:val="21"/>
        </w:rPr>
        <w:t>（表</w:t>
      </w:r>
      <w:r>
        <w:rPr>
          <w:rFonts w:ascii="Times New Roman" w:eastAsia="宋体" w:hAnsi="Times New Roman" w:cs="Times New Roman"/>
          <w:szCs w:val="21"/>
        </w:rPr>
        <w:t>1</w:t>
      </w:r>
      <w:r>
        <w:rPr>
          <w:rFonts w:ascii="Times New Roman" w:eastAsia="宋体" w:hAnsi="Times New Roman" w:cs="Times New Roman"/>
          <w:szCs w:val="21"/>
        </w:rPr>
        <w:t>）。本研究层次聚类热图分析（图</w:t>
      </w:r>
      <w:r>
        <w:rPr>
          <w:rFonts w:ascii="Times New Roman" w:eastAsia="宋体" w:hAnsi="Times New Roman" w:cs="Times New Roman"/>
          <w:szCs w:val="21"/>
        </w:rPr>
        <w:t>3</w:t>
      </w:r>
      <w:r>
        <w:rPr>
          <w:rFonts w:ascii="Times New Roman" w:eastAsia="宋体" w:hAnsi="Times New Roman" w:cs="Times New Roman"/>
          <w:szCs w:val="21"/>
        </w:rPr>
        <w:t>）显示，所有样品能够根据其酸感分组（有酸感</w:t>
      </w:r>
      <w:r>
        <w:rPr>
          <w:rFonts w:ascii="Times New Roman" w:eastAsia="宋体" w:hAnsi="Times New Roman" w:cs="Times New Roman"/>
          <w:szCs w:val="21"/>
        </w:rPr>
        <w:t xml:space="preserve"> vs. </w:t>
      </w:r>
      <w:r>
        <w:rPr>
          <w:rFonts w:ascii="Times New Roman" w:eastAsia="宋体" w:hAnsi="Times New Roman" w:cs="Times New Roman"/>
          <w:szCs w:val="21"/>
        </w:rPr>
        <w:t>无酸感）实现清晰的聚类，证明该物质组合能够有效地反映并区分不同酸感样品的内在化学模式。</w:t>
      </w:r>
      <w:commentRangeEnd w:id="23"/>
      <w:r>
        <w:rPr>
          <w:rStyle w:val="a4"/>
          <w:rFonts w:ascii="Times New Roman" w:eastAsia="宋体" w:hAnsi="Times New Roman" w:cs="Times New Roman"/>
          <w:sz w:val="24"/>
        </w:rPr>
        <w:commentReference w:id="23"/>
      </w:r>
      <w:commentRangeEnd w:id="22"/>
      <w:r>
        <w:rPr>
          <w:rStyle w:val="a4"/>
          <w:rFonts w:ascii="Times New Roman" w:eastAsia="宋体" w:hAnsi="Times New Roman" w:cs="Times New Roman"/>
          <w:sz w:val="24"/>
        </w:rPr>
        <w:commentReference w:id="22"/>
      </w:r>
    </w:p>
    <w:p w14:paraId="52B8BC78" w14:textId="77777777" w:rsidR="001A4D72" w:rsidRDefault="00000000">
      <w:pPr>
        <w:spacing w:line="360" w:lineRule="auto"/>
        <w:jc w:val="center"/>
        <w:rPr>
          <w:rFonts w:ascii="Times New Roman" w:eastAsia="宋体" w:hAnsi="Times New Roman" w:cs="Times New Roman"/>
          <w:b/>
          <w:sz w:val="21"/>
          <w:szCs w:val="21"/>
        </w:rPr>
      </w:pPr>
      <w:r>
        <w:rPr>
          <w:rFonts w:ascii="Times New Roman" w:eastAsia="宋体" w:hAnsi="Times New Roman" w:cs="Times New Roman"/>
          <w:b/>
          <w:sz w:val="21"/>
          <w:szCs w:val="21"/>
        </w:rPr>
        <w:t>表</w:t>
      </w:r>
      <w:r>
        <w:rPr>
          <w:rFonts w:ascii="Times New Roman" w:eastAsia="宋体" w:hAnsi="Times New Roman" w:cs="Times New Roman"/>
          <w:b/>
          <w:sz w:val="21"/>
          <w:szCs w:val="21"/>
        </w:rPr>
        <w:t xml:space="preserve">1 </w:t>
      </w:r>
      <w:r>
        <w:rPr>
          <w:rFonts w:ascii="Times New Roman" w:eastAsia="宋体" w:hAnsi="Times New Roman" w:cs="Times New Roman"/>
          <w:b/>
          <w:sz w:val="21"/>
          <w:szCs w:val="21"/>
        </w:rPr>
        <w:t>候选核心物质列表</w:t>
      </w:r>
    </w:p>
    <w:p w14:paraId="52B8BC79" w14:textId="77777777" w:rsidR="001A4D72" w:rsidRDefault="00000000">
      <w:pPr>
        <w:spacing w:line="360" w:lineRule="auto"/>
        <w:jc w:val="center"/>
        <w:rPr>
          <w:rFonts w:ascii="Times New Roman" w:eastAsia="宋体" w:hAnsi="Times New Roman" w:cs="Times New Roman"/>
          <w:b/>
          <w:sz w:val="21"/>
          <w:szCs w:val="21"/>
        </w:rPr>
      </w:pPr>
      <w:r>
        <w:rPr>
          <w:rFonts w:ascii="Times New Roman" w:eastAsia="宋体" w:hAnsi="Times New Roman" w:cs="Times New Roman"/>
          <w:b/>
          <w:sz w:val="21"/>
          <w:szCs w:val="21"/>
        </w:rPr>
        <w:t>Table 1 Candidate core substances list</w:t>
      </w:r>
    </w:p>
    <w:tbl>
      <w:tblPr>
        <w:tblW w:w="8416" w:type="dxa"/>
        <w:tblLayout w:type="fixed"/>
        <w:tblLook w:val="04A0" w:firstRow="1" w:lastRow="0" w:firstColumn="1" w:lastColumn="0" w:noHBand="0" w:noVBand="1"/>
      </w:tblPr>
      <w:tblGrid>
        <w:gridCol w:w="1046"/>
        <w:gridCol w:w="1303"/>
        <w:gridCol w:w="1135"/>
        <w:gridCol w:w="1927"/>
        <w:gridCol w:w="1305"/>
        <w:gridCol w:w="1700"/>
      </w:tblGrid>
      <w:tr w:rsidR="001A4D72" w14:paraId="52B8BC80" w14:textId="77777777">
        <w:trPr>
          <w:trHeight w:val="300"/>
        </w:trPr>
        <w:tc>
          <w:tcPr>
            <w:tcW w:w="1045" w:type="dxa"/>
            <w:tcBorders>
              <w:top w:val="single" w:sz="12" w:space="0" w:color="000000"/>
              <w:bottom w:val="single" w:sz="4" w:space="0" w:color="000000"/>
            </w:tcBorders>
            <w:vAlign w:val="center"/>
          </w:tcPr>
          <w:p w14:paraId="52B8BC7A"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序号</w:t>
            </w:r>
            <w:r>
              <w:rPr>
                <w:rFonts w:ascii="Times New Roman" w:eastAsia="宋体" w:hAnsi="Times New Roman" w:cs="宋体"/>
                <w:color w:val="000000"/>
                <w:kern w:val="0"/>
                <w:sz w:val="21"/>
              </w:rPr>
              <w:t>(Number)</w:t>
            </w:r>
          </w:p>
        </w:tc>
        <w:tc>
          <w:tcPr>
            <w:tcW w:w="1303" w:type="dxa"/>
            <w:tcBorders>
              <w:top w:val="single" w:sz="12" w:space="0" w:color="000000"/>
              <w:bottom w:val="single" w:sz="4" w:space="0" w:color="000000"/>
            </w:tcBorders>
            <w:vAlign w:val="center"/>
          </w:tcPr>
          <w:p w14:paraId="52B8BC7B"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物质名称</w:t>
            </w:r>
            <w:r>
              <w:rPr>
                <w:rFonts w:ascii="Times New Roman" w:eastAsia="宋体" w:hAnsi="Times New Roman" w:cs="宋体"/>
                <w:color w:val="000000"/>
                <w:kern w:val="0"/>
                <w:sz w:val="21"/>
              </w:rPr>
              <w:t xml:space="preserve"> (Substance)</w:t>
            </w:r>
          </w:p>
        </w:tc>
        <w:tc>
          <w:tcPr>
            <w:tcW w:w="1135" w:type="dxa"/>
            <w:tcBorders>
              <w:top w:val="single" w:sz="12" w:space="0" w:color="000000"/>
              <w:bottom w:val="single" w:sz="4" w:space="0" w:color="000000"/>
            </w:tcBorders>
            <w:vAlign w:val="center"/>
          </w:tcPr>
          <w:p w14:paraId="52B8BC7C"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序号</w:t>
            </w:r>
            <w:r>
              <w:rPr>
                <w:rFonts w:ascii="Times New Roman" w:eastAsia="宋体" w:hAnsi="Times New Roman" w:cs="宋体"/>
                <w:color w:val="000000"/>
                <w:kern w:val="0"/>
                <w:sz w:val="21"/>
              </w:rPr>
              <w:t>(Number)</w:t>
            </w:r>
          </w:p>
        </w:tc>
        <w:tc>
          <w:tcPr>
            <w:tcW w:w="1927" w:type="dxa"/>
            <w:tcBorders>
              <w:top w:val="single" w:sz="12" w:space="0" w:color="000000"/>
              <w:bottom w:val="single" w:sz="4" w:space="0" w:color="000000"/>
            </w:tcBorders>
            <w:vAlign w:val="center"/>
          </w:tcPr>
          <w:p w14:paraId="52B8BC7D"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物质名称</w:t>
            </w:r>
            <w:r>
              <w:rPr>
                <w:rFonts w:ascii="Times New Roman" w:eastAsia="宋体" w:hAnsi="Times New Roman" w:cs="宋体"/>
                <w:color w:val="000000"/>
                <w:kern w:val="0"/>
                <w:sz w:val="21"/>
              </w:rPr>
              <w:t xml:space="preserve"> (Substance)</w:t>
            </w:r>
          </w:p>
        </w:tc>
        <w:tc>
          <w:tcPr>
            <w:tcW w:w="1305" w:type="dxa"/>
            <w:tcBorders>
              <w:top w:val="single" w:sz="12" w:space="0" w:color="000000"/>
              <w:bottom w:val="single" w:sz="4" w:space="0" w:color="000000"/>
            </w:tcBorders>
            <w:vAlign w:val="center"/>
          </w:tcPr>
          <w:p w14:paraId="52B8BC7E"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序号</w:t>
            </w:r>
            <w:r>
              <w:rPr>
                <w:rFonts w:ascii="Times New Roman" w:eastAsia="宋体" w:hAnsi="Times New Roman" w:cs="宋体"/>
                <w:color w:val="000000"/>
                <w:kern w:val="0"/>
                <w:sz w:val="21"/>
              </w:rPr>
              <w:t>(Number)</w:t>
            </w:r>
          </w:p>
        </w:tc>
        <w:tc>
          <w:tcPr>
            <w:tcW w:w="1700" w:type="dxa"/>
            <w:tcBorders>
              <w:top w:val="single" w:sz="12" w:space="0" w:color="000000"/>
              <w:bottom w:val="single" w:sz="4" w:space="0" w:color="000000"/>
            </w:tcBorders>
            <w:vAlign w:val="center"/>
          </w:tcPr>
          <w:p w14:paraId="52B8BC7F"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物质名称</w:t>
            </w:r>
            <w:r>
              <w:rPr>
                <w:rFonts w:ascii="Times New Roman" w:eastAsia="宋体" w:hAnsi="Times New Roman" w:cs="宋体"/>
                <w:color w:val="000000"/>
                <w:kern w:val="0"/>
                <w:sz w:val="21"/>
              </w:rPr>
              <w:t xml:space="preserve"> (Substance)</w:t>
            </w:r>
          </w:p>
        </w:tc>
      </w:tr>
      <w:tr w:rsidR="001A4D72" w14:paraId="52B8BC87" w14:textId="77777777">
        <w:trPr>
          <w:trHeight w:val="300"/>
        </w:trPr>
        <w:tc>
          <w:tcPr>
            <w:tcW w:w="1045" w:type="dxa"/>
            <w:tcBorders>
              <w:top w:val="single" w:sz="4" w:space="0" w:color="000000"/>
            </w:tcBorders>
          </w:tcPr>
          <w:p w14:paraId="52B8BC81"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w:t>
            </w:r>
          </w:p>
        </w:tc>
        <w:tc>
          <w:tcPr>
            <w:tcW w:w="1303" w:type="dxa"/>
            <w:tcBorders>
              <w:top w:val="single" w:sz="4" w:space="0" w:color="000000"/>
            </w:tcBorders>
            <w:vAlign w:val="center"/>
          </w:tcPr>
          <w:p w14:paraId="52B8BC82"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蔗糖</w:t>
            </w:r>
          </w:p>
        </w:tc>
        <w:tc>
          <w:tcPr>
            <w:tcW w:w="1135" w:type="dxa"/>
            <w:tcBorders>
              <w:top w:val="single" w:sz="4" w:space="0" w:color="000000"/>
            </w:tcBorders>
          </w:tcPr>
          <w:p w14:paraId="52B8BC83"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19</w:t>
            </w:r>
          </w:p>
        </w:tc>
        <w:tc>
          <w:tcPr>
            <w:tcW w:w="1927" w:type="dxa"/>
            <w:tcBorders>
              <w:top w:val="single" w:sz="4" w:space="0" w:color="000000"/>
            </w:tcBorders>
            <w:vAlign w:val="center"/>
          </w:tcPr>
          <w:p w14:paraId="52B8BC84"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乙酸</w:t>
            </w:r>
          </w:p>
        </w:tc>
        <w:tc>
          <w:tcPr>
            <w:tcW w:w="1305" w:type="dxa"/>
            <w:tcBorders>
              <w:top w:val="single" w:sz="4" w:space="0" w:color="000000"/>
            </w:tcBorders>
          </w:tcPr>
          <w:p w14:paraId="52B8BC85"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37</w:t>
            </w:r>
          </w:p>
        </w:tc>
        <w:tc>
          <w:tcPr>
            <w:tcW w:w="1700" w:type="dxa"/>
            <w:tcBorders>
              <w:top w:val="single" w:sz="4" w:space="0" w:color="000000"/>
            </w:tcBorders>
            <w:vAlign w:val="center"/>
          </w:tcPr>
          <w:p w14:paraId="52B8BC86"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3-</w:t>
            </w:r>
            <w:r>
              <w:rPr>
                <w:rFonts w:ascii="Times New Roman" w:eastAsia="宋体" w:hAnsi="Times New Roman" w:cs="宋体"/>
                <w:color w:val="000000"/>
                <w:kern w:val="0"/>
                <w:sz w:val="21"/>
              </w:rPr>
              <w:t>甲基吲哚</w:t>
            </w:r>
          </w:p>
        </w:tc>
      </w:tr>
      <w:tr w:rsidR="001A4D72" w14:paraId="52B8BC8E" w14:textId="77777777">
        <w:trPr>
          <w:trHeight w:val="300"/>
        </w:trPr>
        <w:tc>
          <w:tcPr>
            <w:tcW w:w="1045" w:type="dxa"/>
          </w:tcPr>
          <w:p w14:paraId="52B8BC88"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2</w:t>
            </w:r>
          </w:p>
        </w:tc>
        <w:tc>
          <w:tcPr>
            <w:tcW w:w="1303" w:type="dxa"/>
            <w:vAlign w:val="center"/>
          </w:tcPr>
          <w:p w14:paraId="52B8BC89"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两糖差</w:t>
            </w:r>
          </w:p>
        </w:tc>
        <w:tc>
          <w:tcPr>
            <w:tcW w:w="1135" w:type="dxa"/>
          </w:tcPr>
          <w:p w14:paraId="52B8BC8A"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20</w:t>
            </w:r>
          </w:p>
        </w:tc>
        <w:tc>
          <w:tcPr>
            <w:tcW w:w="1927" w:type="dxa"/>
            <w:vAlign w:val="center"/>
          </w:tcPr>
          <w:p w14:paraId="52B8BC8B"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DDMP</w:t>
            </w:r>
          </w:p>
        </w:tc>
        <w:tc>
          <w:tcPr>
            <w:tcW w:w="1305" w:type="dxa"/>
          </w:tcPr>
          <w:p w14:paraId="52B8BC8C"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38</w:t>
            </w:r>
          </w:p>
        </w:tc>
        <w:tc>
          <w:tcPr>
            <w:tcW w:w="1700" w:type="dxa"/>
            <w:vAlign w:val="center"/>
          </w:tcPr>
          <w:p w14:paraId="52B8BC8D"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w:t>
            </w:r>
            <w:r>
              <w:rPr>
                <w:rFonts w:ascii="Times New Roman" w:eastAsia="宋体" w:hAnsi="Times New Roman" w:cs="宋体"/>
                <w:color w:val="000000"/>
                <w:kern w:val="0"/>
                <w:sz w:val="21"/>
              </w:rPr>
              <w:t>茚酮</w:t>
            </w:r>
          </w:p>
        </w:tc>
      </w:tr>
      <w:tr w:rsidR="001A4D72" w14:paraId="52B8BC95" w14:textId="77777777">
        <w:trPr>
          <w:trHeight w:val="300"/>
        </w:trPr>
        <w:tc>
          <w:tcPr>
            <w:tcW w:w="1045" w:type="dxa"/>
          </w:tcPr>
          <w:p w14:paraId="52B8BC8F"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3</w:t>
            </w:r>
          </w:p>
        </w:tc>
        <w:tc>
          <w:tcPr>
            <w:tcW w:w="1303" w:type="dxa"/>
            <w:vAlign w:val="center"/>
          </w:tcPr>
          <w:p w14:paraId="52B8BC90"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总糖</w:t>
            </w:r>
          </w:p>
        </w:tc>
        <w:tc>
          <w:tcPr>
            <w:tcW w:w="1135" w:type="dxa"/>
          </w:tcPr>
          <w:p w14:paraId="52B8BC91"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21</w:t>
            </w:r>
          </w:p>
        </w:tc>
        <w:tc>
          <w:tcPr>
            <w:tcW w:w="1927" w:type="dxa"/>
            <w:vAlign w:val="center"/>
          </w:tcPr>
          <w:p w14:paraId="52B8BC92"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4-</w:t>
            </w:r>
            <w:r>
              <w:rPr>
                <w:rFonts w:ascii="Times New Roman" w:eastAsia="宋体" w:hAnsi="Times New Roman" w:cs="宋体"/>
                <w:color w:val="000000"/>
                <w:kern w:val="0"/>
                <w:sz w:val="21"/>
              </w:rPr>
              <w:t>乙烯基愈创木酚</w:t>
            </w:r>
          </w:p>
        </w:tc>
        <w:tc>
          <w:tcPr>
            <w:tcW w:w="1305" w:type="dxa"/>
          </w:tcPr>
          <w:p w14:paraId="52B8BC93"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39</w:t>
            </w:r>
          </w:p>
        </w:tc>
        <w:tc>
          <w:tcPr>
            <w:tcW w:w="1700" w:type="dxa"/>
            <w:vAlign w:val="center"/>
          </w:tcPr>
          <w:p w14:paraId="52B8BC94"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异丁香酚</w:t>
            </w:r>
          </w:p>
        </w:tc>
      </w:tr>
      <w:tr w:rsidR="001A4D72" w14:paraId="52B8BC9C" w14:textId="77777777">
        <w:trPr>
          <w:trHeight w:val="300"/>
        </w:trPr>
        <w:tc>
          <w:tcPr>
            <w:tcW w:w="1045" w:type="dxa"/>
          </w:tcPr>
          <w:p w14:paraId="52B8BC96"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4</w:t>
            </w:r>
          </w:p>
        </w:tc>
        <w:tc>
          <w:tcPr>
            <w:tcW w:w="1303" w:type="dxa"/>
            <w:vAlign w:val="center"/>
          </w:tcPr>
          <w:p w14:paraId="52B8BC97"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还原糖</w:t>
            </w:r>
          </w:p>
        </w:tc>
        <w:tc>
          <w:tcPr>
            <w:tcW w:w="1135" w:type="dxa"/>
          </w:tcPr>
          <w:p w14:paraId="52B8BC98"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22</w:t>
            </w:r>
          </w:p>
        </w:tc>
        <w:tc>
          <w:tcPr>
            <w:tcW w:w="1927" w:type="dxa"/>
            <w:vAlign w:val="center"/>
          </w:tcPr>
          <w:p w14:paraId="52B8BC99"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硬脂酸</w:t>
            </w:r>
          </w:p>
        </w:tc>
        <w:tc>
          <w:tcPr>
            <w:tcW w:w="1305" w:type="dxa"/>
          </w:tcPr>
          <w:p w14:paraId="52B8BC9A"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40</w:t>
            </w:r>
          </w:p>
        </w:tc>
        <w:tc>
          <w:tcPr>
            <w:tcW w:w="1700" w:type="dxa"/>
            <w:vAlign w:val="center"/>
          </w:tcPr>
          <w:p w14:paraId="52B8BC9B"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喹啉</w:t>
            </w:r>
          </w:p>
        </w:tc>
      </w:tr>
      <w:tr w:rsidR="001A4D72" w14:paraId="52B8BCA3" w14:textId="77777777">
        <w:trPr>
          <w:trHeight w:val="300"/>
        </w:trPr>
        <w:tc>
          <w:tcPr>
            <w:tcW w:w="1045" w:type="dxa"/>
          </w:tcPr>
          <w:p w14:paraId="52B8BC9D"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5</w:t>
            </w:r>
          </w:p>
        </w:tc>
        <w:tc>
          <w:tcPr>
            <w:tcW w:w="1303" w:type="dxa"/>
            <w:vAlign w:val="center"/>
          </w:tcPr>
          <w:p w14:paraId="52B8BC9E"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葡萄糖</w:t>
            </w:r>
          </w:p>
        </w:tc>
        <w:tc>
          <w:tcPr>
            <w:tcW w:w="1135" w:type="dxa"/>
          </w:tcPr>
          <w:p w14:paraId="52B8BC9F"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23</w:t>
            </w:r>
          </w:p>
        </w:tc>
        <w:tc>
          <w:tcPr>
            <w:tcW w:w="1927" w:type="dxa"/>
            <w:vAlign w:val="center"/>
          </w:tcPr>
          <w:p w14:paraId="52B8BCA0"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三羟基丁酸</w:t>
            </w:r>
          </w:p>
        </w:tc>
        <w:tc>
          <w:tcPr>
            <w:tcW w:w="1305" w:type="dxa"/>
          </w:tcPr>
          <w:p w14:paraId="52B8BCA1"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41</w:t>
            </w:r>
          </w:p>
        </w:tc>
        <w:tc>
          <w:tcPr>
            <w:tcW w:w="1700" w:type="dxa"/>
            <w:vAlign w:val="center"/>
          </w:tcPr>
          <w:p w14:paraId="52B8BCA2"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异戊酰胺</w:t>
            </w:r>
          </w:p>
        </w:tc>
      </w:tr>
      <w:tr w:rsidR="001A4D72" w14:paraId="52B8BCAA" w14:textId="77777777">
        <w:trPr>
          <w:trHeight w:val="300"/>
        </w:trPr>
        <w:tc>
          <w:tcPr>
            <w:tcW w:w="1045" w:type="dxa"/>
          </w:tcPr>
          <w:p w14:paraId="52B8BCA4"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6</w:t>
            </w:r>
          </w:p>
        </w:tc>
        <w:tc>
          <w:tcPr>
            <w:tcW w:w="1303" w:type="dxa"/>
            <w:vAlign w:val="center"/>
          </w:tcPr>
          <w:p w14:paraId="52B8BCA5"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果糖</w:t>
            </w:r>
          </w:p>
        </w:tc>
        <w:tc>
          <w:tcPr>
            <w:tcW w:w="1135" w:type="dxa"/>
          </w:tcPr>
          <w:p w14:paraId="52B8BCA6"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24</w:t>
            </w:r>
          </w:p>
        </w:tc>
        <w:tc>
          <w:tcPr>
            <w:tcW w:w="1927" w:type="dxa"/>
            <w:vAlign w:val="center"/>
          </w:tcPr>
          <w:p w14:paraId="52B8BCA7"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糠醛</w:t>
            </w:r>
          </w:p>
        </w:tc>
        <w:tc>
          <w:tcPr>
            <w:tcW w:w="1305" w:type="dxa"/>
          </w:tcPr>
          <w:p w14:paraId="52B8BCA8"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42</w:t>
            </w:r>
          </w:p>
        </w:tc>
        <w:tc>
          <w:tcPr>
            <w:tcW w:w="1700" w:type="dxa"/>
            <w:vAlign w:val="center"/>
          </w:tcPr>
          <w:p w14:paraId="52B8BCA9"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丙酸</w:t>
            </w:r>
          </w:p>
        </w:tc>
      </w:tr>
      <w:tr w:rsidR="001A4D72" w14:paraId="52B8BCB1" w14:textId="77777777">
        <w:trPr>
          <w:trHeight w:val="300"/>
        </w:trPr>
        <w:tc>
          <w:tcPr>
            <w:tcW w:w="1045" w:type="dxa"/>
          </w:tcPr>
          <w:p w14:paraId="52B8BCAB"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7</w:t>
            </w:r>
          </w:p>
        </w:tc>
        <w:tc>
          <w:tcPr>
            <w:tcW w:w="1303" w:type="dxa"/>
            <w:vAlign w:val="center"/>
          </w:tcPr>
          <w:p w14:paraId="52B8BCAC"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糖碱比</w:t>
            </w:r>
          </w:p>
        </w:tc>
        <w:tc>
          <w:tcPr>
            <w:tcW w:w="1135" w:type="dxa"/>
          </w:tcPr>
          <w:p w14:paraId="52B8BCAD"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25</w:t>
            </w:r>
          </w:p>
        </w:tc>
        <w:tc>
          <w:tcPr>
            <w:tcW w:w="1927" w:type="dxa"/>
            <w:vAlign w:val="center"/>
          </w:tcPr>
          <w:p w14:paraId="52B8BCAE"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5-</w:t>
            </w:r>
            <w:r>
              <w:rPr>
                <w:rFonts w:ascii="Times New Roman" w:eastAsia="宋体" w:hAnsi="Times New Roman" w:cs="宋体"/>
                <w:color w:val="000000"/>
                <w:kern w:val="0"/>
                <w:sz w:val="21"/>
              </w:rPr>
              <w:t>甲基糠醛</w:t>
            </w:r>
          </w:p>
        </w:tc>
        <w:tc>
          <w:tcPr>
            <w:tcW w:w="1305" w:type="dxa"/>
          </w:tcPr>
          <w:p w14:paraId="52B8BCAF"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43</w:t>
            </w:r>
          </w:p>
        </w:tc>
        <w:tc>
          <w:tcPr>
            <w:tcW w:w="1700" w:type="dxa"/>
            <w:vAlign w:val="center"/>
          </w:tcPr>
          <w:p w14:paraId="52B8BCB0"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2-</w:t>
            </w:r>
            <w:r>
              <w:rPr>
                <w:rFonts w:ascii="Times New Roman" w:eastAsia="宋体" w:hAnsi="Times New Roman" w:cs="宋体"/>
                <w:color w:val="000000"/>
                <w:kern w:val="0"/>
                <w:sz w:val="21"/>
              </w:rPr>
              <w:t>环戊烯酮</w:t>
            </w:r>
          </w:p>
        </w:tc>
      </w:tr>
      <w:tr w:rsidR="001A4D72" w14:paraId="52B8BCB8" w14:textId="77777777">
        <w:trPr>
          <w:trHeight w:val="300"/>
        </w:trPr>
        <w:tc>
          <w:tcPr>
            <w:tcW w:w="1045" w:type="dxa"/>
          </w:tcPr>
          <w:p w14:paraId="52B8BCB2"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8</w:t>
            </w:r>
          </w:p>
        </w:tc>
        <w:tc>
          <w:tcPr>
            <w:tcW w:w="1303" w:type="dxa"/>
            <w:vAlign w:val="center"/>
          </w:tcPr>
          <w:p w14:paraId="52B8BCB3"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绿原酸</w:t>
            </w:r>
          </w:p>
        </w:tc>
        <w:tc>
          <w:tcPr>
            <w:tcW w:w="1135" w:type="dxa"/>
          </w:tcPr>
          <w:p w14:paraId="52B8BCB4"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26</w:t>
            </w:r>
          </w:p>
        </w:tc>
        <w:tc>
          <w:tcPr>
            <w:tcW w:w="1927" w:type="dxa"/>
            <w:vAlign w:val="center"/>
          </w:tcPr>
          <w:p w14:paraId="52B8BCB5"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2,3’-</w:t>
            </w:r>
            <w:r>
              <w:rPr>
                <w:rFonts w:ascii="Times New Roman" w:eastAsia="宋体" w:hAnsi="Times New Roman" w:cs="宋体"/>
                <w:color w:val="000000"/>
                <w:kern w:val="0"/>
                <w:sz w:val="21"/>
              </w:rPr>
              <w:t>联吡啶</w:t>
            </w:r>
          </w:p>
        </w:tc>
        <w:tc>
          <w:tcPr>
            <w:tcW w:w="1305" w:type="dxa"/>
          </w:tcPr>
          <w:p w14:paraId="52B8BCB6"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44</w:t>
            </w:r>
          </w:p>
        </w:tc>
        <w:tc>
          <w:tcPr>
            <w:tcW w:w="1700" w:type="dxa"/>
            <w:vAlign w:val="center"/>
          </w:tcPr>
          <w:p w14:paraId="52B8BCB7"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甲基环戊烯醇酮</w:t>
            </w:r>
          </w:p>
        </w:tc>
      </w:tr>
      <w:tr w:rsidR="001A4D72" w14:paraId="52B8BCBF" w14:textId="77777777">
        <w:trPr>
          <w:trHeight w:val="300"/>
        </w:trPr>
        <w:tc>
          <w:tcPr>
            <w:tcW w:w="1045" w:type="dxa"/>
          </w:tcPr>
          <w:p w14:paraId="52B8BCB9"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9</w:t>
            </w:r>
          </w:p>
        </w:tc>
        <w:tc>
          <w:tcPr>
            <w:tcW w:w="1303" w:type="dxa"/>
            <w:vAlign w:val="center"/>
          </w:tcPr>
          <w:p w14:paraId="52B8BCBA"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芸香苷</w:t>
            </w:r>
          </w:p>
        </w:tc>
        <w:tc>
          <w:tcPr>
            <w:tcW w:w="1135" w:type="dxa"/>
          </w:tcPr>
          <w:p w14:paraId="52B8BCBB"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27</w:t>
            </w:r>
          </w:p>
        </w:tc>
        <w:tc>
          <w:tcPr>
            <w:tcW w:w="1927" w:type="dxa"/>
            <w:vAlign w:val="center"/>
          </w:tcPr>
          <w:p w14:paraId="52B8BCBC"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beta-</w:t>
            </w:r>
            <w:r>
              <w:rPr>
                <w:rFonts w:ascii="Times New Roman" w:eastAsia="宋体" w:hAnsi="Times New Roman" w:cs="宋体"/>
                <w:color w:val="000000"/>
                <w:kern w:val="0"/>
                <w:sz w:val="21"/>
              </w:rPr>
              <w:t>紫罗兰酮</w:t>
            </w:r>
          </w:p>
        </w:tc>
        <w:tc>
          <w:tcPr>
            <w:tcW w:w="1305" w:type="dxa"/>
          </w:tcPr>
          <w:p w14:paraId="52B8BCBD"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45</w:t>
            </w:r>
          </w:p>
        </w:tc>
        <w:tc>
          <w:tcPr>
            <w:tcW w:w="1700" w:type="dxa"/>
            <w:vAlign w:val="center"/>
          </w:tcPr>
          <w:p w14:paraId="52B8BCBE"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麦芽酚</w:t>
            </w:r>
          </w:p>
        </w:tc>
      </w:tr>
      <w:tr w:rsidR="001A4D72" w14:paraId="52B8BCC6" w14:textId="77777777">
        <w:trPr>
          <w:trHeight w:val="300"/>
        </w:trPr>
        <w:tc>
          <w:tcPr>
            <w:tcW w:w="1045" w:type="dxa"/>
          </w:tcPr>
          <w:p w14:paraId="52B8BCC0"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10</w:t>
            </w:r>
          </w:p>
        </w:tc>
        <w:tc>
          <w:tcPr>
            <w:tcW w:w="1303" w:type="dxa"/>
            <w:vAlign w:val="center"/>
          </w:tcPr>
          <w:p w14:paraId="52B8BCC1"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叶黄素</w:t>
            </w:r>
          </w:p>
        </w:tc>
        <w:tc>
          <w:tcPr>
            <w:tcW w:w="1135" w:type="dxa"/>
          </w:tcPr>
          <w:p w14:paraId="52B8BCC2"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28</w:t>
            </w:r>
          </w:p>
        </w:tc>
        <w:tc>
          <w:tcPr>
            <w:tcW w:w="1927" w:type="dxa"/>
            <w:vAlign w:val="center"/>
          </w:tcPr>
          <w:p w14:paraId="52B8BCC3"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菠萝呋喃酮</w:t>
            </w:r>
          </w:p>
        </w:tc>
        <w:tc>
          <w:tcPr>
            <w:tcW w:w="1305" w:type="dxa"/>
          </w:tcPr>
          <w:p w14:paraId="52B8BCC4"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46</w:t>
            </w:r>
          </w:p>
        </w:tc>
        <w:tc>
          <w:tcPr>
            <w:tcW w:w="1700" w:type="dxa"/>
            <w:vAlign w:val="center"/>
          </w:tcPr>
          <w:p w14:paraId="52B8BCC5"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草酸</w:t>
            </w:r>
          </w:p>
        </w:tc>
      </w:tr>
      <w:tr w:rsidR="001A4D72" w14:paraId="52B8BCCD" w14:textId="77777777">
        <w:trPr>
          <w:trHeight w:val="300"/>
        </w:trPr>
        <w:tc>
          <w:tcPr>
            <w:tcW w:w="1045" w:type="dxa"/>
          </w:tcPr>
          <w:p w14:paraId="52B8BCC7"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11</w:t>
            </w:r>
          </w:p>
        </w:tc>
        <w:tc>
          <w:tcPr>
            <w:tcW w:w="1303" w:type="dxa"/>
            <w:vAlign w:val="center"/>
          </w:tcPr>
          <w:p w14:paraId="52B8BCC8"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氮碱比</w:t>
            </w:r>
          </w:p>
        </w:tc>
        <w:tc>
          <w:tcPr>
            <w:tcW w:w="1135" w:type="dxa"/>
          </w:tcPr>
          <w:p w14:paraId="52B8BCC9"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29</w:t>
            </w:r>
          </w:p>
        </w:tc>
        <w:tc>
          <w:tcPr>
            <w:tcW w:w="1927" w:type="dxa"/>
            <w:vAlign w:val="center"/>
          </w:tcPr>
          <w:p w14:paraId="52B8BCCA"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苯甲醇</w:t>
            </w:r>
          </w:p>
        </w:tc>
        <w:tc>
          <w:tcPr>
            <w:tcW w:w="1305" w:type="dxa"/>
          </w:tcPr>
          <w:p w14:paraId="52B8BCCB"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47</w:t>
            </w:r>
          </w:p>
        </w:tc>
        <w:tc>
          <w:tcPr>
            <w:tcW w:w="1700" w:type="dxa"/>
            <w:vAlign w:val="center"/>
          </w:tcPr>
          <w:p w14:paraId="52B8BCCC"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丙二酸</w:t>
            </w:r>
          </w:p>
        </w:tc>
      </w:tr>
      <w:tr w:rsidR="001A4D72" w14:paraId="52B8BCD4" w14:textId="77777777">
        <w:trPr>
          <w:trHeight w:val="300"/>
        </w:trPr>
        <w:tc>
          <w:tcPr>
            <w:tcW w:w="1045" w:type="dxa"/>
          </w:tcPr>
          <w:p w14:paraId="52B8BCCE"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12</w:t>
            </w:r>
          </w:p>
        </w:tc>
        <w:tc>
          <w:tcPr>
            <w:tcW w:w="1303" w:type="dxa"/>
            <w:vAlign w:val="center"/>
          </w:tcPr>
          <w:p w14:paraId="52B8BCCF"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肌醇</w:t>
            </w:r>
          </w:p>
        </w:tc>
        <w:tc>
          <w:tcPr>
            <w:tcW w:w="1135" w:type="dxa"/>
          </w:tcPr>
          <w:p w14:paraId="52B8BCD0"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30</w:t>
            </w:r>
          </w:p>
        </w:tc>
        <w:tc>
          <w:tcPr>
            <w:tcW w:w="1927" w:type="dxa"/>
            <w:vAlign w:val="center"/>
          </w:tcPr>
          <w:p w14:paraId="52B8BCD1"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尼可他因</w:t>
            </w:r>
          </w:p>
        </w:tc>
        <w:tc>
          <w:tcPr>
            <w:tcW w:w="1305" w:type="dxa"/>
          </w:tcPr>
          <w:p w14:paraId="52B8BCD2"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48</w:t>
            </w:r>
          </w:p>
        </w:tc>
        <w:tc>
          <w:tcPr>
            <w:tcW w:w="1700" w:type="dxa"/>
            <w:vAlign w:val="center"/>
          </w:tcPr>
          <w:p w14:paraId="52B8BCD3"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烟碱</w:t>
            </w:r>
            <w:r>
              <w:rPr>
                <w:rFonts w:ascii="Times New Roman" w:eastAsia="宋体" w:hAnsi="Times New Roman" w:cs="宋体"/>
                <w:color w:val="000000"/>
                <w:kern w:val="0"/>
                <w:sz w:val="21"/>
              </w:rPr>
              <w:t>1</w:t>
            </w:r>
          </w:p>
        </w:tc>
      </w:tr>
      <w:tr w:rsidR="001A4D72" w14:paraId="52B8BCDB" w14:textId="77777777">
        <w:trPr>
          <w:trHeight w:val="300"/>
        </w:trPr>
        <w:tc>
          <w:tcPr>
            <w:tcW w:w="1045" w:type="dxa"/>
          </w:tcPr>
          <w:p w14:paraId="52B8BCD5"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13</w:t>
            </w:r>
          </w:p>
        </w:tc>
        <w:tc>
          <w:tcPr>
            <w:tcW w:w="1303" w:type="dxa"/>
            <w:vAlign w:val="center"/>
          </w:tcPr>
          <w:p w14:paraId="52B8BCD6"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脯氨酸</w:t>
            </w:r>
          </w:p>
        </w:tc>
        <w:tc>
          <w:tcPr>
            <w:tcW w:w="1135" w:type="dxa"/>
          </w:tcPr>
          <w:p w14:paraId="52B8BCD7"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31</w:t>
            </w:r>
          </w:p>
        </w:tc>
        <w:tc>
          <w:tcPr>
            <w:tcW w:w="1927" w:type="dxa"/>
            <w:vAlign w:val="center"/>
          </w:tcPr>
          <w:p w14:paraId="52B8BCD8"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乙基环戊烯醇酮</w:t>
            </w:r>
          </w:p>
        </w:tc>
        <w:tc>
          <w:tcPr>
            <w:tcW w:w="1305" w:type="dxa"/>
          </w:tcPr>
          <w:p w14:paraId="52B8BCD9"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49</w:t>
            </w:r>
          </w:p>
        </w:tc>
        <w:tc>
          <w:tcPr>
            <w:tcW w:w="1700" w:type="dxa"/>
            <w:vAlign w:val="center"/>
          </w:tcPr>
          <w:p w14:paraId="52B8BCDA"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烟碱</w:t>
            </w:r>
            <w:r>
              <w:rPr>
                <w:rFonts w:ascii="Times New Roman" w:eastAsia="宋体" w:hAnsi="Times New Roman" w:cs="宋体"/>
                <w:color w:val="000000"/>
                <w:kern w:val="0"/>
                <w:sz w:val="21"/>
              </w:rPr>
              <w:t>2</w:t>
            </w:r>
          </w:p>
        </w:tc>
      </w:tr>
      <w:tr w:rsidR="001A4D72" w14:paraId="52B8BCE2" w14:textId="77777777">
        <w:trPr>
          <w:trHeight w:val="300"/>
        </w:trPr>
        <w:tc>
          <w:tcPr>
            <w:tcW w:w="1045" w:type="dxa"/>
          </w:tcPr>
          <w:p w14:paraId="52B8BCDC"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14</w:t>
            </w:r>
          </w:p>
        </w:tc>
        <w:tc>
          <w:tcPr>
            <w:tcW w:w="1303" w:type="dxa"/>
            <w:vAlign w:val="center"/>
          </w:tcPr>
          <w:p w14:paraId="52B8BCDD"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亚油酸</w:t>
            </w:r>
          </w:p>
        </w:tc>
        <w:tc>
          <w:tcPr>
            <w:tcW w:w="1135" w:type="dxa"/>
          </w:tcPr>
          <w:p w14:paraId="52B8BCDE"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32</w:t>
            </w:r>
          </w:p>
        </w:tc>
        <w:tc>
          <w:tcPr>
            <w:tcW w:w="1927" w:type="dxa"/>
            <w:vAlign w:val="center"/>
          </w:tcPr>
          <w:p w14:paraId="52B8BCDF"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3-</w:t>
            </w:r>
            <w:r>
              <w:rPr>
                <w:rFonts w:ascii="Times New Roman" w:eastAsia="宋体" w:hAnsi="Times New Roman" w:cs="宋体"/>
                <w:color w:val="000000"/>
                <w:kern w:val="0"/>
                <w:sz w:val="21"/>
              </w:rPr>
              <w:t>甲基</w:t>
            </w:r>
            <w:r>
              <w:rPr>
                <w:rFonts w:ascii="Times New Roman" w:eastAsia="宋体" w:hAnsi="Times New Roman" w:cs="宋体"/>
                <w:color w:val="000000"/>
                <w:kern w:val="0"/>
                <w:sz w:val="21"/>
              </w:rPr>
              <w:t>-2-</w:t>
            </w:r>
            <w:r>
              <w:rPr>
                <w:rFonts w:ascii="Times New Roman" w:eastAsia="宋体" w:hAnsi="Times New Roman" w:cs="宋体"/>
                <w:color w:val="000000"/>
                <w:kern w:val="0"/>
                <w:sz w:val="21"/>
              </w:rPr>
              <w:t>环戊烯酮</w:t>
            </w:r>
          </w:p>
        </w:tc>
        <w:tc>
          <w:tcPr>
            <w:tcW w:w="1305" w:type="dxa"/>
          </w:tcPr>
          <w:p w14:paraId="52B8BCE0"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50</w:t>
            </w:r>
          </w:p>
        </w:tc>
        <w:tc>
          <w:tcPr>
            <w:tcW w:w="1700" w:type="dxa"/>
            <w:vAlign w:val="center"/>
          </w:tcPr>
          <w:p w14:paraId="52B8BCE1"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总氮</w:t>
            </w:r>
          </w:p>
        </w:tc>
      </w:tr>
      <w:tr w:rsidR="001A4D72" w14:paraId="52B8BCE9" w14:textId="77777777">
        <w:trPr>
          <w:trHeight w:val="300"/>
        </w:trPr>
        <w:tc>
          <w:tcPr>
            <w:tcW w:w="1045" w:type="dxa"/>
          </w:tcPr>
          <w:p w14:paraId="52B8BCE3"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15</w:t>
            </w:r>
          </w:p>
        </w:tc>
        <w:tc>
          <w:tcPr>
            <w:tcW w:w="1303" w:type="dxa"/>
            <w:vAlign w:val="center"/>
          </w:tcPr>
          <w:p w14:paraId="52B8BCE4"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糖醇</w:t>
            </w:r>
          </w:p>
        </w:tc>
        <w:tc>
          <w:tcPr>
            <w:tcW w:w="1135" w:type="dxa"/>
          </w:tcPr>
          <w:p w14:paraId="52B8BCE5"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33</w:t>
            </w:r>
          </w:p>
        </w:tc>
        <w:tc>
          <w:tcPr>
            <w:tcW w:w="1927" w:type="dxa"/>
            <w:vAlign w:val="center"/>
          </w:tcPr>
          <w:p w14:paraId="52B8BCE6"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2-</w:t>
            </w:r>
            <w:r>
              <w:rPr>
                <w:rFonts w:ascii="Times New Roman" w:eastAsia="宋体" w:hAnsi="Times New Roman" w:cs="宋体"/>
                <w:color w:val="000000"/>
                <w:kern w:val="0"/>
                <w:sz w:val="21"/>
              </w:rPr>
              <w:t>甲基吡啶</w:t>
            </w:r>
          </w:p>
        </w:tc>
        <w:tc>
          <w:tcPr>
            <w:tcW w:w="1305" w:type="dxa"/>
          </w:tcPr>
          <w:p w14:paraId="52B8BCE7"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51</w:t>
            </w:r>
          </w:p>
        </w:tc>
        <w:tc>
          <w:tcPr>
            <w:tcW w:w="1700" w:type="dxa"/>
            <w:vAlign w:val="center"/>
          </w:tcPr>
          <w:p w14:paraId="52B8BCE8"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柠檬酸</w:t>
            </w:r>
          </w:p>
        </w:tc>
      </w:tr>
      <w:tr w:rsidR="001A4D72" w14:paraId="52B8BCF0" w14:textId="77777777">
        <w:trPr>
          <w:trHeight w:val="300"/>
        </w:trPr>
        <w:tc>
          <w:tcPr>
            <w:tcW w:w="1045" w:type="dxa"/>
          </w:tcPr>
          <w:p w14:paraId="52B8BCEA"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16</w:t>
            </w:r>
          </w:p>
        </w:tc>
        <w:tc>
          <w:tcPr>
            <w:tcW w:w="1303" w:type="dxa"/>
            <w:vAlign w:val="center"/>
          </w:tcPr>
          <w:p w14:paraId="52B8BCEB"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巨豆三烯酮</w:t>
            </w:r>
          </w:p>
        </w:tc>
        <w:tc>
          <w:tcPr>
            <w:tcW w:w="1135" w:type="dxa"/>
          </w:tcPr>
          <w:p w14:paraId="52B8BCEC"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34</w:t>
            </w:r>
          </w:p>
        </w:tc>
        <w:tc>
          <w:tcPr>
            <w:tcW w:w="1927" w:type="dxa"/>
            <w:vAlign w:val="center"/>
          </w:tcPr>
          <w:p w14:paraId="52B8BCED"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二氢猕猴桃内酯</w:t>
            </w:r>
          </w:p>
        </w:tc>
        <w:tc>
          <w:tcPr>
            <w:tcW w:w="1305" w:type="dxa"/>
          </w:tcPr>
          <w:p w14:paraId="52B8BCEE"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52</w:t>
            </w:r>
          </w:p>
        </w:tc>
        <w:tc>
          <w:tcPr>
            <w:tcW w:w="1700" w:type="dxa"/>
            <w:vAlign w:val="center"/>
          </w:tcPr>
          <w:p w14:paraId="52B8BCEF"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棕榈酸</w:t>
            </w:r>
          </w:p>
        </w:tc>
      </w:tr>
      <w:tr w:rsidR="001A4D72" w14:paraId="52B8BCF7" w14:textId="77777777">
        <w:trPr>
          <w:trHeight w:val="300"/>
        </w:trPr>
        <w:tc>
          <w:tcPr>
            <w:tcW w:w="1045" w:type="dxa"/>
          </w:tcPr>
          <w:p w14:paraId="52B8BCF1"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17</w:t>
            </w:r>
          </w:p>
        </w:tc>
        <w:tc>
          <w:tcPr>
            <w:tcW w:w="1303" w:type="dxa"/>
            <w:vAlign w:val="center"/>
          </w:tcPr>
          <w:p w14:paraId="52B8BCF2"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油酸</w:t>
            </w:r>
          </w:p>
        </w:tc>
        <w:tc>
          <w:tcPr>
            <w:tcW w:w="1135" w:type="dxa"/>
          </w:tcPr>
          <w:p w14:paraId="52B8BCF3"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35</w:t>
            </w:r>
          </w:p>
        </w:tc>
        <w:tc>
          <w:tcPr>
            <w:tcW w:w="1927" w:type="dxa"/>
            <w:vAlign w:val="center"/>
          </w:tcPr>
          <w:p w14:paraId="52B8BCF4"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3-</w:t>
            </w:r>
            <w:r>
              <w:rPr>
                <w:rFonts w:ascii="Times New Roman" w:eastAsia="宋体" w:hAnsi="Times New Roman" w:cs="宋体"/>
                <w:color w:val="000000"/>
                <w:kern w:val="0"/>
                <w:sz w:val="21"/>
              </w:rPr>
              <w:t>乙基</w:t>
            </w:r>
            <w:r>
              <w:rPr>
                <w:rFonts w:ascii="Times New Roman" w:eastAsia="宋体" w:hAnsi="Times New Roman" w:cs="宋体"/>
                <w:color w:val="000000"/>
                <w:kern w:val="0"/>
                <w:sz w:val="21"/>
              </w:rPr>
              <w:t>-2-</w:t>
            </w:r>
            <w:r>
              <w:rPr>
                <w:rFonts w:ascii="Times New Roman" w:eastAsia="宋体" w:hAnsi="Times New Roman" w:cs="宋体"/>
                <w:color w:val="000000"/>
                <w:kern w:val="0"/>
                <w:sz w:val="21"/>
              </w:rPr>
              <w:t>环戊烯酮</w:t>
            </w:r>
          </w:p>
        </w:tc>
        <w:tc>
          <w:tcPr>
            <w:tcW w:w="1305" w:type="dxa"/>
          </w:tcPr>
          <w:p w14:paraId="52B8BCF5"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53</w:t>
            </w:r>
          </w:p>
        </w:tc>
        <w:tc>
          <w:tcPr>
            <w:tcW w:w="1700" w:type="dxa"/>
            <w:vAlign w:val="center"/>
          </w:tcPr>
          <w:p w14:paraId="52B8BCF6"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烟碱</w:t>
            </w:r>
            <w:r>
              <w:rPr>
                <w:rFonts w:ascii="Times New Roman" w:eastAsia="宋体" w:hAnsi="Times New Roman" w:cs="宋体"/>
                <w:color w:val="000000"/>
                <w:kern w:val="0"/>
                <w:sz w:val="21"/>
              </w:rPr>
              <w:t>3</w:t>
            </w:r>
          </w:p>
        </w:tc>
      </w:tr>
      <w:tr w:rsidR="001A4D72" w14:paraId="52B8BCFE" w14:textId="77777777">
        <w:trPr>
          <w:trHeight w:val="300"/>
        </w:trPr>
        <w:tc>
          <w:tcPr>
            <w:tcW w:w="1045" w:type="dxa"/>
            <w:tcBorders>
              <w:top w:val="single" w:sz="12" w:space="0" w:color="000000"/>
              <w:bottom w:val="single" w:sz="12" w:space="0" w:color="000000"/>
            </w:tcBorders>
          </w:tcPr>
          <w:p w14:paraId="52B8BCF8"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18</w:t>
            </w:r>
          </w:p>
        </w:tc>
        <w:tc>
          <w:tcPr>
            <w:tcW w:w="1303" w:type="dxa"/>
            <w:tcBorders>
              <w:top w:val="single" w:sz="12" w:space="0" w:color="000000"/>
              <w:bottom w:val="single" w:sz="12" w:space="0" w:color="000000"/>
            </w:tcBorders>
            <w:vAlign w:val="center"/>
          </w:tcPr>
          <w:p w14:paraId="52B8BCF9"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麦司明</w:t>
            </w:r>
          </w:p>
        </w:tc>
        <w:tc>
          <w:tcPr>
            <w:tcW w:w="1135" w:type="dxa"/>
            <w:tcBorders>
              <w:top w:val="single" w:sz="12" w:space="0" w:color="000000"/>
              <w:bottom w:val="single" w:sz="12" w:space="0" w:color="000000"/>
            </w:tcBorders>
          </w:tcPr>
          <w:p w14:paraId="52B8BCFA"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36</w:t>
            </w:r>
          </w:p>
        </w:tc>
        <w:tc>
          <w:tcPr>
            <w:tcW w:w="1927" w:type="dxa"/>
            <w:tcBorders>
              <w:top w:val="single" w:sz="12" w:space="0" w:color="000000"/>
              <w:bottom w:val="single" w:sz="12" w:space="0" w:color="000000"/>
            </w:tcBorders>
            <w:vAlign w:val="center"/>
          </w:tcPr>
          <w:p w14:paraId="52B8BCFB"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丁香酚</w:t>
            </w:r>
          </w:p>
        </w:tc>
        <w:tc>
          <w:tcPr>
            <w:tcW w:w="1305" w:type="dxa"/>
            <w:tcBorders>
              <w:top w:val="single" w:sz="12" w:space="0" w:color="000000"/>
              <w:bottom w:val="single" w:sz="12" w:space="0" w:color="000000"/>
            </w:tcBorders>
            <w:vAlign w:val="center"/>
          </w:tcPr>
          <w:p w14:paraId="52B8BCFC" w14:textId="77777777" w:rsidR="001A4D72" w:rsidRDefault="001A4D72">
            <w:pPr>
              <w:widowControl/>
              <w:jc w:val="center"/>
              <w:rPr>
                <w:rFonts w:ascii="Times New Roman" w:eastAsia="宋体" w:hAnsi="Times New Roman" w:cs="宋体"/>
                <w:color w:val="000000"/>
                <w:kern w:val="0"/>
                <w:sz w:val="21"/>
              </w:rPr>
            </w:pPr>
          </w:p>
        </w:tc>
        <w:tc>
          <w:tcPr>
            <w:tcW w:w="1700" w:type="dxa"/>
            <w:tcBorders>
              <w:top w:val="single" w:sz="12" w:space="0" w:color="000000"/>
              <w:bottom w:val="single" w:sz="12" w:space="0" w:color="000000"/>
            </w:tcBorders>
            <w:vAlign w:val="center"/>
          </w:tcPr>
          <w:p w14:paraId="52B8BCFD" w14:textId="77777777" w:rsidR="001A4D72" w:rsidRDefault="001A4D72">
            <w:pPr>
              <w:widowControl/>
              <w:jc w:val="center"/>
              <w:rPr>
                <w:rFonts w:ascii="Times New Roman" w:eastAsia="宋体" w:hAnsi="Times New Roman" w:cs="宋体"/>
                <w:color w:val="000000"/>
                <w:kern w:val="0"/>
                <w:sz w:val="21"/>
              </w:rPr>
            </w:pPr>
          </w:p>
        </w:tc>
      </w:tr>
    </w:tbl>
    <w:p w14:paraId="52B8BCFF" w14:textId="77777777" w:rsidR="001A4D72" w:rsidRDefault="00000000">
      <w:pPr>
        <w:spacing w:line="276" w:lineRule="auto"/>
        <w:ind w:firstLine="400"/>
        <w:rPr>
          <w:rFonts w:ascii="Times New Roman" w:eastAsia="宋体" w:hAnsi="Times New Roman" w:cs="Times New Roman"/>
          <w:sz w:val="20"/>
          <w:szCs w:val="21"/>
        </w:rPr>
      </w:pPr>
      <w:r>
        <w:rPr>
          <w:rFonts w:ascii="Times New Roman" w:eastAsia="宋体" w:hAnsi="Times New Roman" w:cs="Times New Roman"/>
          <w:sz w:val="20"/>
          <w:szCs w:val="21"/>
        </w:rPr>
        <w:t>注：烟碱</w:t>
      </w:r>
      <w:r>
        <w:rPr>
          <w:rFonts w:ascii="Times New Roman" w:eastAsia="宋体" w:hAnsi="Times New Roman" w:cs="Times New Roman"/>
          <w:sz w:val="20"/>
          <w:szCs w:val="21"/>
        </w:rPr>
        <w:t>1</w:t>
      </w:r>
      <w:r>
        <w:rPr>
          <w:rFonts w:ascii="Times New Roman" w:eastAsia="宋体" w:hAnsi="Times New Roman" w:cs="Times New Roman"/>
          <w:sz w:val="20"/>
          <w:szCs w:val="21"/>
        </w:rPr>
        <w:t>为烟草粉末香味物质检出，烟碱</w:t>
      </w:r>
      <w:r>
        <w:rPr>
          <w:rFonts w:ascii="Times New Roman" w:eastAsia="宋体" w:hAnsi="Times New Roman" w:cs="Times New Roman"/>
          <w:sz w:val="20"/>
          <w:szCs w:val="21"/>
        </w:rPr>
        <w:t>2</w:t>
      </w:r>
      <w:r>
        <w:rPr>
          <w:rFonts w:ascii="Times New Roman" w:eastAsia="宋体" w:hAnsi="Times New Roman" w:cs="Times New Roman"/>
          <w:sz w:val="20"/>
          <w:szCs w:val="21"/>
        </w:rPr>
        <w:t>为常规化学成分检出，烟碱</w:t>
      </w:r>
      <w:r>
        <w:rPr>
          <w:rFonts w:ascii="Times New Roman" w:eastAsia="宋体" w:hAnsi="Times New Roman" w:cs="Times New Roman"/>
          <w:sz w:val="20"/>
          <w:szCs w:val="21"/>
        </w:rPr>
        <w:t>3</w:t>
      </w:r>
      <w:r>
        <w:rPr>
          <w:rFonts w:ascii="Times New Roman" w:eastAsia="宋体" w:hAnsi="Times New Roman" w:cs="Times New Roman"/>
          <w:sz w:val="20"/>
          <w:szCs w:val="21"/>
        </w:rPr>
        <w:t>为烟气成分检出。</w:t>
      </w:r>
    </w:p>
    <w:p w14:paraId="52B8BD00" w14:textId="77777777" w:rsidR="001A4D72" w:rsidRDefault="00000000">
      <w:pPr>
        <w:spacing w:line="360" w:lineRule="auto"/>
        <w:ind w:firstLine="420"/>
        <w:jc w:val="center"/>
        <w:rPr>
          <w:rFonts w:ascii="Times New Roman" w:eastAsia="宋体" w:hAnsi="Times New Roman" w:cs="Times New Roman"/>
          <w:sz w:val="21"/>
          <w:szCs w:val="21"/>
        </w:rPr>
      </w:pPr>
      <w:r>
        <w:rPr>
          <w:noProof/>
        </w:rPr>
        <w:lastRenderedPageBreak/>
        <w:drawing>
          <wp:inline distT="0" distB="0" distL="0" distR="0" wp14:anchorId="52B8BE9B" wp14:editId="52B8BE9C">
            <wp:extent cx="4565015" cy="2847340"/>
            <wp:effectExtent l="0" t="0" r="0" b="0"/>
            <wp:docPr id="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pic:cNvPicPr>
                      <a:picLocks noChangeAspect="1" noChangeArrowheads="1"/>
                    </pic:cNvPicPr>
                  </pic:nvPicPr>
                  <pic:blipFill>
                    <a:blip r:embed="rId7"/>
                    <a:stretch>
                      <a:fillRect/>
                    </a:stretch>
                  </pic:blipFill>
                  <pic:spPr bwMode="auto">
                    <a:xfrm>
                      <a:off x="0" y="0"/>
                      <a:ext cx="4565015" cy="2847340"/>
                    </a:xfrm>
                    <a:prstGeom prst="rect">
                      <a:avLst/>
                    </a:prstGeom>
                  </pic:spPr>
                </pic:pic>
              </a:graphicData>
            </a:graphic>
          </wp:inline>
        </w:drawing>
      </w:r>
    </w:p>
    <w:p w14:paraId="52B8BD01" w14:textId="77777777" w:rsidR="001A4D72" w:rsidRDefault="00000000">
      <w:pPr>
        <w:spacing w:line="360" w:lineRule="auto"/>
        <w:ind w:firstLine="421"/>
        <w:jc w:val="center"/>
        <w:rPr>
          <w:rFonts w:ascii="Times New Roman" w:eastAsia="宋体" w:hAnsi="Times New Roman" w:cs="Times New Roman"/>
          <w:b/>
          <w:sz w:val="21"/>
          <w:szCs w:val="21"/>
        </w:rPr>
      </w:pPr>
      <w:commentRangeStart w:id="24"/>
      <w:r>
        <w:rPr>
          <w:rFonts w:ascii="Times New Roman" w:eastAsia="宋体" w:hAnsi="Times New Roman" w:cs="Times New Roman"/>
          <w:b/>
          <w:sz w:val="21"/>
          <w:szCs w:val="21"/>
        </w:rPr>
        <w:t>图</w:t>
      </w:r>
      <w:r>
        <w:rPr>
          <w:rFonts w:ascii="Times New Roman" w:eastAsia="宋体" w:hAnsi="Times New Roman" w:cs="Times New Roman"/>
          <w:b/>
          <w:sz w:val="21"/>
          <w:szCs w:val="21"/>
        </w:rPr>
        <w:t xml:space="preserve">1 </w:t>
      </w:r>
      <w:r>
        <w:rPr>
          <w:rFonts w:ascii="Times New Roman" w:eastAsia="宋体" w:hAnsi="Times New Roman" w:cs="Times New Roman"/>
          <w:b/>
          <w:sz w:val="21"/>
          <w:szCs w:val="21"/>
        </w:rPr>
        <w:t>不同酸感分组样品的</w:t>
      </w:r>
      <w:r>
        <w:rPr>
          <w:rFonts w:ascii="Times New Roman" w:eastAsia="宋体" w:hAnsi="Times New Roman" w:cs="Times New Roman"/>
          <w:b/>
          <w:sz w:val="21"/>
          <w:szCs w:val="21"/>
        </w:rPr>
        <w:t>OPLS-DA</w:t>
      </w:r>
      <w:r>
        <w:rPr>
          <w:rFonts w:ascii="Times New Roman" w:eastAsia="宋体" w:hAnsi="Times New Roman" w:cs="Times New Roman"/>
          <w:b/>
          <w:sz w:val="21"/>
          <w:szCs w:val="21"/>
        </w:rPr>
        <w:t>预测模型性能指标</w:t>
      </w:r>
      <w:commentRangeEnd w:id="24"/>
      <w:r>
        <w:rPr>
          <w:rStyle w:val="a4"/>
          <w:rFonts w:ascii="Times New Roman" w:eastAsia="宋体" w:hAnsi="Times New Roman" w:cs="Times New Roman"/>
          <w:b/>
        </w:rPr>
        <w:commentReference w:id="24"/>
      </w:r>
    </w:p>
    <w:p w14:paraId="52B8BD02" w14:textId="77777777" w:rsidR="001A4D72" w:rsidRDefault="00000000">
      <w:pPr>
        <w:spacing w:line="360" w:lineRule="auto"/>
        <w:ind w:firstLine="421"/>
        <w:jc w:val="center"/>
        <w:rPr>
          <w:rFonts w:ascii="Times New Roman" w:eastAsia="宋体" w:hAnsi="Times New Roman" w:cs="Times New Roman"/>
          <w:b/>
          <w:sz w:val="21"/>
          <w:szCs w:val="21"/>
        </w:rPr>
      </w:pPr>
      <w:r>
        <w:rPr>
          <w:rFonts w:ascii="Times New Roman" w:eastAsia="宋体" w:hAnsi="Times New Roman" w:cs="Times New Roman"/>
          <w:b/>
          <w:sz w:val="21"/>
          <w:szCs w:val="21"/>
        </w:rPr>
        <w:t>Fig.1 The performance indexes of OPLS-DA prediction model for samples with different acid sensitivity groups</w:t>
      </w:r>
    </w:p>
    <w:p w14:paraId="52B8BD03" w14:textId="77777777" w:rsidR="001A4D72" w:rsidRDefault="001A4D72">
      <w:pPr>
        <w:spacing w:line="360" w:lineRule="auto"/>
        <w:ind w:firstLine="420"/>
        <w:jc w:val="left"/>
        <w:rPr>
          <w:rFonts w:ascii="Times New Roman" w:eastAsia="宋体" w:hAnsi="Times New Roman" w:cs="Times New Roman"/>
          <w:sz w:val="21"/>
          <w:szCs w:val="21"/>
        </w:rPr>
      </w:pPr>
    </w:p>
    <w:p w14:paraId="52B8BD04" w14:textId="77777777" w:rsidR="001A4D72" w:rsidRDefault="00000000">
      <w:pPr>
        <w:spacing w:line="360" w:lineRule="auto"/>
        <w:ind w:firstLine="420"/>
        <w:jc w:val="left"/>
        <w:rPr>
          <w:rFonts w:ascii="Times New Roman" w:eastAsia="宋体" w:hAnsi="Times New Roman" w:cs="Times New Roman"/>
          <w:sz w:val="21"/>
          <w:szCs w:val="21"/>
        </w:rPr>
      </w:pPr>
      <w:r>
        <w:rPr>
          <w:noProof/>
        </w:rPr>
        <w:drawing>
          <wp:inline distT="0" distB="0" distL="0" distR="0" wp14:anchorId="52B8BE9D" wp14:editId="52B8BE9E">
            <wp:extent cx="5172075" cy="2943225"/>
            <wp:effectExtent l="0" t="0" r="0" b="0"/>
            <wp:docPr id="2"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形 4"/>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5172075" cy="2943225"/>
                    </a:xfrm>
                    <a:prstGeom prst="rect">
                      <a:avLst/>
                    </a:prstGeom>
                  </pic:spPr>
                </pic:pic>
              </a:graphicData>
            </a:graphic>
          </wp:inline>
        </w:drawing>
      </w:r>
    </w:p>
    <w:p w14:paraId="52B8BD05" w14:textId="77777777" w:rsidR="001A4D72" w:rsidRDefault="00000000">
      <w:pPr>
        <w:spacing w:line="360" w:lineRule="auto"/>
        <w:ind w:firstLine="421"/>
        <w:jc w:val="center"/>
        <w:rPr>
          <w:rFonts w:ascii="Times New Roman" w:eastAsia="宋体" w:hAnsi="Times New Roman" w:cs="Times New Roman"/>
          <w:b/>
          <w:sz w:val="21"/>
          <w:szCs w:val="21"/>
        </w:rPr>
      </w:pPr>
      <w:r>
        <w:rPr>
          <w:rFonts w:ascii="Times New Roman" w:eastAsia="宋体" w:hAnsi="Times New Roman" w:cs="Times New Roman"/>
          <w:b/>
          <w:sz w:val="21"/>
          <w:szCs w:val="21"/>
        </w:rPr>
        <w:t>图</w:t>
      </w:r>
      <w:r>
        <w:rPr>
          <w:rFonts w:ascii="Times New Roman" w:eastAsia="宋体" w:hAnsi="Times New Roman" w:cs="Times New Roman"/>
          <w:b/>
          <w:sz w:val="21"/>
          <w:szCs w:val="21"/>
        </w:rPr>
        <w:t>2 OPLS-DA</w:t>
      </w:r>
      <w:r>
        <w:rPr>
          <w:rFonts w:ascii="Times New Roman" w:eastAsia="宋体" w:hAnsi="Times New Roman" w:cs="Times New Roman"/>
          <w:b/>
          <w:sz w:val="21"/>
          <w:szCs w:val="21"/>
        </w:rPr>
        <w:t>与</w:t>
      </w:r>
      <w:r>
        <w:rPr>
          <w:rFonts w:ascii="Times New Roman" w:eastAsia="宋体" w:hAnsi="Times New Roman" w:cs="Times New Roman"/>
          <w:b/>
          <w:sz w:val="21"/>
          <w:szCs w:val="21"/>
        </w:rPr>
        <w:t>Boruta</w:t>
      </w:r>
      <w:r>
        <w:rPr>
          <w:rFonts w:ascii="Times New Roman" w:eastAsia="宋体" w:hAnsi="Times New Roman" w:cs="Times New Roman"/>
          <w:b/>
          <w:sz w:val="21"/>
          <w:szCs w:val="21"/>
        </w:rPr>
        <w:t>算法筛选的差异化学物质韦恩图</w:t>
      </w:r>
    </w:p>
    <w:p w14:paraId="52B8BD06" w14:textId="77777777" w:rsidR="001A4D72" w:rsidRDefault="00000000">
      <w:pPr>
        <w:spacing w:line="360" w:lineRule="auto"/>
        <w:ind w:firstLine="421"/>
        <w:jc w:val="center"/>
        <w:rPr>
          <w:rFonts w:ascii="Times New Roman" w:eastAsia="宋体" w:hAnsi="Times New Roman" w:cs="Times New Roman"/>
          <w:b/>
          <w:sz w:val="21"/>
          <w:szCs w:val="21"/>
        </w:rPr>
      </w:pPr>
      <w:r>
        <w:rPr>
          <w:rFonts w:ascii="Times New Roman" w:eastAsia="宋体" w:hAnsi="Times New Roman" w:cs="Times New Roman"/>
          <w:b/>
          <w:sz w:val="21"/>
          <w:szCs w:val="21"/>
        </w:rPr>
        <w:t>Fig.2 Wayne diagram of differential chemical substances screened by OPLS-DA and Boruta algorithm</w:t>
      </w:r>
    </w:p>
    <w:p w14:paraId="52B8BD07" w14:textId="77777777" w:rsidR="001A4D72" w:rsidRDefault="00000000">
      <w:pPr>
        <w:spacing w:line="360" w:lineRule="auto"/>
        <w:ind w:firstLine="420"/>
        <w:jc w:val="left"/>
        <w:rPr>
          <w:rFonts w:ascii="Times New Roman" w:eastAsia="宋体" w:hAnsi="Times New Roman" w:cs="Times New Roman"/>
          <w:sz w:val="21"/>
          <w:szCs w:val="21"/>
        </w:rPr>
      </w:pPr>
      <w:r>
        <w:rPr>
          <w:noProof/>
        </w:rPr>
        <w:lastRenderedPageBreak/>
        <w:drawing>
          <wp:inline distT="0" distB="0" distL="0" distR="0" wp14:anchorId="52B8BE9F" wp14:editId="52B8BEA0">
            <wp:extent cx="4705350" cy="3131820"/>
            <wp:effectExtent l="0" t="0" r="0" b="0"/>
            <wp:docPr id="3" name="图形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形 16"/>
                    <pic:cNvPicPr>
                      <a:picLocks noChangeAspect="1" noChangeArrowheads="1"/>
                    </pic:cNvPicPr>
                  </pic:nvPicPr>
                  <pic:blipFill>
                    <a:blip r:embed="rId10">
                      <a:extLst>
                        <a:ext uri="{96DAC541-7B7A-43D3-8B79-37D633B846F1}">
                          <asvg:svgBlip xmlns:asvg="http://schemas.microsoft.com/office/drawing/2016/SVG/main" r:embed="rId11"/>
                        </a:ext>
                      </a:extLst>
                    </a:blip>
                    <a:stretch>
                      <a:fillRect/>
                    </a:stretch>
                  </pic:blipFill>
                  <pic:spPr bwMode="auto">
                    <a:xfrm>
                      <a:off x="0" y="0"/>
                      <a:ext cx="4705350" cy="3131820"/>
                    </a:xfrm>
                    <a:prstGeom prst="rect">
                      <a:avLst/>
                    </a:prstGeom>
                  </pic:spPr>
                </pic:pic>
              </a:graphicData>
            </a:graphic>
          </wp:inline>
        </w:drawing>
      </w:r>
    </w:p>
    <w:p w14:paraId="52B8BD08" w14:textId="77777777" w:rsidR="001A4D72" w:rsidRDefault="00000000">
      <w:pPr>
        <w:spacing w:line="360" w:lineRule="auto"/>
        <w:ind w:firstLine="421"/>
        <w:jc w:val="center"/>
        <w:rPr>
          <w:rFonts w:ascii="Times New Roman" w:eastAsia="宋体" w:hAnsi="Times New Roman" w:cs="Times New Roman"/>
          <w:b/>
          <w:sz w:val="21"/>
          <w:szCs w:val="21"/>
        </w:rPr>
      </w:pPr>
      <w:commentRangeStart w:id="25"/>
      <w:r>
        <w:rPr>
          <w:rFonts w:ascii="Times New Roman" w:eastAsia="宋体" w:hAnsi="Times New Roman" w:cs="Times New Roman"/>
          <w:b/>
          <w:sz w:val="21"/>
          <w:szCs w:val="21"/>
        </w:rPr>
        <w:t>图</w:t>
      </w:r>
      <w:r>
        <w:rPr>
          <w:rFonts w:ascii="Times New Roman" w:eastAsia="宋体" w:hAnsi="Times New Roman" w:cs="Times New Roman"/>
          <w:b/>
          <w:sz w:val="21"/>
          <w:szCs w:val="21"/>
        </w:rPr>
        <w:t xml:space="preserve">3 </w:t>
      </w:r>
      <w:r>
        <w:rPr>
          <w:rFonts w:ascii="Times New Roman" w:eastAsia="宋体" w:hAnsi="Times New Roman" w:cs="Times New Roman"/>
          <w:b/>
          <w:sz w:val="21"/>
          <w:szCs w:val="21"/>
        </w:rPr>
        <w:t>候选核心化学物质的层次聚类热图</w:t>
      </w:r>
      <w:commentRangeEnd w:id="25"/>
      <w:r>
        <w:rPr>
          <w:rStyle w:val="a4"/>
          <w:rFonts w:ascii="Times New Roman" w:eastAsia="宋体" w:hAnsi="Times New Roman" w:cs="Times New Roman"/>
          <w:b/>
        </w:rPr>
        <w:commentReference w:id="25"/>
      </w:r>
    </w:p>
    <w:p w14:paraId="52B8BD09" w14:textId="77777777" w:rsidR="001A4D72" w:rsidRDefault="00000000">
      <w:pPr>
        <w:spacing w:line="360" w:lineRule="auto"/>
        <w:ind w:firstLine="421"/>
        <w:jc w:val="center"/>
        <w:rPr>
          <w:rFonts w:ascii="Times New Roman" w:eastAsia="宋体" w:hAnsi="Times New Roman" w:cs="Times New Roman"/>
          <w:b/>
          <w:sz w:val="21"/>
          <w:szCs w:val="21"/>
        </w:rPr>
      </w:pPr>
      <w:r>
        <w:rPr>
          <w:rFonts w:ascii="Times New Roman" w:eastAsia="宋体" w:hAnsi="Times New Roman" w:cs="Times New Roman"/>
          <w:b/>
          <w:sz w:val="21"/>
          <w:szCs w:val="21"/>
        </w:rPr>
        <w:t>Fig.3 Hierarchical clustering heat map of candidate core chemical substances</w:t>
      </w:r>
    </w:p>
    <w:p w14:paraId="52B8BD0A" w14:textId="77777777" w:rsidR="001A4D72" w:rsidRDefault="00000000">
      <w:pPr>
        <w:snapToGrid w:val="0"/>
        <w:spacing w:line="360" w:lineRule="auto"/>
        <w:jc w:val="left"/>
        <w:outlineLvl w:val="1"/>
        <w:rPr>
          <w:rFonts w:ascii="Times New Roman" w:eastAsia="宋体" w:hAnsi="Times New Roman" w:cs="Times New Roman"/>
          <w:b/>
          <w:bCs/>
        </w:rPr>
      </w:pPr>
      <w:r>
        <w:rPr>
          <w:rFonts w:ascii="Times New Roman" w:eastAsia="宋体" w:hAnsi="Times New Roman" w:cs="Times New Roman"/>
          <w:b/>
          <w:bCs/>
        </w:rPr>
        <w:t xml:space="preserve">2.2 </w:t>
      </w:r>
      <w:r>
        <w:rPr>
          <w:rFonts w:ascii="Times New Roman" w:eastAsia="宋体" w:hAnsi="Times New Roman" w:cs="Times New Roman"/>
          <w:b/>
          <w:bCs/>
        </w:rPr>
        <w:t>候选物质组合的预测能力验证</w:t>
      </w:r>
    </w:p>
    <w:p w14:paraId="52B8BD0B" w14:textId="77777777" w:rsidR="001A4D72" w:rsidRDefault="00000000">
      <w:pPr>
        <w:spacing w:line="360" w:lineRule="auto"/>
        <w:ind w:firstLine="480"/>
        <w:rPr>
          <w:rFonts w:ascii="Times New Roman" w:eastAsia="宋体" w:hAnsi="Times New Roman" w:cs="Times New Roman"/>
          <w:szCs w:val="21"/>
        </w:rPr>
      </w:pPr>
      <w:commentRangeStart w:id="26"/>
      <w:r>
        <w:rPr>
          <w:rFonts w:ascii="Times New Roman" w:eastAsia="宋体" w:hAnsi="Times New Roman" w:cs="Times New Roman"/>
          <w:szCs w:val="21"/>
        </w:rPr>
        <w:t>为验证</w:t>
      </w:r>
      <w:r>
        <w:rPr>
          <w:rFonts w:ascii="Times New Roman" w:eastAsia="宋体" w:hAnsi="Times New Roman" w:cs="Times New Roman"/>
          <w:szCs w:val="21"/>
        </w:rPr>
        <w:t>“</w:t>
      </w:r>
      <w:r>
        <w:rPr>
          <w:rFonts w:ascii="Times New Roman" w:eastAsia="宋体" w:hAnsi="Times New Roman" w:cs="Times New Roman"/>
          <w:szCs w:val="21"/>
        </w:rPr>
        <w:t>候选核心物质列表</w:t>
      </w:r>
      <w:r>
        <w:rPr>
          <w:rFonts w:ascii="Times New Roman" w:eastAsia="宋体" w:hAnsi="Times New Roman" w:cs="Times New Roman"/>
          <w:szCs w:val="21"/>
        </w:rPr>
        <w:t>”</w:t>
      </w:r>
      <w:r>
        <w:rPr>
          <w:rFonts w:ascii="Times New Roman" w:eastAsia="宋体" w:hAnsi="Times New Roman" w:cs="Times New Roman"/>
          <w:szCs w:val="21"/>
        </w:rPr>
        <w:t>对样品酸感评分的整体预测效度，建立了偏最小二乘回归（</w:t>
      </w:r>
      <w:r>
        <w:rPr>
          <w:rFonts w:ascii="Times New Roman" w:eastAsia="宋体" w:hAnsi="Times New Roman" w:cs="Times New Roman"/>
          <w:szCs w:val="21"/>
        </w:rPr>
        <w:t>PLS-R</w:t>
      </w:r>
      <w:r>
        <w:rPr>
          <w:rFonts w:ascii="Times New Roman" w:eastAsia="宋体" w:hAnsi="Times New Roman" w:cs="Times New Roman"/>
          <w:szCs w:val="21"/>
        </w:rPr>
        <w:t>）预测模型。</w:t>
      </w:r>
      <w:commentRangeEnd w:id="26"/>
      <w:r>
        <w:rPr>
          <w:rStyle w:val="a4"/>
          <w:rFonts w:ascii="Times New Roman" w:eastAsia="宋体" w:hAnsi="Times New Roman" w:cs="Times New Roman"/>
          <w:sz w:val="24"/>
        </w:rPr>
        <w:commentReference w:id="26"/>
      </w:r>
    </w:p>
    <w:p w14:paraId="52B8BD0C" w14:textId="77777777" w:rsidR="001A4D72" w:rsidRDefault="00000000">
      <w:pPr>
        <w:spacing w:line="360" w:lineRule="auto"/>
        <w:ind w:firstLine="480"/>
        <w:rPr>
          <w:rFonts w:ascii="Times New Roman" w:eastAsia="宋体" w:hAnsi="Times New Roman" w:cs="Times New Roman"/>
          <w:sz w:val="21"/>
          <w:szCs w:val="21"/>
        </w:rPr>
      </w:pPr>
      <w:r>
        <w:rPr>
          <w:rFonts w:ascii="Times New Roman" w:eastAsia="宋体" w:hAnsi="Times New Roman" w:cs="Times New Roman"/>
          <w:szCs w:val="21"/>
        </w:rPr>
        <w:t>评估结果（图</w:t>
      </w:r>
      <w:r>
        <w:rPr>
          <w:rFonts w:ascii="Times New Roman" w:eastAsia="宋体" w:hAnsi="Times New Roman" w:cs="Times New Roman"/>
          <w:szCs w:val="21"/>
        </w:rPr>
        <w:t xml:space="preserve"> 4</w:t>
      </w:r>
      <w:r>
        <w:rPr>
          <w:rFonts w:ascii="Times New Roman" w:eastAsia="宋体" w:hAnsi="Times New Roman" w:cs="Times New Roman"/>
          <w:szCs w:val="21"/>
        </w:rPr>
        <w:t>）显示，模型的交叉验证</w:t>
      </w:r>
      <w:r>
        <w:rPr>
          <w:rFonts w:ascii="Times New Roman" w:eastAsia="宋体" w:hAnsi="Times New Roman" w:cs="Times New Roman"/>
          <w:szCs w:val="21"/>
        </w:rPr>
        <w:t>Q²</w:t>
      </w:r>
      <w:r>
        <w:rPr>
          <w:rFonts w:ascii="Times New Roman" w:eastAsia="宋体" w:hAnsi="Times New Roman" w:cs="Times New Roman"/>
          <w:szCs w:val="21"/>
        </w:rPr>
        <w:t>值为</w:t>
      </w:r>
      <w:r>
        <w:rPr>
          <w:rFonts w:ascii="Times New Roman" w:eastAsia="宋体" w:hAnsi="Times New Roman" w:cs="Times New Roman"/>
          <w:szCs w:val="21"/>
        </w:rPr>
        <w:t>0.747</w:t>
      </w:r>
      <w:r>
        <w:rPr>
          <w:rFonts w:ascii="Times New Roman" w:eastAsia="宋体" w:hAnsi="Times New Roman" w:cs="Times New Roman"/>
          <w:szCs w:val="21"/>
        </w:rPr>
        <w:t>，该值远大于</w:t>
      </w:r>
      <w:r>
        <w:rPr>
          <w:rFonts w:ascii="Times New Roman" w:eastAsia="宋体" w:hAnsi="Times New Roman" w:cs="Times New Roman"/>
          <w:szCs w:val="21"/>
        </w:rPr>
        <w:t>0.5</w:t>
      </w:r>
      <w:r>
        <w:rPr>
          <w:rFonts w:ascii="Times New Roman" w:eastAsia="宋体" w:hAnsi="Times New Roman" w:cs="Times New Roman"/>
          <w:szCs w:val="21"/>
        </w:rPr>
        <w:t>的有效性阈值，表明所建模型具有良好且稳健的预测性能。</w:t>
      </w:r>
      <w:r>
        <w:rPr>
          <w:rFonts w:ascii="Times New Roman" w:eastAsia="宋体" w:hAnsi="Times New Roman" w:cs="Times New Roman"/>
          <w:szCs w:val="21"/>
        </w:rPr>
        <w:t>PLS-R</w:t>
      </w:r>
      <w:r>
        <w:rPr>
          <w:rFonts w:ascii="Times New Roman" w:eastAsia="宋体" w:hAnsi="Times New Roman" w:cs="Times New Roman"/>
          <w:szCs w:val="21"/>
        </w:rPr>
        <w:t>得分图（图</w:t>
      </w:r>
      <w:r>
        <w:rPr>
          <w:rFonts w:ascii="Times New Roman" w:eastAsia="宋体" w:hAnsi="Times New Roman" w:cs="Times New Roman"/>
          <w:szCs w:val="21"/>
        </w:rPr>
        <w:t>5</w:t>
      </w:r>
      <w:r>
        <w:rPr>
          <w:rFonts w:ascii="Times New Roman" w:eastAsia="宋体" w:hAnsi="Times New Roman" w:cs="Times New Roman"/>
          <w:szCs w:val="21"/>
        </w:rPr>
        <w:t>）显示，不同酸感分组的样品在模型的第一主成分得分与第二主成分得分均上表现出明显的分离趋势。上述结果证实，初筛得到的物质组合作为一个整体，能有效预测加热卷烟样品的感官酸感评分。</w:t>
      </w:r>
    </w:p>
    <w:p w14:paraId="52B8BD0E" w14:textId="04251C63" w:rsidR="001A4D72" w:rsidRDefault="00000000">
      <w:pPr>
        <w:spacing w:line="360" w:lineRule="auto"/>
        <w:ind w:firstLine="421"/>
        <w:jc w:val="center"/>
        <w:rPr>
          <w:rFonts w:ascii="Times New Roman" w:eastAsia="宋体" w:hAnsi="Times New Roman" w:cs="Times New Roman"/>
          <w:b/>
          <w:sz w:val="21"/>
          <w:szCs w:val="21"/>
        </w:rPr>
      </w:pPr>
      <w:r>
        <w:rPr>
          <w:noProof/>
        </w:rPr>
        <w:lastRenderedPageBreak/>
        <w:drawing>
          <wp:inline distT="0" distB="0" distL="0" distR="0" wp14:anchorId="52B8BEA1" wp14:editId="52B8BEA2">
            <wp:extent cx="4565015" cy="284734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r:embed="rId12"/>
                    <a:stretch>
                      <a:fillRect/>
                    </a:stretch>
                  </pic:blipFill>
                  <pic:spPr bwMode="auto">
                    <a:xfrm>
                      <a:off x="0" y="0"/>
                      <a:ext cx="4565015" cy="2847340"/>
                    </a:xfrm>
                    <a:prstGeom prst="rect">
                      <a:avLst/>
                    </a:prstGeom>
                  </pic:spPr>
                </pic:pic>
              </a:graphicData>
            </a:graphic>
          </wp:inline>
        </w:drawing>
      </w:r>
      <w:r>
        <w:rPr>
          <w:rFonts w:ascii="Times New Roman" w:eastAsia="宋体" w:hAnsi="Times New Roman" w:cs="Times New Roman"/>
          <w:b/>
          <w:sz w:val="21"/>
          <w:szCs w:val="21"/>
        </w:rPr>
        <w:t>图</w:t>
      </w:r>
      <w:r>
        <w:rPr>
          <w:rFonts w:ascii="Times New Roman" w:eastAsia="宋体" w:hAnsi="Times New Roman" w:cs="Times New Roman"/>
          <w:b/>
          <w:sz w:val="21"/>
          <w:szCs w:val="21"/>
        </w:rPr>
        <w:t xml:space="preserve">4 </w:t>
      </w:r>
      <w:r>
        <w:rPr>
          <w:rFonts w:ascii="Times New Roman" w:eastAsia="宋体" w:hAnsi="Times New Roman" w:cs="Times New Roman"/>
          <w:b/>
          <w:sz w:val="21"/>
          <w:szCs w:val="21"/>
        </w:rPr>
        <w:t>候选核心物质组合的</w:t>
      </w:r>
      <w:r>
        <w:rPr>
          <w:rFonts w:ascii="Times New Roman" w:eastAsia="宋体" w:hAnsi="Times New Roman" w:cs="Times New Roman"/>
          <w:b/>
          <w:sz w:val="21"/>
          <w:szCs w:val="21"/>
        </w:rPr>
        <w:t>PLS-R</w:t>
      </w:r>
      <w:r>
        <w:rPr>
          <w:rFonts w:ascii="Times New Roman" w:eastAsia="宋体" w:hAnsi="Times New Roman" w:cs="Times New Roman"/>
          <w:b/>
          <w:sz w:val="21"/>
          <w:szCs w:val="21"/>
        </w:rPr>
        <w:t>预测模型性能图</w:t>
      </w:r>
    </w:p>
    <w:p w14:paraId="52B8BD0F" w14:textId="77777777" w:rsidR="001A4D72" w:rsidRDefault="00000000">
      <w:pPr>
        <w:spacing w:line="360" w:lineRule="auto"/>
        <w:ind w:firstLine="421"/>
        <w:jc w:val="center"/>
        <w:rPr>
          <w:rFonts w:ascii="Times New Roman" w:eastAsia="宋体" w:hAnsi="Times New Roman" w:cs="Times New Roman"/>
          <w:b/>
          <w:sz w:val="21"/>
          <w:szCs w:val="21"/>
        </w:rPr>
      </w:pPr>
      <w:r>
        <w:rPr>
          <w:rFonts w:ascii="Times New Roman" w:eastAsia="宋体" w:hAnsi="Times New Roman" w:cs="Times New Roman"/>
          <w:b/>
          <w:sz w:val="21"/>
          <w:szCs w:val="21"/>
        </w:rPr>
        <w:t>Fig.4 PLS-R prediction model performance diagram of candidate core material combination</w:t>
      </w:r>
    </w:p>
    <w:p w14:paraId="52B8BD10" w14:textId="77777777" w:rsidR="001A4D72" w:rsidRDefault="00000000">
      <w:pPr>
        <w:spacing w:line="360" w:lineRule="auto"/>
        <w:ind w:firstLine="420"/>
        <w:jc w:val="center"/>
        <w:rPr>
          <w:rFonts w:ascii="Times New Roman" w:eastAsia="宋体" w:hAnsi="Times New Roman" w:cs="Times New Roman"/>
          <w:sz w:val="21"/>
          <w:szCs w:val="21"/>
        </w:rPr>
      </w:pPr>
      <w:r>
        <w:rPr>
          <w:noProof/>
        </w:rPr>
        <w:drawing>
          <wp:inline distT="0" distB="0" distL="0" distR="0" wp14:anchorId="52B8BEA5" wp14:editId="52B8BEA6">
            <wp:extent cx="4565015" cy="2847340"/>
            <wp:effectExtent l="0" t="0" r="0" b="0"/>
            <wp:docPr id="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4"/>
                    <pic:cNvPicPr>
                      <a:picLocks noChangeAspect="1" noChangeArrowheads="1"/>
                    </pic:cNvPicPr>
                  </pic:nvPicPr>
                  <pic:blipFill>
                    <a:blip r:embed="rId13"/>
                    <a:stretch>
                      <a:fillRect/>
                    </a:stretch>
                  </pic:blipFill>
                  <pic:spPr bwMode="auto">
                    <a:xfrm>
                      <a:off x="0" y="0"/>
                      <a:ext cx="4565015" cy="2847340"/>
                    </a:xfrm>
                    <a:prstGeom prst="rect">
                      <a:avLst/>
                    </a:prstGeom>
                  </pic:spPr>
                </pic:pic>
              </a:graphicData>
            </a:graphic>
          </wp:inline>
        </w:drawing>
      </w:r>
    </w:p>
    <w:p w14:paraId="52B8BD11" w14:textId="77777777" w:rsidR="001A4D72" w:rsidRDefault="00000000">
      <w:pPr>
        <w:spacing w:line="360" w:lineRule="auto"/>
        <w:ind w:firstLine="421"/>
        <w:jc w:val="center"/>
        <w:rPr>
          <w:rFonts w:ascii="Times New Roman" w:eastAsia="宋体" w:hAnsi="Times New Roman" w:cs="Times New Roman"/>
          <w:b/>
          <w:sz w:val="21"/>
          <w:szCs w:val="21"/>
        </w:rPr>
      </w:pPr>
      <w:r>
        <w:rPr>
          <w:rFonts w:ascii="Times New Roman" w:eastAsia="宋体" w:hAnsi="Times New Roman" w:cs="Times New Roman"/>
          <w:b/>
          <w:sz w:val="21"/>
          <w:szCs w:val="21"/>
        </w:rPr>
        <w:t>图</w:t>
      </w:r>
      <w:r>
        <w:rPr>
          <w:rFonts w:ascii="Times New Roman" w:eastAsia="宋体" w:hAnsi="Times New Roman" w:cs="Times New Roman"/>
          <w:b/>
          <w:sz w:val="21"/>
          <w:szCs w:val="21"/>
        </w:rPr>
        <w:t>5 PLS-R</w:t>
      </w:r>
      <w:r>
        <w:rPr>
          <w:rFonts w:ascii="Times New Roman" w:eastAsia="宋体" w:hAnsi="Times New Roman" w:cs="Times New Roman"/>
          <w:b/>
          <w:sz w:val="21"/>
          <w:szCs w:val="21"/>
        </w:rPr>
        <w:t>得分图</w:t>
      </w:r>
    </w:p>
    <w:p w14:paraId="52B8BD12" w14:textId="77777777" w:rsidR="001A4D72" w:rsidRDefault="00000000">
      <w:pPr>
        <w:spacing w:line="360" w:lineRule="auto"/>
        <w:ind w:firstLine="421"/>
        <w:jc w:val="center"/>
        <w:rPr>
          <w:rFonts w:ascii="Times New Roman" w:eastAsia="宋体" w:hAnsi="Times New Roman" w:cs="Times New Roman"/>
          <w:b/>
          <w:sz w:val="21"/>
          <w:szCs w:val="21"/>
        </w:rPr>
      </w:pPr>
      <w:r>
        <w:rPr>
          <w:rFonts w:ascii="Times New Roman" w:eastAsia="宋体" w:hAnsi="Times New Roman" w:cs="Times New Roman"/>
          <w:b/>
          <w:sz w:val="21"/>
          <w:szCs w:val="21"/>
        </w:rPr>
        <w:t>Fig.5 PLS-R score plot</w:t>
      </w:r>
    </w:p>
    <w:p w14:paraId="52B8BD13" w14:textId="77777777" w:rsidR="001A4D72" w:rsidRDefault="00000000">
      <w:pPr>
        <w:snapToGrid w:val="0"/>
        <w:spacing w:line="360" w:lineRule="auto"/>
        <w:jc w:val="left"/>
        <w:outlineLvl w:val="1"/>
        <w:rPr>
          <w:rFonts w:ascii="Times New Roman" w:eastAsia="宋体" w:hAnsi="Times New Roman" w:cs="Times New Roman"/>
          <w:b/>
          <w:bCs/>
        </w:rPr>
      </w:pPr>
      <w:r>
        <w:rPr>
          <w:rFonts w:ascii="Times New Roman" w:eastAsia="宋体" w:hAnsi="Times New Roman" w:cs="Times New Roman"/>
          <w:b/>
          <w:bCs/>
        </w:rPr>
        <w:t xml:space="preserve">2.3 </w:t>
      </w:r>
      <w:bookmarkStart w:id="27" w:name="_Hlk216432032"/>
      <w:r>
        <w:rPr>
          <w:rFonts w:ascii="Times New Roman" w:eastAsia="宋体" w:hAnsi="Times New Roman" w:cs="Times New Roman"/>
          <w:b/>
          <w:bCs/>
        </w:rPr>
        <w:t>最终核心物质</w:t>
      </w:r>
      <w:bookmarkEnd w:id="27"/>
      <w:r>
        <w:rPr>
          <w:rFonts w:ascii="Times New Roman" w:eastAsia="宋体" w:hAnsi="Times New Roman" w:cs="Times New Roman"/>
          <w:b/>
          <w:bCs/>
        </w:rPr>
        <w:t>的确证与关系解析</w:t>
      </w:r>
    </w:p>
    <w:p w14:paraId="52B8BD14"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为从候选列表中筛选出对酸感起决定性作用的核心驱动因子，采用单变量分析与多变量分析相结合的策略进行联合确证。其中，斯皮尔曼等级相关性分析用于评估物质含量与酸感评分的线性关联（筛选标准</w:t>
      </w:r>
      <w:r>
        <w:rPr>
          <w:rFonts w:ascii="Times New Roman" w:eastAsia="宋体" w:hAnsi="Times New Roman" w:cs="Times New Roman"/>
          <w:szCs w:val="21"/>
        </w:rPr>
        <w:t xml:space="preserve"> p&lt;0.05</w:t>
      </w:r>
      <w:r>
        <w:rPr>
          <w:rFonts w:ascii="Times New Roman" w:eastAsia="宋体" w:hAnsi="Times New Roman" w:cs="Times New Roman"/>
          <w:szCs w:val="21"/>
        </w:rPr>
        <w:t>）；</w:t>
      </w:r>
      <w:r>
        <w:rPr>
          <w:rFonts w:ascii="Times New Roman" w:eastAsia="宋体" w:hAnsi="Times New Roman" w:cs="Times New Roman"/>
          <w:szCs w:val="21"/>
        </w:rPr>
        <w:t xml:space="preserve">PLS-R </w:t>
      </w:r>
      <w:r>
        <w:rPr>
          <w:rFonts w:ascii="Times New Roman" w:eastAsia="宋体" w:hAnsi="Times New Roman" w:cs="Times New Roman"/>
          <w:szCs w:val="21"/>
        </w:rPr>
        <w:t>模型中的变量投影重要性（</w:t>
      </w:r>
      <w:r>
        <w:rPr>
          <w:rFonts w:ascii="Times New Roman" w:eastAsia="宋体" w:hAnsi="Times New Roman" w:cs="Times New Roman"/>
          <w:szCs w:val="21"/>
        </w:rPr>
        <w:t>VIP</w:t>
      </w:r>
      <w:r>
        <w:rPr>
          <w:rFonts w:ascii="Times New Roman" w:eastAsia="宋体" w:hAnsi="Times New Roman" w:cs="Times New Roman"/>
          <w:szCs w:val="21"/>
        </w:rPr>
        <w:t>）指标用于量化各物质对整体预测模型的贡献权重（阈值</w:t>
      </w:r>
      <w:r>
        <w:rPr>
          <w:rFonts w:ascii="Times New Roman" w:eastAsia="宋体" w:hAnsi="Times New Roman" w:cs="Times New Roman"/>
          <w:szCs w:val="21"/>
        </w:rPr>
        <w:t xml:space="preserve"> VIP&gt;1</w:t>
      </w:r>
      <w:r>
        <w:rPr>
          <w:rFonts w:ascii="Times New Roman" w:eastAsia="宋体" w:hAnsi="Times New Roman" w:cs="Times New Roman"/>
          <w:szCs w:val="21"/>
        </w:rPr>
        <w:t>）。</w:t>
      </w:r>
    </w:p>
    <w:p w14:paraId="52B8BD15"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lastRenderedPageBreak/>
        <w:t>筛选结果表明，候选列表中共有</w:t>
      </w:r>
      <w:r>
        <w:rPr>
          <w:rFonts w:ascii="Times New Roman" w:eastAsia="宋体" w:hAnsi="Times New Roman" w:cs="Times New Roman"/>
          <w:szCs w:val="21"/>
        </w:rPr>
        <w:t xml:space="preserve"> 55 </w:t>
      </w:r>
      <w:r>
        <w:rPr>
          <w:rFonts w:ascii="Times New Roman" w:eastAsia="宋体" w:hAnsi="Times New Roman" w:cs="Times New Roman"/>
          <w:szCs w:val="21"/>
        </w:rPr>
        <w:t>种物质表现出显著的单变量相关性，</w:t>
      </w:r>
      <w:r>
        <w:rPr>
          <w:rFonts w:ascii="Times New Roman" w:eastAsia="宋体" w:hAnsi="Times New Roman" w:cs="Times New Roman"/>
          <w:szCs w:val="21"/>
        </w:rPr>
        <w:t xml:space="preserve">22 </w:t>
      </w:r>
      <w:r>
        <w:rPr>
          <w:rFonts w:ascii="Times New Roman" w:eastAsia="宋体" w:hAnsi="Times New Roman" w:cs="Times New Roman"/>
          <w:szCs w:val="21"/>
        </w:rPr>
        <w:t>种物质在多变量模型中显示高贡献度。经统计集合取交集，最终确证</w:t>
      </w:r>
      <w:r>
        <w:rPr>
          <w:rFonts w:ascii="Times New Roman" w:eastAsia="宋体" w:hAnsi="Times New Roman" w:cs="Times New Roman"/>
          <w:szCs w:val="21"/>
        </w:rPr>
        <w:t xml:space="preserve"> 21 </w:t>
      </w:r>
      <w:r>
        <w:rPr>
          <w:rFonts w:ascii="Times New Roman" w:eastAsia="宋体" w:hAnsi="Times New Roman" w:cs="Times New Roman"/>
          <w:szCs w:val="21"/>
        </w:rPr>
        <w:t>种核心物质。</w:t>
      </w:r>
    </w:p>
    <w:p w14:paraId="52B8BD16"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核心物质的关键统计学参数，包括斯皮尔曼相关系数（</w:t>
      </w:r>
      <w:r>
        <w:rPr>
          <w:rFonts w:ascii="Times New Roman" w:eastAsia="宋体" w:hAnsi="Times New Roman" w:cs="Times New Roman"/>
          <w:szCs w:val="21"/>
        </w:rPr>
        <w:t>rho</w:t>
      </w:r>
      <w:r>
        <w:rPr>
          <w:rFonts w:ascii="Times New Roman" w:eastAsia="宋体" w:hAnsi="Times New Roman" w:cs="Times New Roman"/>
          <w:szCs w:val="21"/>
        </w:rPr>
        <w:t>）、</w:t>
      </w:r>
      <w:r>
        <w:rPr>
          <w:rFonts w:ascii="Times New Roman" w:eastAsia="宋体" w:hAnsi="Times New Roman" w:cs="Times New Roman"/>
          <w:szCs w:val="21"/>
        </w:rPr>
        <w:t>p</w:t>
      </w:r>
      <w:r>
        <w:rPr>
          <w:rFonts w:ascii="Times New Roman" w:eastAsia="宋体" w:hAnsi="Times New Roman" w:cs="Times New Roman"/>
          <w:szCs w:val="21"/>
        </w:rPr>
        <w:t>值与</w:t>
      </w:r>
      <w:r>
        <w:rPr>
          <w:rFonts w:ascii="Times New Roman" w:eastAsia="宋体" w:hAnsi="Times New Roman" w:cs="Times New Roman"/>
          <w:szCs w:val="21"/>
        </w:rPr>
        <w:t>VIP</w:t>
      </w:r>
      <w:r>
        <w:rPr>
          <w:rFonts w:ascii="Times New Roman" w:eastAsia="宋体" w:hAnsi="Times New Roman" w:cs="Times New Roman"/>
          <w:szCs w:val="21"/>
        </w:rPr>
        <w:t>值，均汇总于表</w:t>
      </w:r>
      <w:r>
        <w:rPr>
          <w:rFonts w:ascii="Times New Roman" w:eastAsia="宋体" w:hAnsi="Times New Roman" w:cs="Times New Roman"/>
          <w:szCs w:val="21"/>
        </w:rPr>
        <w:t>2</w:t>
      </w:r>
      <w:r>
        <w:rPr>
          <w:rFonts w:ascii="Times New Roman" w:eastAsia="宋体" w:hAnsi="Times New Roman" w:cs="Times New Roman"/>
          <w:szCs w:val="21"/>
        </w:rPr>
        <w:t>。为更直观地展示这些关联，图</w:t>
      </w:r>
      <w:r>
        <w:rPr>
          <w:rFonts w:ascii="Times New Roman" w:eastAsia="宋体" w:hAnsi="Times New Roman" w:cs="Times New Roman"/>
          <w:szCs w:val="21"/>
        </w:rPr>
        <w:t xml:space="preserve"> 6 </w:t>
      </w:r>
      <w:r>
        <w:rPr>
          <w:rFonts w:ascii="Times New Roman" w:eastAsia="宋体" w:hAnsi="Times New Roman" w:cs="Times New Roman"/>
          <w:szCs w:val="21"/>
        </w:rPr>
        <w:t>可视化呈现了物质与酸感的关联方向与强度，将核心物质划分为两类：以芸香苷为代表的正相关物质，被确认为酸感的主要化学贡献者；以及草酸等负相关物质，提示其在体系中发挥抑制或平衡酸感的作用。</w:t>
      </w:r>
    </w:p>
    <w:p w14:paraId="52B8BD17" w14:textId="77777777" w:rsidR="001A4D72" w:rsidRDefault="00000000">
      <w:pPr>
        <w:spacing w:line="360" w:lineRule="auto"/>
        <w:jc w:val="center"/>
        <w:rPr>
          <w:rFonts w:ascii="Times New Roman" w:eastAsia="宋体" w:hAnsi="Times New Roman" w:cs="Times New Roman"/>
          <w:b/>
          <w:sz w:val="21"/>
          <w:szCs w:val="21"/>
        </w:rPr>
      </w:pPr>
      <w:r>
        <w:rPr>
          <w:rFonts w:ascii="Times New Roman" w:eastAsia="宋体" w:hAnsi="Times New Roman" w:cs="Times New Roman"/>
          <w:b/>
          <w:sz w:val="21"/>
          <w:szCs w:val="21"/>
        </w:rPr>
        <w:t>表</w:t>
      </w:r>
      <w:r>
        <w:rPr>
          <w:rFonts w:ascii="Times New Roman" w:eastAsia="宋体" w:hAnsi="Times New Roman" w:cs="Times New Roman"/>
          <w:b/>
          <w:sz w:val="21"/>
          <w:szCs w:val="21"/>
        </w:rPr>
        <w:t xml:space="preserve">2 </w:t>
      </w:r>
      <w:r>
        <w:rPr>
          <w:rFonts w:ascii="Times New Roman" w:eastAsia="宋体" w:hAnsi="Times New Roman" w:cs="Times New Roman"/>
          <w:b/>
          <w:sz w:val="21"/>
          <w:szCs w:val="21"/>
        </w:rPr>
        <w:t>最终核心物质及其与感官酸感的相关性参数表</w:t>
      </w:r>
    </w:p>
    <w:p w14:paraId="52B8BD18" w14:textId="77777777" w:rsidR="001A4D72" w:rsidRDefault="00000000">
      <w:pPr>
        <w:spacing w:line="360" w:lineRule="auto"/>
        <w:jc w:val="center"/>
        <w:rPr>
          <w:rFonts w:ascii="Times New Roman" w:eastAsia="宋体" w:hAnsi="Times New Roman" w:cs="Times New Roman"/>
          <w:b/>
          <w:sz w:val="21"/>
          <w:szCs w:val="21"/>
        </w:rPr>
      </w:pPr>
      <w:r>
        <w:rPr>
          <w:rFonts w:ascii="Times New Roman" w:eastAsia="宋体" w:hAnsi="Times New Roman" w:cs="Times New Roman"/>
          <w:b/>
          <w:sz w:val="21"/>
          <w:szCs w:val="21"/>
        </w:rPr>
        <w:t>Table 2 Final core substance and its correlation parameter table with sensory acidity</w:t>
      </w:r>
    </w:p>
    <w:tbl>
      <w:tblPr>
        <w:tblW w:w="8820" w:type="dxa"/>
        <w:tblLayout w:type="fixed"/>
        <w:tblLook w:val="04A0" w:firstRow="1" w:lastRow="0" w:firstColumn="1" w:lastColumn="0" w:noHBand="0" w:noVBand="1"/>
      </w:tblPr>
      <w:tblGrid>
        <w:gridCol w:w="2380"/>
        <w:gridCol w:w="2621"/>
        <w:gridCol w:w="1540"/>
        <w:gridCol w:w="2279"/>
      </w:tblGrid>
      <w:tr w:rsidR="001A4D72" w14:paraId="52B8BD1D" w14:textId="77777777">
        <w:trPr>
          <w:trHeight w:val="300"/>
        </w:trPr>
        <w:tc>
          <w:tcPr>
            <w:tcW w:w="2379" w:type="dxa"/>
            <w:tcBorders>
              <w:top w:val="single" w:sz="12" w:space="0" w:color="000000"/>
              <w:bottom w:val="single" w:sz="4" w:space="0" w:color="000000"/>
            </w:tcBorders>
            <w:vAlign w:val="center"/>
          </w:tcPr>
          <w:p w14:paraId="52B8BD19"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物质名称</w:t>
            </w:r>
            <w:r>
              <w:rPr>
                <w:rFonts w:ascii="Times New Roman" w:eastAsia="宋体" w:hAnsi="Times New Roman" w:cs="宋体"/>
                <w:color w:val="000000"/>
                <w:kern w:val="0"/>
                <w:sz w:val="21"/>
              </w:rPr>
              <w:t xml:space="preserve"> (Substance)</w:t>
            </w:r>
          </w:p>
        </w:tc>
        <w:tc>
          <w:tcPr>
            <w:tcW w:w="2621" w:type="dxa"/>
            <w:tcBorders>
              <w:top w:val="single" w:sz="12" w:space="0" w:color="000000"/>
              <w:bottom w:val="single" w:sz="4" w:space="0" w:color="000000"/>
            </w:tcBorders>
            <w:vAlign w:val="center"/>
          </w:tcPr>
          <w:p w14:paraId="52B8BD1A"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斯皮尔曼相关系数</w:t>
            </w:r>
            <w:r>
              <w:rPr>
                <w:rFonts w:ascii="Times New Roman" w:eastAsia="宋体" w:hAnsi="Times New Roman" w:cs="宋体"/>
                <w:color w:val="000000"/>
                <w:kern w:val="0"/>
                <w:sz w:val="21"/>
              </w:rPr>
              <w:t xml:space="preserve"> (rho)</w:t>
            </w:r>
          </w:p>
        </w:tc>
        <w:tc>
          <w:tcPr>
            <w:tcW w:w="1540" w:type="dxa"/>
            <w:tcBorders>
              <w:top w:val="single" w:sz="12" w:space="0" w:color="000000"/>
              <w:bottom w:val="single" w:sz="4" w:space="0" w:color="000000"/>
            </w:tcBorders>
            <w:vAlign w:val="center"/>
          </w:tcPr>
          <w:p w14:paraId="52B8BD1B"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P (pvalue)</w:t>
            </w:r>
          </w:p>
        </w:tc>
        <w:tc>
          <w:tcPr>
            <w:tcW w:w="2279" w:type="dxa"/>
            <w:tcBorders>
              <w:top w:val="single" w:sz="12" w:space="0" w:color="000000"/>
              <w:bottom w:val="single" w:sz="4" w:space="0" w:color="000000"/>
            </w:tcBorders>
            <w:vAlign w:val="center"/>
          </w:tcPr>
          <w:p w14:paraId="52B8BD1C"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显著性</w:t>
            </w:r>
            <w:r>
              <w:rPr>
                <w:rFonts w:ascii="Times New Roman" w:eastAsia="宋体" w:hAnsi="Times New Roman" w:cs="宋体"/>
                <w:color w:val="000000"/>
                <w:kern w:val="0"/>
                <w:sz w:val="21"/>
              </w:rPr>
              <w:t xml:space="preserve"> (Significance)</w:t>
            </w:r>
          </w:p>
        </w:tc>
      </w:tr>
      <w:tr w:rsidR="001A4D72" w14:paraId="52B8BD22" w14:textId="77777777">
        <w:trPr>
          <w:trHeight w:val="300"/>
        </w:trPr>
        <w:tc>
          <w:tcPr>
            <w:tcW w:w="2379" w:type="dxa"/>
            <w:tcBorders>
              <w:top w:val="single" w:sz="4" w:space="0" w:color="000000"/>
            </w:tcBorders>
            <w:vAlign w:val="center"/>
          </w:tcPr>
          <w:p w14:paraId="52B8BD1E"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芸香苷</w:t>
            </w:r>
          </w:p>
        </w:tc>
        <w:tc>
          <w:tcPr>
            <w:tcW w:w="2621" w:type="dxa"/>
            <w:tcBorders>
              <w:top w:val="single" w:sz="4" w:space="0" w:color="000000"/>
            </w:tcBorders>
            <w:vAlign w:val="center"/>
          </w:tcPr>
          <w:p w14:paraId="52B8BD1F"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0.784318</w:t>
            </w:r>
          </w:p>
        </w:tc>
        <w:tc>
          <w:tcPr>
            <w:tcW w:w="1540" w:type="dxa"/>
            <w:tcBorders>
              <w:top w:val="single" w:sz="4" w:space="0" w:color="000000"/>
            </w:tcBorders>
            <w:vAlign w:val="center"/>
          </w:tcPr>
          <w:p w14:paraId="52B8BD20"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1.13E-10</w:t>
            </w:r>
          </w:p>
        </w:tc>
        <w:tc>
          <w:tcPr>
            <w:tcW w:w="2279" w:type="dxa"/>
            <w:tcBorders>
              <w:top w:val="single" w:sz="4" w:space="0" w:color="000000"/>
            </w:tcBorders>
            <w:vAlign w:val="center"/>
          </w:tcPr>
          <w:p w14:paraId="52B8BD21"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w:t>
            </w:r>
          </w:p>
        </w:tc>
      </w:tr>
      <w:tr w:rsidR="001A4D72" w14:paraId="52B8BD27" w14:textId="77777777">
        <w:trPr>
          <w:trHeight w:val="300"/>
        </w:trPr>
        <w:tc>
          <w:tcPr>
            <w:tcW w:w="2379" w:type="dxa"/>
            <w:tcBorders>
              <w:bottom w:val="single" w:sz="12" w:space="0" w:color="000000"/>
            </w:tcBorders>
            <w:vAlign w:val="center"/>
          </w:tcPr>
          <w:p w14:paraId="52B8BD23"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绿原酸</w:t>
            </w:r>
          </w:p>
        </w:tc>
        <w:tc>
          <w:tcPr>
            <w:tcW w:w="2621" w:type="dxa"/>
            <w:tcBorders>
              <w:bottom w:val="single" w:sz="12" w:space="0" w:color="000000"/>
            </w:tcBorders>
            <w:vAlign w:val="center"/>
          </w:tcPr>
          <w:p w14:paraId="52B8BD24"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0.752876</w:t>
            </w:r>
          </w:p>
        </w:tc>
        <w:tc>
          <w:tcPr>
            <w:tcW w:w="1540" w:type="dxa"/>
            <w:tcBorders>
              <w:bottom w:val="single" w:sz="12" w:space="0" w:color="000000"/>
            </w:tcBorders>
            <w:vAlign w:val="center"/>
          </w:tcPr>
          <w:p w14:paraId="52B8BD25"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1.59E-09</w:t>
            </w:r>
          </w:p>
        </w:tc>
        <w:tc>
          <w:tcPr>
            <w:tcW w:w="2279" w:type="dxa"/>
            <w:tcBorders>
              <w:bottom w:val="single" w:sz="12" w:space="0" w:color="000000"/>
            </w:tcBorders>
            <w:vAlign w:val="center"/>
          </w:tcPr>
          <w:p w14:paraId="52B8BD26"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w:t>
            </w:r>
          </w:p>
        </w:tc>
      </w:tr>
      <w:tr w:rsidR="001A4D72" w14:paraId="52B8BD2C" w14:textId="77777777">
        <w:trPr>
          <w:trHeight w:val="300"/>
        </w:trPr>
        <w:tc>
          <w:tcPr>
            <w:tcW w:w="2379" w:type="dxa"/>
            <w:tcBorders>
              <w:top w:val="single" w:sz="12" w:space="0" w:color="000000"/>
              <w:bottom w:val="single" w:sz="12" w:space="0" w:color="000000"/>
            </w:tcBorders>
            <w:vAlign w:val="center"/>
          </w:tcPr>
          <w:p w14:paraId="52B8BD28"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油酸</w:t>
            </w:r>
          </w:p>
        </w:tc>
        <w:tc>
          <w:tcPr>
            <w:tcW w:w="2621" w:type="dxa"/>
            <w:tcBorders>
              <w:top w:val="single" w:sz="12" w:space="0" w:color="000000"/>
              <w:bottom w:val="single" w:sz="12" w:space="0" w:color="000000"/>
            </w:tcBorders>
            <w:vAlign w:val="center"/>
          </w:tcPr>
          <w:p w14:paraId="52B8BD29"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0.752852</w:t>
            </w:r>
          </w:p>
        </w:tc>
        <w:tc>
          <w:tcPr>
            <w:tcW w:w="1540" w:type="dxa"/>
            <w:tcBorders>
              <w:top w:val="single" w:sz="12" w:space="0" w:color="000000"/>
              <w:bottom w:val="single" w:sz="12" w:space="0" w:color="000000"/>
            </w:tcBorders>
            <w:vAlign w:val="center"/>
          </w:tcPr>
          <w:p w14:paraId="52B8BD2A"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1.59E-09</w:t>
            </w:r>
          </w:p>
        </w:tc>
        <w:tc>
          <w:tcPr>
            <w:tcW w:w="2279" w:type="dxa"/>
            <w:tcBorders>
              <w:top w:val="single" w:sz="12" w:space="0" w:color="000000"/>
              <w:bottom w:val="single" w:sz="12" w:space="0" w:color="000000"/>
            </w:tcBorders>
            <w:vAlign w:val="center"/>
          </w:tcPr>
          <w:p w14:paraId="52B8BD2B"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w:t>
            </w:r>
          </w:p>
        </w:tc>
      </w:tr>
      <w:tr w:rsidR="001A4D72" w14:paraId="52B8BD31" w14:textId="77777777">
        <w:trPr>
          <w:trHeight w:val="300"/>
        </w:trPr>
        <w:tc>
          <w:tcPr>
            <w:tcW w:w="2379" w:type="dxa"/>
            <w:tcBorders>
              <w:top w:val="single" w:sz="12" w:space="0" w:color="000000"/>
              <w:bottom w:val="single" w:sz="12" w:space="0" w:color="000000"/>
            </w:tcBorders>
            <w:vAlign w:val="center"/>
          </w:tcPr>
          <w:p w14:paraId="52B8BD2D"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脯氨酸</w:t>
            </w:r>
          </w:p>
        </w:tc>
        <w:tc>
          <w:tcPr>
            <w:tcW w:w="2621" w:type="dxa"/>
            <w:tcBorders>
              <w:top w:val="single" w:sz="12" w:space="0" w:color="000000"/>
              <w:bottom w:val="single" w:sz="12" w:space="0" w:color="000000"/>
            </w:tcBorders>
            <w:vAlign w:val="center"/>
          </w:tcPr>
          <w:p w14:paraId="52B8BD2E"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0.742372</w:t>
            </w:r>
          </w:p>
        </w:tc>
        <w:tc>
          <w:tcPr>
            <w:tcW w:w="1540" w:type="dxa"/>
            <w:tcBorders>
              <w:top w:val="single" w:sz="12" w:space="0" w:color="000000"/>
              <w:bottom w:val="single" w:sz="12" w:space="0" w:color="000000"/>
            </w:tcBorders>
            <w:vAlign w:val="center"/>
          </w:tcPr>
          <w:p w14:paraId="52B8BD2F"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3.52E-09</w:t>
            </w:r>
          </w:p>
        </w:tc>
        <w:tc>
          <w:tcPr>
            <w:tcW w:w="2279" w:type="dxa"/>
            <w:tcBorders>
              <w:top w:val="single" w:sz="12" w:space="0" w:color="000000"/>
              <w:bottom w:val="single" w:sz="12" w:space="0" w:color="000000"/>
            </w:tcBorders>
            <w:vAlign w:val="center"/>
          </w:tcPr>
          <w:p w14:paraId="52B8BD30"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w:t>
            </w:r>
          </w:p>
        </w:tc>
      </w:tr>
      <w:tr w:rsidR="001A4D72" w14:paraId="52B8BD36" w14:textId="77777777">
        <w:trPr>
          <w:trHeight w:val="300"/>
        </w:trPr>
        <w:tc>
          <w:tcPr>
            <w:tcW w:w="2379" w:type="dxa"/>
            <w:tcBorders>
              <w:top w:val="single" w:sz="12" w:space="0" w:color="000000"/>
              <w:bottom w:val="single" w:sz="12" w:space="0" w:color="000000"/>
            </w:tcBorders>
            <w:vAlign w:val="center"/>
          </w:tcPr>
          <w:p w14:paraId="52B8BD32"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蔗糖</w:t>
            </w:r>
          </w:p>
        </w:tc>
        <w:tc>
          <w:tcPr>
            <w:tcW w:w="2621" w:type="dxa"/>
            <w:tcBorders>
              <w:top w:val="single" w:sz="12" w:space="0" w:color="000000"/>
              <w:bottom w:val="single" w:sz="12" w:space="0" w:color="000000"/>
            </w:tcBorders>
            <w:vAlign w:val="center"/>
          </w:tcPr>
          <w:p w14:paraId="52B8BD33"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0.731914</w:t>
            </w:r>
          </w:p>
        </w:tc>
        <w:tc>
          <w:tcPr>
            <w:tcW w:w="1540" w:type="dxa"/>
            <w:tcBorders>
              <w:top w:val="single" w:sz="12" w:space="0" w:color="000000"/>
              <w:bottom w:val="single" w:sz="12" w:space="0" w:color="000000"/>
            </w:tcBorders>
            <w:vAlign w:val="center"/>
          </w:tcPr>
          <w:p w14:paraId="52B8BD34"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7.5E-09</w:t>
            </w:r>
          </w:p>
        </w:tc>
        <w:tc>
          <w:tcPr>
            <w:tcW w:w="2279" w:type="dxa"/>
            <w:tcBorders>
              <w:top w:val="single" w:sz="12" w:space="0" w:color="000000"/>
              <w:bottom w:val="single" w:sz="12" w:space="0" w:color="000000"/>
            </w:tcBorders>
            <w:vAlign w:val="center"/>
          </w:tcPr>
          <w:p w14:paraId="52B8BD35"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w:t>
            </w:r>
          </w:p>
        </w:tc>
      </w:tr>
      <w:tr w:rsidR="001A4D72" w14:paraId="52B8BD3B" w14:textId="77777777">
        <w:trPr>
          <w:trHeight w:val="300"/>
        </w:trPr>
        <w:tc>
          <w:tcPr>
            <w:tcW w:w="2379" w:type="dxa"/>
            <w:tcBorders>
              <w:top w:val="single" w:sz="12" w:space="0" w:color="000000"/>
              <w:bottom w:val="single" w:sz="12" w:space="0" w:color="000000"/>
            </w:tcBorders>
            <w:vAlign w:val="center"/>
          </w:tcPr>
          <w:p w14:paraId="52B8BD37"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葡萄糖</w:t>
            </w:r>
          </w:p>
        </w:tc>
        <w:tc>
          <w:tcPr>
            <w:tcW w:w="2621" w:type="dxa"/>
            <w:tcBorders>
              <w:top w:val="single" w:sz="12" w:space="0" w:color="000000"/>
              <w:bottom w:val="single" w:sz="12" w:space="0" w:color="000000"/>
            </w:tcBorders>
            <w:vAlign w:val="center"/>
          </w:tcPr>
          <w:p w14:paraId="52B8BD38"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0.724904</w:t>
            </w:r>
          </w:p>
        </w:tc>
        <w:tc>
          <w:tcPr>
            <w:tcW w:w="1540" w:type="dxa"/>
            <w:tcBorders>
              <w:top w:val="single" w:sz="12" w:space="0" w:color="000000"/>
              <w:bottom w:val="single" w:sz="12" w:space="0" w:color="000000"/>
            </w:tcBorders>
            <w:vAlign w:val="center"/>
          </w:tcPr>
          <w:p w14:paraId="52B8BD39"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1.22E-08</w:t>
            </w:r>
          </w:p>
        </w:tc>
        <w:tc>
          <w:tcPr>
            <w:tcW w:w="2279" w:type="dxa"/>
            <w:tcBorders>
              <w:top w:val="single" w:sz="12" w:space="0" w:color="000000"/>
              <w:bottom w:val="single" w:sz="12" w:space="0" w:color="000000"/>
            </w:tcBorders>
            <w:vAlign w:val="center"/>
          </w:tcPr>
          <w:p w14:paraId="52B8BD3A"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w:t>
            </w:r>
          </w:p>
        </w:tc>
      </w:tr>
      <w:tr w:rsidR="001A4D72" w14:paraId="52B8BD40" w14:textId="77777777">
        <w:trPr>
          <w:trHeight w:val="300"/>
        </w:trPr>
        <w:tc>
          <w:tcPr>
            <w:tcW w:w="2379" w:type="dxa"/>
            <w:tcBorders>
              <w:top w:val="single" w:sz="12" w:space="0" w:color="000000"/>
              <w:bottom w:val="single" w:sz="12" w:space="0" w:color="000000"/>
            </w:tcBorders>
            <w:vAlign w:val="center"/>
          </w:tcPr>
          <w:p w14:paraId="52B8BD3C"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草酸</w:t>
            </w:r>
          </w:p>
        </w:tc>
        <w:tc>
          <w:tcPr>
            <w:tcW w:w="2621" w:type="dxa"/>
            <w:tcBorders>
              <w:top w:val="single" w:sz="12" w:space="0" w:color="000000"/>
              <w:bottom w:val="single" w:sz="12" w:space="0" w:color="000000"/>
            </w:tcBorders>
            <w:vAlign w:val="center"/>
          </w:tcPr>
          <w:p w14:paraId="52B8BD3D"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-0.71093</w:t>
            </w:r>
          </w:p>
        </w:tc>
        <w:tc>
          <w:tcPr>
            <w:tcW w:w="1540" w:type="dxa"/>
            <w:tcBorders>
              <w:top w:val="single" w:sz="12" w:space="0" w:color="000000"/>
              <w:bottom w:val="single" w:sz="12" w:space="0" w:color="000000"/>
            </w:tcBorders>
            <w:vAlign w:val="center"/>
          </w:tcPr>
          <w:p w14:paraId="52B8BD3E"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3.09E-08</w:t>
            </w:r>
          </w:p>
        </w:tc>
        <w:tc>
          <w:tcPr>
            <w:tcW w:w="2279" w:type="dxa"/>
            <w:tcBorders>
              <w:top w:val="single" w:sz="12" w:space="0" w:color="000000"/>
              <w:bottom w:val="single" w:sz="12" w:space="0" w:color="000000"/>
            </w:tcBorders>
            <w:vAlign w:val="center"/>
          </w:tcPr>
          <w:p w14:paraId="52B8BD3F"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w:t>
            </w:r>
          </w:p>
        </w:tc>
      </w:tr>
      <w:tr w:rsidR="001A4D72" w14:paraId="52B8BD45" w14:textId="77777777">
        <w:trPr>
          <w:trHeight w:val="300"/>
        </w:trPr>
        <w:tc>
          <w:tcPr>
            <w:tcW w:w="2379" w:type="dxa"/>
            <w:tcBorders>
              <w:top w:val="single" w:sz="12" w:space="0" w:color="000000"/>
              <w:bottom w:val="single" w:sz="12" w:space="0" w:color="000000"/>
            </w:tcBorders>
            <w:vAlign w:val="center"/>
          </w:tcPr>
          <w:p w14:paraId="52B8BD41"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糖碱比</w:t>
            </w:r>
          </w:p>
        </w:tc>
        <w:tc>
          <w:tcPr>
            <w:tcW w:w="2621" w:type="dxa"/>
            <w:tcBorders>
              <w:top w:val="single" w:sz="12" w:space="0" w:color="000000"/>
              <w:bottom w:val="single" w:sz="12" w:space="0" w:color="000000"/>
            </w:tcBorders>
            <w:vAlign w:val="center"/>
          </w:tcPr>
          <w:p w14:paraId="52B8BD42"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0.690118</w:t>
            </w:r>
          </w:p>
        </w:tc>
        <w:tc>
          <w:tcPr>
            <w:tcW w:w="1540" w:type="dxa"/>
            <w:tcBorders>
              <w:top w:val="single" w:sz="12" w:space="0" w:color="000000"/>
              <w:bottom w:val="single" w:sz="12" w:space="0" w:color="000000"/>
            </w:tcBorders>
            <w:vAlign w:val="center"/>
          </w:tcPr>
          <w:p w14:paraId="52B8BD43"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0.000000112</w:t>
            </w:r>
          </w:p>
        </w:tc>
        <w:tc>
          <w:tcPr>
            <w:tcW w:w="2279" w:type="dxa"/>
            <w:tcBorders>
              <w:top w:val="single" w:sz="12" w:space="0" w:color="000000"/>
              <w:bottom w:val="single" w:sz="12" w:space="0" w:color="000000"/>
            </w:tcBorders>
            <w:vAlign w:val="center"/>
          </w:tcPr>
          <w:p w14:paraId="52B8BD44"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w:t>
            </w:r>
          </w:p>
        </w:tc>
      </w:tr>
      <w:tr w:rsidR="001A4D72" w14:paraId="52B8BD4A" w14:textId="77777777">
        <w:trPr>
          <w:trHeight w:val="300"/>
        </w:trPr>
        <w:tc>
          <w:tcPr>
            <w:tcW w:w="2379" w:type="dxa"/>
            <w:tcBorders>
              <w:top w:val="single" w:sz="12" w:space="0" w:color="000000"/>
              <w:bottom w:val="single" w:sz="12" w:space="0" w:color="000000"/>
            </w:tcBorders>
            <w:vAlign w:val="center"/>
          </w:tcPr>
          <w:p w14:paraId="52B8BD46"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果糖</w:t>
            </w:r>
          </w:p>
        </w:tc>
        <w:tc>
          <w:tcPr>
            <w:tcW w:w="2621" w:type="dxa"/>
            <w:tcBorders>
              <w:top w:val="single" w:sz="12" w:space="0" w:color="000000"/>
              <w:bottom w:val="single" w:sz="12" w:space="0" w:color="000000"/>
            </w:tcBorders>
            <w:vAlign w:val="center"/>
          </w:tcPr>
          <w:p w14:paraId="52B8BD47"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0.676016</w:t>
            </w:r>
          </w:p>
        </w:tc>
        <w:tc>
          <w:tcPr>
            <w:tcW w:w="1540" w:type="dxa"/>
            <w:tcBorders>
              <w:top w:val="single" w:sz="12" w:space="0" w:color="000000"/>
              <w:bottom w:val="single" w:sz="12" w:space="0" w:color="000000"/>
            </w:tcBorders>
            <w:vAlign w:val="center"/>
          </w:tcPr>
          <w:p w14:paraId="52B8BD48"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0.000000253</w:t>
            </w:r>
          </w:p>
        </w:tc>
        <w:tc>
          <w:tcPr>
            <w:tcW w:w="2279" w:type="dxa"/>
            <w:tcBorders>
              <w:top w:val="single" w:sz="12" w:space="0" w:color="000000"/>
              <w:bottom w:val="single" w:sz="12" w:space="0" w:color="000000"/>
            </w:tcBorders>
            <w:vAlign w:val="center"/>
          </w:tcPr>
          <w:p w14:paraId="52B8BD49"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w:t>
            </w:r>
          </w:p>
        </w:tc>
      </w:tr>
      <w:tr w:rsidR="001A4D72" w14:paraId="52B8BD4F" w14:textId="77777777">
        <w:trPr>
          <w:trHeight w:val="300"/>
        </w:trPr>
        <w:tc>
          <w:tcPr>
            <w:tcW w:w="2379" w:type="dxa"/>
            <w:tcBorders>
              <w:top w:val="single" w:sz="12" w:space="0" w:color="000000"/>
              <w:bottom w:val="single" w:sz="12" w:space="0" w:color="000000"/>
            </w:tcBorders>
            <w:vAlign w:val="center"/>
          </w:tcPr>
          <w:p w14:paraId="52B8BD4B"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棕榈酸</w:t>
            </w:r>
          </w:p>
        </w:tc>
        <w:tc>
          <w:tcPr>
            <w:tcW w:w="2621" w:type="dxa"/>
            <w:tcBorders>
              <w:top w:val="single" w:sz="12" w:space="0" w:color="000000"/>
              <w:bottom w:val="single" w:sz="12" w:space="0" w:color="000000"/>
            </w:tcBorders>
            <w:vAlign w:val="center"/>
          </w:tcPr>
          <w:p w14:paraId="52B8BD4C"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0.637566</w:t>
            </w:r>
          </w:p>
        </w:tc>
        <w:tc>
          <w:tcPr>
            <w:tcW w:w="1540" w:type="dxa"/>
            <w:tcBorders>
              <w:top w:val="single" w:sz="12" w:space="0" w:color="000000"/>
              <w:bottom w:val="single" w:sz="12" w:space="0" w:color="000000"/>
            </w:tcBorders>
            <w:vAlign w:val="center"/>
          </w:tcPr>
          <w:p w14:paraId="52B8BD4D"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0.00000189</w:t>
            </w:r>
          </w:p>
        </w:tc>
        <w:tc>
          <w:tcPr>
            <w:tcW w:w="2279" w:type="dxa"/>
            <w:tcBorders>
              <w:top w:val="single" w:sz="12" w:space="0" w:color="000000"/>
              <w:bottom w:val="single" w:sz="12" w:space="0" w:color="000000"/>
            </w:tcBorders>
            <w:vAlign w:val="center"/>
          </w:tcPr>
          <w:p w14:paraId="52B8BD4E"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w:t>
            </w:r>
          </w:p>
        </w:tc>
      </w:tr>
      <w:tr w:rsidR="001A4D72" w14:paraId="52B8BD54" w14:textId="77777777">
        <w:trPr>
          <w:trHeight w:val="300"/>
        </w:trPr>
        <w:tc>
          <w:tcPr>
            <w:tcW w:w="2379" w:type="dxa"/>
            <w:tcBorders>
              <w:top w:val="single" w:sz="12" w:space="0" w:color="000000"/>
              <w:bottom w:val="single" w:sz="12" w:space="0" w:color="000000"/>
            </w:tcBorders>
            <w:vAlign w:val="center"/>
          </w:tcPr>
          <w:p w14:paraId="52B8BD50"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总糖</w:t>
            </w:r>
          </w:p>
        </w:tc>
        <w:tc>
          <w:tcPr>
            <w:tcW w:w="2621" w:type="dxa"/>
            <w:tcBorders>
              <w:top w:val="single" w:sz="12" w:space="0" w:color="000000"/>
              <w:bottom w:val="single" w:sz="12" w:space="0" w:color="000000"/>
            </w:tcBorders>
            <w:vAlign w:val="center"/>
          </w:tcPr>
          <w:p w14:paraId="52B8BD51"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0.630735</w:t>
            </w:r>
          </w:p>
        </w:tc>
        <w:tc>
          <w:tcPr>
            <w:tcW w:w="1540" w:type="dxa"/>
            <w:tcBorders>
              <w:top w:val="single" w:sz="12" w:space="0" w:color="000000"/>
              <w:bottom w:val="single" w:sz="12" w:space="0" w:color="000000"/>
            </w:tcBorders>
            <w:vAlign w:val="center"/>
          </w:tcPr>
          <w:p w14:paraId="52B8BD52"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0.00000262</w:t>
            </w:r>
          </w:p>
        </w:tc>
        <w:tc>
          <w:tcPr>
            <w:tcW w:w="2279" w:type="dxa"/>
            <w:tcBorders>
              <w:top w:val="single" w:sz="12" w:space="0" w:color="000000"/>
              <w:bottom w:val="single" w:sz="12" w:space="0" w:color="000000"/>
            </w:tcBorders>
            <w:vAlign w:val="center"/>
          </w:tcPr>
          <w:p w14:paraId="52B8BD53"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w:t>
            </w:r>
          </w:p>
        </w:tc>
      </w:tr>
      <w:tr w:rsidR="001A4D72" w14:paraId="52B8BD59" w14:textId="77777777">
        <w:trPr>
          <w:trHeight w:val="300"/>
        </w:trPr>
        <w:tc>
          <w:tcPr>
            <w:tcW w:w="2379" w:type="dxa"/>
            <w:tcBorders>
              <w:top w:val="single" w:sz="12" w:space="0" w:color="000000"/>
              <w:bottom w:val="single" w:sz="12" w:space="0" w:color="000000"/>
            </w:tcBorders>
            <w:vAlign w:val="center"/>
          </w:tcPr>
          <w:p w14:paraId="52B8BD55"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菠萝呋喃酮</w:t>
            </w:r>
          </w:p>
        </w:tc>
        <w:tc>
          <w:tcPr>
            <w:tcW w:w="2621" w:type="dxa"/>
            <w:tcBorders>
              <w:top w:val="single" w:sz="12" w:space="0" w:color="000000"/>
              <w:bottom w:val="single" w:sz="12" w:space="0" w:color="000000"/>
            </w:tcBorders>
            <w:vAlign w:val="center"/>
          </w:tcPr>
          <w:p w14:paraId="52B8BD56"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0.616529</w:t>
            </w:r>
          </w:p>
        </w:tc>
        <w:tc>
          <w:tcPr>
            <w:tcW w:w="1540" w:type="dxa"/>
            <w:tcBorders>
              <w:top w:val="single" w:sz="12" w:space="0" w:color="000000"/>
              <w:bottom w:val="single" w:sz="12" w:space="0" w:color="000000"/>
            </w:tcBorders>
            <w:vAlign w:val="center"/>
          </w:tcPr>
          <w:p w14:paraId="52B8BD57"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0.00000506</w:t>
            </w:r>
          </w:p>
        </w:tc>
        <w:tc>
          <w:tcPr>
            <w:tcW w:w="2279" w:type="dxa"/>
            <w:tcBorders>
              <w:top w:val="single" w:sz="12" w:space="0" w:color="000000"/>
              <w:bottom w:val="single" w:sz="12" w:space="0" w:color="000000"/>
            </w:tcBorders>
            <w:vAlign w:val="center"/>
          </w:tcPr>
          <w:p w14:paraId="52B8BD58"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w:t>
            </w:r>
          </w:p>
        </w:tc>
      </w:tr>
      <w:tr w:rsidR="001A4D72" w14:paraId="52B8BD5E" w14:textId="77777777">
        <w:trPr>
          <w:trHeight w:val="300"/>
        </w:trPr>
        <w:tc>
          <w:tcPr>
            <w:tcW w:w="2379" w:type="dxa"/>
            <w:tcBorders>
              <w:top w:val="single" w:sz="12" w:space="0" w:color="000000"/>
              <w:bottom w:val="single" w:sz="12" w:space="0" w:color="000000"/>
            </w:tcBorders>
            <w:vAlign w:val="center"/>
          </w:tcPr>
          <w:p w14:paraId="52B8BD5A"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还原糖</w:t>
            </w:r>
          </w:p>
        </w:tc>
        <w:tc>
          <w:tcPr>
            <w:tcW w:w="2621" w:type="dxa"/>
            <w:tcBorders>
              <w:top w:val="single" w:sz="12" w:space="0" w:color="000000"/>
              <w:bottom w:val="single" w:sz="12" w:space="0" w:color="000000"/>
            </w:tcBorders>
            <w:vAlign w:val="center"/>
          </w:tcPr>
          <w:p w14:paraId="52B8BD5B"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0.603787</w:t>
            </w:r>
          </w:p>
        </w:tc>
        <w:tc>
          <w:tcPr>
            <w:tcW w:w="1540" w:type="dxa"/>
            <w:tcBorders>
              <w:top w:val="single" w:sz="12" w:space="0" w:color="000000"/>
              <w:bottom w:val="single" w:sz="12" w:space="0" w:color="000000"/>
            </w:tcBorders>
            <w:vAlign w:val="center"/>
          </w:tcPr>
          <w:p w14:paraId="52B8BD5C"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0.0000089</w:t>
            </w:r>
          </w:p>
        </w:tc>
        <w:tc>
          <w:tcPr>
            <w:tcW w:w="2279" w:type="dxa"/>
            <w:tcBorders>
              <w:top w:val="single" w:sz="12" w:space="0" w:color="000000"/>
              <w:bottom w:val="single" w:sz="12" w:space="0" w:color="000000"/>
            </w:tcBorders>
            <w:vAlign w:val="center"/>
          </w:tcPr>
          <w:p w14:paraId="52B8BD5D"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w:t>
            </w:r>
          </w:p>
        </w:tc>
      </w:tr>
      <w:tr w:rsidR="001A4D72" w14:paraId="52B8BD63" w14:textId="77777777">
        <w:trPr>
          <w:trHeight w:val="300"/>
        </w:trPr>
        <w:tc>
          <w:tcPr>
            <w:tcW w:w="2379" w:type="dxa"/>
            <w:tcBorders>
              <w:top w:val="single" w:sz="12" w:space="0" w:color="000000"/>
              <w:bottom w:val="single" w:sz="12" w:space="0" w:color="000000"/>
            </w:tcBorders>
            <w:vAlign w:val="center"/>
          </w:tcPr>
          <w:p w14:paraId="52B8BD5F"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肌醇</w:t>
            </w:r>
          </w:p>
        </w:tc>
        <w:tc>
          <w:tcPr>
            <w:tcW w:w="2621" w:type="dxa"/>
            <w:tcBorders>
              <w:top w:val="single" w:sz="12" w:space="0" w:color="000000"/>
              <w:bottom w:val="single" w:sz="12" w:space="0" w:color="000000"/>
            </w:tcBorders>
            <w:vAlign w:val="center"/>
          </w:tcPr>
          <w:p w14:paraId="52B8BD60"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0.592169</w:t>
            </w:r>
          </w:p>
        </w:tc>
        <w:tc>
          <w:tcPr>
            <w:tcW w:w="1540" w:type="dxa"/>
            <w:tcBorders>
              <w:top w:val="single" w:sz="12" w:space="0" w:color="000000"/>
              <w:bottom w:val="single" w:sz="12" w:space="0" w:color="000000"/>
            </w:tcBorders>
            <w:vAlign w:val="center"/>
          </w:tcPr>
          <w:p w14:paraId="52B8BD61"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0.0000146</w:t>
            </w:r>
          </w:p>
        </w:tc>
        <w:tc>
          <w:tcPr>
            <w:tcW w:w="2279" w:type="dxa"/>
            <w:tcBorders>
              <w:top w:val="single" w:sz="12" w:space="0" w:color="000000"/>
              <w:bottom w:val="single" w:sz="12" w:space="0" w:color="000000"/>
            </w:tcBorders>
            <w:vAlign w:val="center"/>
          </w:tcPr>
          <w:p w14:paraId="52B8BD62"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w:t>
            </w:r>
          </w:p>
        </w:tc>
      </w:tr>
      <w:tr w:rsidR="001A4D72" w14:paraId="52B8BD68" w14:textId="77777777">
        <w:trPr>
          <w:trHeight w:val="300"/>
        </w:trPr>
        <w:tc>
          <w:tcPr>
            <w:tcW w:w="2379" w:type="dxa"/>
            <w:tcBorders>
              <w:top w:val="single" w:sz="12" w:space="0" w:color="000000"/>
              <w:bottom w:val="single" w:sz="12" w:space="0" w:color="000000"/>
            </w:tcBorders>
            <w:vAlign w:val="center"/>
          </w:tcPr>
          <w:p w14:paraId="52B8BD64"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糠醛</w:t>
            </w:r>
          </w:p>
        </w:tc>
        <w:tc>
          <w:tcPr>
            <w:tcW w:w="2621" w:type="dxa"/>
            <w:tcBorders>
              <w:top w:val="single" w:sz="12" w:space="0" w:color="000000"/>
              <w:bottom w:val="single" w:sz="12" w:space="0" w:color="000000"/>
            </w:tcBorders>
            <w:vAlign w:val="center"/>
          </w:tcPr>
          <w:p w14:paraId="52B8BD65"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0.56064</w:t>
            </w:r>
          </w:p>
        </w:tc>
        <w:tc>
          <w:tcPr>
            <w:tcW w:w="1540" w:type="dxa"/>
            <w:tcBorders>
              <w:top w:val="single" w:sz="12" w:space="0" w:color="000000"/>
              <w:bottom w:val="single" w:sz="12" w:space="0" w:color="000000"/>
            </w:tcBorders>
            <w:vAlign w:val="center"/>
          </w:tcPr>
          <w:p w14:paraId="52B8BD66"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0.0000507</w:t>
            </w:r>
          </w:p>
        </w:tc>
        <w:tc>
          <w:tcPr>
            <w:tcW w:w="2279" w:type="dxa"/>
            <w:tcBorders>
              <w:top w:val="single" w:sz="12" w:space="0" w:color="000000"/>
              <w:bottom w:val="single" w:sz="12" w:space="0" w:color="000000"/>
            </w:tcBorders>
            <w:vAlign w:val="center"/>
          </w:tcPr>
          <w:p w14:paraId="52B8BD67"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w:t>
            </w:r>
          </w:p>
        </w:tc>
      </w:tr>
      <w:tr w:rsidR="001A4D72" w14:paraId="52B8BD6D" w14:textId="77777777">
        <w:trPr>
          <w:trHeight w:val="300"/>
        </w:trPr>
        <w:tc>
          <w:tcPr>
            <w:tcW w:w="2379" w:type="dxa"/>
            <w:tcBorders>
              <w:top w:val="single" w:sz="12" w:space="0" w:color="000000"/>
              <w:bottom w:val="single" w:sz="12" w:space="0" w:color="000000"/>
            </w:tcBorders>
            <w:vAlign w:val="center"/>
          </w:tcPr>
          <w:p w14:paraId="52B8BD69"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丙二酸</w:t>
            </w:r>
          </w:p>
        </w:tc>
        <w:tc>
          <w:tcPr>
            <w:tcW w:w="2621" w:type="dxa"/>
            <w:tcBorders>
              <w:top w:val="single" w:sz="12" w:space="0" w:color="000000"/>
              <w:bottom w:val="single" w:sz="12" w:space="0" w:color="000000"/>
            </w:tcBorders>
            <w:vAlign w:val="center"/>
          </w:tcPr>
          <w:p w14:paraId="52B8BD6A"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-0.49609</w:t>
            </w:r>
          </w:p>
        </w:tc>
        <w:tc>
          <w:tcPr>
            <w:tcW w:w="1540" w:type="dxa"/>
            <w:tcBorders>
              <w:top w:val="single" w:sz="12" w:space="0" w:color="000000"/>
              <w:bottom w:val="single" w:sz="12" w:space="0" w:color="000000"/>
            </w:tcBorders>
            <w:vAlign w:val="center"/>
          </w:tcPr>
          <w:p w14:paraId="52B8BD6B"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0.000455</w:t>
            </w:r>
          </w:p>
        </w:tc>
        <w:tc>
          <w:tcPr>
            <w:tcW w:w="2279" w:type="dxa"/>
            <w:tcBorders>
              <w:top w:val="single" w:sz="12" w:space="0" w:color="000000"/>
              <w:bottom w:val="single" w:sz="12" w:space="0" w:color="000000"/>
            </w:tcBorders>
            <w:vAlign w:val="center"/>
          </w:tcPr>
          <w:p w14:paraId="52B8BD6C"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w:t>
            </w:r>
          </w:p>
        </w:tc>
      </w:tr>
      <w:tr w:rsidR="001A4D72" w14:paraId="52B8BD72" w14:textId="77777777">
        <w:trPr>
          <w:trHeight w:val="300"/>
        </w:trPr>
        <w:tc>
          <w:tcPr>
            <w:tcW w:w="2379" w:type="dxa"/>
            <w:tcBorders>
              <w:top w:val="single" w:sz="12" w:space="0" w:color="000000"/>
              <w:bottom w:val="single" w:sz="12" w:space="0" w:color="000000"/>
            </w:tcBorders>
            <w:vAlign w:val="center"/>
          </w:tcPr>
          <w:p w14:paraId="52B8BD6E"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总氮</w:t>
            </w:r>
          </w:p>
        </w:tc>
        <w:tc>
          <w:tcPr>
            <w:tcW w:w="2621" w:type="dxa"/>
            <w:tcBorders>
              <w:top w:val="single" w:sz="12" w:space="0" w:color="000000"/>
              <w:bottom w:val="single" w:sz="12" w:space="0" w:color="000000"/>
            </w:tcBorders>
            <w:vAlign w:val="center"/>
          </w:tcPr>
          <w:p w14:paraId="52B8BD6F"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-0.48555</w:t>
            </w:r>
          </w:p>
        </w:tc>
        <w:tc>
          <w:tcPr>
            <w:tcW w:w="1540" w:type="dxa"/>
            <w:tcBorders>
              <w:top w:val="single" w:sz="12" w:space="0" w:color="000000"/>
              <w:bottom w:val="single" w:sz="12" w:space="0" w:color="000000"/>
            </w:tcBorders>
            <w:vAlign w:val="center"/>
          </w:tcPr>
          <w:p w14:paraId="52B8BD70"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0.000625</w:t>
            </w:r>
          </w:p>
        </w:tc>
        <w:tc>
          <w:tcPr>
            <w:tcW w:w="2279" w:type="dxa"/>
            <w:tcBorders>
              <w:top w:val="single" w:sz="12" w:space="0" w:color="000000"/>
              <w:bottom w:val="single" w:sz="12" w:space="0" w:color="000000"/>
            </w:tcBorders>
            <w:vAlign w:val="center"/>
          </w:tcPr>
          <w:p w14:paraId="52B8BD71"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w:t>
            </w:r>
          </w:p>
        </w:tc>
      </w:tr>
      <w:tr w:rsidR="001A4D72" w14:paraId="52B8BD77" w14:textId="77777777">
        <w:trPr>
          <w:trHeight w:val="300"/>
        </w:trPr>
        <w:tc>
          <w:tcPr>
            <w:tcW w:w="2379" w:type="dxa"/>
            <w:tcBorders>
              <w:top w:val="single" w:sz="12" w:space="0" w:color="000000"/>
              <w:bottom w:val="single" w:sz="12" w:space="0" w:color="000000"/>
            </w:tcBorders>
            <w:vAlign w:val="center"/>
          </w:tcPr>
          <w:p w14:paraId="52B8BD73"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糠醇</w:t>
            </w:r>
          </w:p>
        </w:tc>
        <w:tc>
          <w:tcPr>
            <w:tcW w:w="2621" w:type="dxa"/>
            <w:tcBorders>
              <w:top w:val="single" w:sz="12" w:space="0" w:color="000000"/>
              <w:bottom w:val="single" w:sz="12" w:space="0" w:color="000000"/>
            </w:tcBorders>
            <w:vAlign w:val="center"/>
          </w:tcPr>
          <w:p w14:paraId="52B8BD74"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0.466327</w:t>
            </w:r>
          </w:p>
        </w:tc>
        <w:tc>
          <w:tcPr>
            <w:tcW w:w="1540" w:type="dxa"/>
            <w:tcBorders>
              <w:top w:val="single" w:sz="12" w:space="0" w:color="000000"/>
              <w:bottom w:val="single" w:sz="12" w:space="0" w:color="000000"/>
            </w:tcBorders>
            <w:vAlign w:val="center"/>
          </w:tcPr>
          <w:p w14:paraId="52B8BD75"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0.001089</w:t>
            </w:r>
          </w:p>
        </w:tc>
        <w:tc>
          <w:tcPr>
            <w:tcW w:w="2279" w:type="dxa"/>
            <w:tcBorders>
              <w:top w:val="single" w:sz="12" w:space="0" w:color="000000"/>
              <w:bottom w:val="single" w:sz="12" w:space="0" w:color="000000"/>
            </w:tcBorders>
            <w:vAlign w:val="center"/>
          </w:tcPr>
          <w:p w14:paraId="52B8BD76"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w:t>
            </w:r>
          </w:p>
        </w:tc>
      </w:tr>
      <w:tr w:rsidR="001A4D72" w14:paraId="52B8BD7C" w14:textId="77777777">
        <w:trPr>
          <w:trHeight w:val="300"/>
        </w:trPr>
        <w:tc>
          <w:tcPr>
            <w:tcW w:w="2379" w:type="dxa"/>
            <w:tcBorders>
              <w:top w:val="single" w:sz="12" w:space="0" w:color="000000"/>
              <w:bottom w:val="single" w:sz="12" w:space="0" w:color="000000"/>
            </w:tcBorders>
            <w:vAlign w:val="center"/>
          </w:tcPr>
          <w:p w14:paraId="52B8BD78"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甲基环戊烯醇酮</w:t>
            </w:r>
          </w:p>
        </w:tc>
        <w:tc>
          <w:tcPr>
            <w:tcW w:w="2621" w:type="dxa"/>
            <w:tcBorders>
              <w:top w:val="single" w:sz="12" w:space="0" w:color="000000"/>
              <w:bottom w:val="single" w:sz="12" w:space="0" w:color="000000"/>
            </w:tcBorders>
            <w:vAlign w:val="center"/>
          </w:tcPr>
          <w:p w14:paraId="52B8BD79"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0.389479</w:t>
            </w:r>
          </w:p>
        </w:tc>
        <w:tc>
          <w:tcPr>
            <w:tcW w:w="1540" w:type="dxa"/>
            <w:tcBorders>
              <w:top w:val="single" w:sz="12" w:space="0" w:color="000000"/>
              <w:bottom w:val="single" w:sz="12" w:space="0" w:color="000000"/>
            </w:tcBorders>
            <w:vAlign w:val="center"/>
          </w:tcPr>
          <w:p w14:paraId="52B8BD7A"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0.007463</w:t>
            </w:r>
          </w:p>
        </w:tc>
        <w:tc>
          <w:tcPr>
            <w:tcW w:w="2279" w:type="dxa"/>
            <w:tcBorders>
              <w:top w:val="single" w:sz="12" w:space="0" w:color="000000"/>
              <w:bottom w:val="single" w:sz="12" w:space="0" w:color="000000"/>
            </w:tcBorders>
            <w:vAlign w:val="center"/>
          </w:tcPr>
          <w:p w14:paraId="52B8BD7B"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w:t>
            </w:r>
          </w:p>
        </w:tc>
      </w:tr>
      <w:tr w:rsidR="001A4D72" w14:paraId="52B8BD81" w14:textId="77777777">
        <w:trPr>
          <w:trHeight w:val="300"/>
        </w:trPr>
        <w:tc>
          <w:tcPr>
            <w:tcW w:w="2379" w:type="dxa"/>
            <w:tcBorders>
              <w:top w:val="single" w:sz="12" w:space="0" w:color="000000"/>
              <w:bottom w:val="single" w:sz="12" w:space="0" w:color="000000"/>
            </w:tcBorders>
            <w:vAlign w:val="center"/>
          </w:tcPr>
          <w:p w14:paraId="52B8BD7D"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乙基环戊烯醇酮</w:t>
            </w:r>
          </w:p>
        </w:tc>
        <w:tc>
          <w:tcPr>
            <w:tcW w:w="2621" w:type="dxa"/>
            <w:tcBorders>
              <w:top w:val="single" w:sz="12" w:space="0" w:color="000000"/>
              <w:bottom w:val="single" w:sz="12" w:space="0" w:color="000000"/>
            </w:tcBorders>
            <w:vAlign w:val="center"/>
          </w:tcPr>
          <w:p w14:paraId="52B8BD7E"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0.349319</w:t>
            </w:r>
          </w:p>
        </w:tc>
        <w:tc>
          <w:tcPr>
            <w:tcW w:w="1540" w:type="dxa"/>
            <w:tcBorders>
              <w:top w:val="single" w:sz="12" w:space="0" w:color="000000"/>
              <w:bottom w:val="single" w:sz="12" w:space="0" w:color="000000"/>
            </w:tcBorders>
            <w:vAlign w:val="center"/>
          </w:tcPr>
          <w:p w14:paraId="52B8BD7F"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0.017336</w:t>
            </w:r>
          </w:p>
        </w:tc>
        <w:tc>
          <w:tcPr>
            <w:tcW w:w="2279" w:type="dxa"/>
            <w:tcBorders>
              <w:top w:val="single" w:sz="12" w:space="0" w:color="000000"/>
              <w:bottom w:val="single" w:sz="12" w:space="0" w:color="000000"/>
            </w:tcBorders>
            <w:vAlign w:val="center"/>
          </w:tcPr>
          <w:p w14:paraId="52B8BD80"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w:t>
            </w:r>
          </w:p>
        </w:tc>
      </w:tr>
      <w:tr w:rsidR="001A4D72" w14:paraId="52B8BD86" w14:textId="77777777">
        <w:trPr>
          <w:trHeight w:val="300"/>
        </w:trPr>
        <w:tc>
          <w:tcPr>
            <w:tcW w:w="2379" w:type="dxa"/>
            <w:tcBorders>
              <w:top w:val="single" w:sz="12" w:space="0" w:color="000000"/>
              <w:bottom w:val="single" w:sz="12" w:space="0" w:color="000000"/>
            </w:tcBorders>
            <w:vAlign w:val="center"/>
          </w:tcPr>
          <w:p w14:paraId="52B8BD82"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3-</w:t>
            </w:r>
            <w:r>
              <w:rPr>
                <w:rFonts w:ascii="Times New Roman" w:eastAsia="宋体" w:hAnsi="Times New Roman" w:cs="宋体"/>
                <w:color w:val="000000"/>
                <w:kern w:val="0"/>
                <w:sz w:val="21"/>
              </w:rPr>
              <w:t>乙基</w:t>
            </w:r>
            <w:r>
              <w:rPr>
                <w:rFonts w:ascii="Times New Roman" w:eastAsia="宋体" w:hAnsi="Times New Roman" w:cs="宋体"/>
                <w:color w:val="000000"/>
                <w:kern w:val="0"/>
                <w:sz w:val="21"/>
              </w:rPr>
              <w:t>-2-</w:t>
            </w:r>
            <w:r>
              <w:rPr>
                <w:rFonts w:ascii="Times New Roman" w:eastAsia="宋体" w:hAnsi="Times New Roman" w:cs="宋体"/>
                <w:color w:val="000000"/>
                <w:kern w:val="0"/>
                <w:sz w:val="21"/>
              </w:rPr>
              <w:t>环戊烯酮</w:t>
            </w:r>
          </w:p>
        </w:tc>
        <w:tc>
          <w:tcPr>
            <w:tcW w:w="2621" w:type="dxa"/>
            <w:tcBorders>
              <w:top w:val="single" w:sz="12" w:space="0" w:color="000000"/>
              <w:bottom w:val="single" w:sz="12" w:space="0" w:color="000000"/>
            </w:tcBorders>
            <w:vAlign w:val="center"/>
          </w:tcPr>
          <w:p w14:paraId="52B8BD83"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0.316144</w:t>
            </w:r>
          </w:p>
        </w:tc>
        <w:tc>
          <w:tcPr>
            <w:tcW w:w="1540" w:type="dxa"/>
            <w:tcBorders>
              <w:top w:val="single" w:sz="12" w:space="0" w:color="000000"/>
              <w:bottom w:val="single" w:sz="12" w:space="0" w:color="000000"/>
            </w:tcBorders>
            <w:vAlign w:val="center"/>
          </w:tcPr>
          <w:p w14:paraId="52B8BD84"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0.032321</w:t>
            </w:r>
          </w:p>
        </w:tc>
        <w:tc>
          <w:tcPr>
            <w:tcW w:w="2279" w:type="dxa"/>
            <w:tcBorders>
              <w:top w:val="single" w:sz="12" w:space="0" w:color="000000"/>
              <w:bottom w:val="single" w:sz="12" w:space="0" w:color="000000"/>
            </w:tcBorders>
            <w:vAlign w:val="center"/>
          </w:tcPr>
          <w:p w14:paraId="52B8BD85"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w:t>
            </w:r>
            <w:bookmarkStart w:id="28" w:name="_Hlk216402515"/>
            <w:bookmarkEnd w:id="28"/>
          </w:p>
        </w:tc>
      </w:tr>
    </w:tbl>
    <w:p w14:paraId="52B8BD87" w14:textId="77777777" w:rsidR="001A4D72" w:rsidRDefault="001A4D72">
      <w:pPr>
        <w:spacing w:line="360" w:lineRule="auto"/>
        <w:ind w:firstLine="420"/>
        <w:rPr>
          <w:rFonts w:ascii="Times New Roman" w:eastAsia="宋体" w:hAnsi="Times New Roman" w:cs="Times New Roman"/>
          <w:sz w:val="21"/>
          <w:szCs w:val="21"/>
        </w:rPr>
      </w:pPr>
    </w:p>
    <w:p w14:paraId="52B8BD88" w14:textId="77777777" w:rsidR="001A4D72" w:rsidRDefault="00000000">
      <w:pPr>
        <w:spacing w:line="360" w:lineRule="auto"/>
        <w:ind w:firstLine="420"/>
        <w:jc w:val="center"/>
        <w:rPr>
          <w:rFonts w:ascii="Times New Roman" w:eastAsia="宋体" w:hAnsi="Times New Roman" w:cs="Times New Roman"/>
          <w:sz w:val="21"/>
          <w:szCs w:val="21"/>
        </w:rPr>
      </w:pPr>
      <w:r>
        <w:rPr>
          <w:noProof/>
        </w:rPr>
        <w:lastRenderedPageBreak/>
        <w:drawing>
          <wp:inline distT="0" distB="0" distL="0" distR="0" wp14:anchorId="52B8BEA7" wp14:editId="52B8BEA8">
            <wp:extent cx="5172075" cy="2943225"/>
            <wp:effectExtent l="0" t="0" r="0" b="0"/>
            <wp:docPr id="7" name="图形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形 25"/>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5172075" cy="2943225"/>
                    </a:xfrm>
                    <a:prstGeom prst="rect">
                      <a:avLst/>
                    </a:prstGeom>
                  </pic:spPr>
                </pic:pic>
              </a:graphicData>
            </a:graphic>
          </wp:inline>
        </w:drawing>
      </w:r>
    </w:p>
    <w:p w14:paraId="52B8BD89" w14:textId="77777777" w:rsidR="001A4D72" w:rsidRDefault="00000000">
      <w:pPr>
        <w:spacing w:line="360" w:lineRule="auto"/>
        <w:ind w:firstLine="421"/>
        <w:jc w:val="center"/>
        <w:rPr>
          <w:rFonts w:ascii="Times New Roman" w:eastAsia="宋体" w:hAnsi="Times New Roman" w:cs="Times New Roman"/>
          <w:b/>
          <w:sz w:val="21"/>
          <w:szCs w:val="21"/>
        </w:rPr>
      </w:pPr>
      <w:r>
        <w:rPr>
          <w:rFonts w:ascii="Times New Roman" w:eastAsia="宋体" w:hAnsi="Times New Roman" w:cs="Times New Roman"/>
          <w:b/>
          <w:sz w:val="21"/>
          <w:szCs w:val="21"/>
        </w:rPr>
        <w:t>图</w:t>
      </w:r>
      <w:r>
        <w:rPr>
          <w:rFonts w:ascii="Times New Roman" w:eastAsia="宋体" w:hAnsi="Times New Roman" w:cs="Times New Roman"/>
          <w:b/>
          <w:sz w:val="21"/>
          <w:szCs w:val="21"/>
        </w:rPr>
        <w:t xml:space="preserve">6 </w:t>
      </w:r>
      <w:r>
        <w:rPr>
          <w:rFonts w:ascii="Times New Roman" w:eastAsia="宋体" w:hAnsi="Times New Roman" w:cs="Times New Roman"/>
          <w:b/>
          <w:sz w:val="21"/>
          <w:szCs w:val="21"/>
        </w:rPr>
        <w:t>最终核心化学物质与感官酸感的相关性分析图</w:t>
      </w:r>
    </w:p>
    <w:p w14:paraId="52B8BD8A" w14:textId="77777777" w:rsidR="001A4D72" w:rsidRDefault="00000000">
      <w:pPr>
        <w:spacing w:line="360" w:lineRule="auto"/>
        <w:ind w:firstLine="421"/>
        <w:jc w:val="center"/>
        <w:rPr>
          <w:rFonts w:ascii="Times New Roman" w:eastAsia="宋体" w:hAnsi="Times New Roman" w:cs="Times New Roman"/>
          <w:b/>
          <w:sz w:val="21"/>
          <w:szCs w:val="21"/>
        </w:rPr>
      </w:pPr>
      <w:r>
        <w:rPr>
          <w:rFonts w:ascii="Times New Roman" w:eastAsia="宋体" w:hAnsi="Times New Roman" w:cs="Times New Roman"/>
          <w:b/>
          <w:sz w:val="21"/>
          <w:szCs w:val="21"/>
        </w:rPr>
        <w:t>Fig.6 Correlation analysis of the final core chemical substances and sensory acidity</w:t>
      </w:r>
    </w:p>
    <w:p w14:paraId="52B8BD8B" w14:textId="77777777" w:rsidR="001A4D72" w:rsidRDefault="00000000">
      <w:pPr>
        <w:snapToGrid w:val="0"/>
        <w:spacing w:line="360" w:lineRule="auto"/>
        <w:jc w:val="left"/>
        <w:outlineLvl w:val="1"/>
        <w:rPr>
          <w:rFonts w:ascii="Times New Roman" w:eastAsia="宋体" w:hAnsi="Times New Roman" w:cs="Times New Roman"/>
          <w:b/>
          <w:bCs/>
        </w:rPr>
      </w:pPr>
      <w:r>
        <w:rPr>
          <w:rFonts w:ascii="Times New Roman" w:eastAsia="宋体" w:hAnsi="Times New Roman" w:cs="Times New Roman"/>
          <w:b/>
          <w:bCs/>
        </w:rPr>
        <w:t xml:space="preserve">2.4 </w:t>
      </w:r>
      <w:r>
        <w:rPr>
          <w:rFonts w:ascii="Times New Roman" w:eastAsia="宋体" w:hAnsi="Times New Roman" w:cs="Times New Roman"/>
          <w:b/>
          <w:bCs/>
        </w:rPr>
        <w:t>不同类型原料的酸感物质基础差异解析</w:t>
      </w:r>
    </w:p>
    <w:p w14:paraId="52B8BD8C"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为验证核心物质在解释不同原料感官差异方面的有效性，本研究分析了</w:t>
      </w:r>
      <w:r>
        <w:rPr>
          <w:rFonts w:ascii="Times New Roman" w:eastAsia="宋体" w:hAnsi="Times New Roman" w:cs="Times New Roman"/>
          <w:szCs w:val="21"/>
        </w:rPr>
        <w:t xml:space="preserve"> 21 </w:t>
      </w:r>
      <w:r>
        <w:rPr>
          <w:rFonts w:ascii="Times New Roman" w:eastAsia="宋体" w:hAnsi="Times New Roman" w:cs="Times New Roman"/>
          <w:szCs w:val="21"/>
        </w:rPr>
        <w:t>种关键物质在不同烟草类型中的分布特征（见表</w:t>
      </w:r>
      <w:r>
        <w:rPr>
          <w:rFonts w:ascii="Times New Roman" w:eastAsia="宋体" w:hAnsi="Times New Roman" w:cs="Times New Roman"/>
          <w:szCs w:val="21"/>
        </w:rPr>
        <w:t>3</w:t>
      </w:r>
      <w:r>
        <w:rPr>
          <w:rFonts w:ascii="Times New Roman" w:eastAsia="宋体" w:hAnsi="Times New Roman" w:cs="Times New Roman"/>
          <w:szCs w:val="21"/>
        </w:rPr>
        <w:t>）。结果显示，不同类型烟草的化学模式与感官表现之间存在着三种典型的对应关系：</w:t>
      </w:r>
    </w:p>
    <w:p w14:paraId="52B8BD8D"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 xml:space="preserve">(1) </w:t>
      </w:r>
      <w:r>
        <w:rPr>
          <w:rFonts w:ascii="Times New Roman" w:eastAsia="宋体" w:hAnsi="Times New Roman" w:cs="Times New Roman"/>
          <w:szCs w:val="21"/>
        </w:rPr>
        <w:t>典型致酸型：</w:t>
      </w:r>
      <w:r>
        <w:rPr>
          <w:rFonts w:ascii="Times New Roman" w:eastAsia="宋体" w:hAnsi="Times New Roman" w:cs="Times New Roman"/>
          <w:szCs w:val="21"/>
        </w:rPr>
        <w:t xml:space="preserve"> </w:t>
      </w:r>
      <w:r>
        <w:rPr>
          <w:rFonts w:ascii="Times New Roman" w:eastAsia="宋体" w:hAnsi="Times New Roman" w:cs="Times New Roman"/>
          <w:szCs w:val="21"/>
        </w:rPr>
        <w:t>烤烟与香料烟样品在致酸贡献物质上呈现显著的高含量特征，且抑酸物质含量较低，这与其在感官评价中表现出的显著酸感高度一致。</w:t>
      </w:r>
    </w:p>
    <w:p w14:paraId="52B8BD8E"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 xml:space="preserve">(2) </w:t>
      </w:r>
      <w:r>
        <w:rPr>
          <w:rFonts w:ascii="Times New Roman" w:eastAsia="宋体" w:hAnsi="Times New Roman" w:cs="Times New Roman"/>
          <w:szCs w:val="21"/>
        </w:rPr>
        <w:t>典型抑酸型：</w:t>
      </w:r>
      <w:r>
        <w:rPr>
          <w:rFonts w:ascii="Times New Roman" w:eastAsia="宋体" w:hAnsi="Times New Roman" w:cs="Times New Roman"/>
          <w:szCs w:val="21"/>
        </w:rPr>
        <w:t xml:space="preserve"> </w:t>
      </w:r>
      <w:r>
        <w:rPr>
          <w:rFonts w:ascii="Times New Roman" w:eastAsia="宋体" w:hAnsi="Times New Roman" w:cs="Times New Roman"/>
          <w:szCs w:val="21"/>
        </w:rPr>
        <w:t>白肋烟和晒红烟呈现出极低的致酸物质含量和极高的抑酸</w:t>
      </w:r>
      <w:r>
        <w:rPr>
          <w:rFonts w:ascii="Times New Roman" w:eastAsia="宋体" w:hAnsi="Times New Roman" w:cs="Times New Roman"/>
          <w:szCs w:val="21"/>
        </w:rPr>
        <w:t>/</w:t>
      </w:r>
      <w:r>
        <w:rPr>
          <w:rFonts w:ascii="Times New Roman" w:eastAsia="宋体" w:hAnsi="Times New Roman" w:cs="Times New Roman"/>
          <w:szCs w:val="21"/>
        </w:rPr>
        <w:t>缓冲物质含量与感官评价中无酸感或低酸感的表现吻合。</w:t>
      </w:r>
    </w:p>
    <w:p w14:paraId="52B8BD8F"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 xml:space="preserve">(3) </w:t>
      </w:r>
      <w:r>
        <w:rPr>
          <w:rFonts w:ascii="Times New Roman" w:eastAsia="宋体" w:hAnsi="Times New Roman" w:cs="Times New Roman"/>
          <w:szCs w:val="21"/>
        </w:rPr>
        <w:t>潜在酸感型：晒黄烟在物质基础上表现出与烤烟相似的</w:t>
      </w:r>
      <w:r>
        <w:rPr>
          <w:rFonts w:ascii="Times New Roman" w:eastAsia="宋体" w:hAnsi="Times New Roman" w:cs="Times New Roman"/>
          <w:szCs w:val="21"/>
        </w:rPr>
        <w:t>“</w:t>
      </w:r>
      <w:r>
        <w:rPr>
          <w:rFonts w:ascii="Times New Roman" w:eastAsia="宋体" w:hAnsi="Times New Roman" w:cs="Times New Roman"/>
          <w:szCs w:val="21"/>
        </w:rPr>
        <w:t>高糖</w:t>
      </w:r>
      <w:r>
        <w:rPr>
          <w:rFonts w:ascii="Times New Roman" w:eastAsia="宋体" w:hAnsi="Times New Roman" w:cs="Times New Roman"/>
          <w:szCs w:val="21"/>
        </w:rPr>
        <w:t>/</w:t>
      </w:r>
      <w:r>
        <w:rPr>
          <w:rFonts w:ascii="Times New Roman" w:eastAsia="宋体" w:hAnsi="Times New Roman" w:cs="Times New Roman"/>
          <w:szCs w:val="21"/>
        </w:rPr>
        <w:t>高酸</w:t>
      </w:r>
      <w:r>
        <w:rPr>
          <w:rFonts w:ascii="Times New Roman" w:eastAsia="宋体" w:hAnsi="Times New Roman" w:cs="Times New Roman"/>
          <w:szCs w:val="21"/>
        </w:rPr>
        <w:t>”</w:t>
      </w:r>
      <w:r>
        <w:rPr>
          <w:rFonts w:ascii="Times New Roman" w:eastAsia="宋体" w:hAnsi="Times New Roman" w:cs="Times New Roman"/>
          <w:szCs w:val="21"/>
        </w:rPr>
        <w:t>特征，但在感官评价中却被归类为</w:t>
      </w:r>
      <w:r>
        <w:rPr>
          <w:rFonts w:ascii="Times New Roman" w:eastAsia="宋体" w:hAnsi="Times New Roman" w:cs="Times New Roman"/>
          <w:szCs w:val="21"/>
        </w:rPr>
        <w:t>“</w:t>
      </w:r>
      <w:r>
        <w:rPr>
          <w:rFonts w:ascii="Times New Roman" w:eastAsia="宋体" w:hAnsi="Times New Roman" w:cs="Times New Roman"/>
          <w:szCs w:val="21"/>
        </w:rPr>
        <w:t>无</w:t>
      </w:r>
      <w:r>
        <w:rPr>
          <w:rFonts w:ascii="Times New Roman" w:eastAsia="宋体" w:hAnsi="Times New Roman" w:cs="Times New Roman"/>
          <w:szCs w:val="21"/>
        </w:rPr>
        <w:t>/</w:t>
      </w:r>
      <w:r>
        <w:rPr>
          <w:rFonts w:ascii="Times New Roman" w:eastAsia="宋体" w:hAnsi="Times New Roman" w:cs="Times New Roman"/>
          <w:szCs w:val="21"/>
        </w:rPr>
        <w:t>弱酸感</w:t>
      </w:r>
      <w:r>
        <w:rPr>
          <w:rFonts w:ascii="Times New Roman" w:eastAsia="宋体" w:hAnsi="Times New Roman" w:cs="Times New Roman"/>
          <w:szCs w:val="21"/>
        </w:rPr>
        <w:t>”</w:t>
      </w:r>
      <w:r>
        <w:rPr>
          <w:rFonts w:ascii="Times New Roman" w:eastAsia="宋体" w:hAnsi="Times New Roman" w:cs="Times New Roman"/>
          <w:szCs w:val="21"/>
        </w:rPr>
        <w:t>。这一现象揭示了感官酸感的形成并非单一物质的线性累加。</w:t>
      </w:r>
      <w:r>
        <w:rPr>
          <w:rFonts w:ascii="Times New Roman" w:eastAsia="宋体" w:hAnsi="Times New Roman" w:cs="Times New Roman"/>
          <w:szCs w:val="21"/>
        </w:rPr>
        <w:t xml:space="preserve"> </w:t>
      </w:r>
      <w:r>
        <w:rPr>
          <w:rFonts w:ascii="Times New Roman" w:eastAsia="宋体" w:hAnsi="Times New Roman" w:cs="Times New Roman"/>
          <w:szCs w:val="21"/>
        </w:rPr>
        <w:t>晒黄烟中较高的杂气成分或其他的风味物质可能产生了强烈的感官掩蔽效应。</w:t>
      </w:r>
    </w:p>
    <w:p w14:paraId="52B8BD90" w14:textId="77777777" w:rsidR="001A4D72" w:rsidRDefault="00000000">
      <w:pPr>
        <w:spacing w:line="360" w:lineRule="auto"/>
        <w:jc w:val="center"/>
        <w:rPr>
          <w:rFonts w:ascii="Times New Roman" w:eastAsia="宋体" w:hAnsi="Times New Roman" w:cs="Times New Roman"/>
          <w:b/>
          <w:sz w:val="21"/>
          <w:szCs w:val="21"/>
        </w:rPr>
      </w:pPr>
      <w:r>
        <w:rPr>
          <w:rFonts w:ascii="Times New Roman" w:eastAsia="宋体" w:hAnsi="Times New Roman" w:cs="Times New Roman"/>
          <w:b/>
          <w:sz w:val="21"/>
          <w:szCs w:val="21"/>
        </w:rPr>
        <w:t>表</w:t>
      </w:r>
      <w:r>
        <w:rPr>
          <w:rFonts w:ascii="Times New Roman" w:eastAsia="宋体" w:hAnsi="Times New Roman" w:cs="Times New Roman"/>
          <w:b/>
          <w:sz w:val="21"/>
          <w:szCs w:val="21"/>
        </w:rPr>
        <w:t xml:space="preserve">3 </w:t>
      </w:r>
      <w:r>
        <w:rPr>
          <w:rFonts w:ascii="Times New Roman" w:eastAsia="宋体" w:hAnsi="Times New Roman" w:cs="Times New Roman"/>
          <w:b/>
          <w:sz w:val="21"/>
          <w:szCs w:val="21"/>
        </w:rPr>
        <w:t>不同烟草类型中的分布特征色阶图</w:t>
      </w:r>
    </w:p>
    <w:p w14:paraId="52B8BD91" w14:textId="77777777" w:rsidR="001A4D72" w:rsidRDefault="00000000">
      <w:pPr>
        <w:spacing w:line="360" w:lineRule="auto"/>
        <w:jc w:val="center"/>
        <w:rPr>
          <w:rFonts w:ascii="Times New Roman" w:eastAsia="宋体" w:hAnsi="Times New Roman" w:cs="Times New Roman"/>
          <w:b/>
          <w:sz w:val="21"/>
          <w:szCs w:val="21"/>
        </w:rPr>
      </w:pPr>
      <w:r>
        <w:rPr>
          <w:rFonts w:ascii="Times New Roman" w:eastAsia="宋体" w:hAnsi="Times New Roman" w:cs="Times New Roman"/>
          <w:b/>
          <w:sz w:val="21"/>
          <w:szCs w:val="21"/>
        </w:rPr>
        <w:t>Table 3 Gradation Chart of Distribution Characteristics in Different Tobacco Types</w:t>
      </w:r>
    </w:p>
    <w:tbl>
      <w:tblPr>
        <w:tblW w:w="9541" w:type="dxa"/>
        <w:tblLayout w:type="fixed"/>
        <w:tblLook w:val="04A0" w:firstRow="1" w:lastRow="0" w:firstColumn="1" w:lastColumn="0" w:noHBand="0" w:noVBand="1"/>
      </w:tblPr>
      <w:tblGrid>
        <w:gridCol w:w="1078"/>
        <w:gridCol w:w="1984"/>
        <w:gridCol w:w="1080"/>
        <w:gridCol w:w="1080"/>
        <w:gridCol w:w="1080"/>
        <w:gridCol w:w="1082"/>
        <w:gridCol w:w="1080"/>
        <w:gridCol w:w="1077"/>
      </w:tblGrid>
      <w:tr w:rsidR="001A4D72" w14:paraId="52B8BD9A" w14:textId="77777777">
        <w:trPr>
          <w:trHeight w:val="285"/>
        </w:trPr>
        <w:tc>
          <w:tcPr>
            <w:tcW w:w="1077" w:type="dxa"/>
            <w:tcBorders>
              <w:top w:val="single" w:sz="12" w:space="0" w:color="000000"/>
              <w:bottom w:val="single" w:sz="4" w:space="0" w:color="000000"/>
            </w:tcBorders>
            <w:vAlign w:val="center"/>
          </w:tcPr>
          <w:p w14:paraId="52B8BD92"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物质类型</w:t>
            </w:r>
          </w:p>
        </w:tc>
        <w:tc>
          <w:tcPr>
            <w:tcW w:w="1983" w:type="dxa"/>
            <w:tcBorders>
              <w:top w:val="single" w:sz="12" w:space="0" w:color="000000"/>
              <w:bottom w:val="single" w:sz="4" w:space="0" w:color="000000"/>
            </w:tcBorders>
            <w:vAlign w:val="center"/>
          </w:tcPr>
          <w:p w14:paraId="52B8BD93"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类型</w:t>
            </w:r>
          </w:p>
        </w:tc>
        <w:tc>
          <w:tcPr>
            <w:tcW w:w="1080" w:type="dxa"/>
            <w:tcBorders>
              <w:top w:val="single" w:sz="12" w:space="0" w:color="000000"/>
              <w:bottom w:val="single" w:sz="4" w:space="0" w:color="000000"/>
            </w:tcBorders>
            <w:vAlign w:val="center"/>
          </w:tcPr>
          <w:p w14:paraId="52B8BD94"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烤烟</w:t>
            </w:r>
          </w:p>
        </w:tc>
        <w:tc>
          <w:tcPr>
            <w:tcW w:w="1080" w:type="dxa"/>
            <w:tcBorders>
              <w:top w:val="single" w:sz="12" w:space="0" w:color="000000"/>
              <w:bottom w:val="single" w:sz="4" w:space="0" w:color="000000"/>
            </w:tcBorders>
            <w:vAlign w:val="center"/>
          </w:tcPr>
          <w:p w14:paraId="52B8BD95"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香料烟</w:t>
            </w:r>
          </w:p>
        </w:tc>
        <w:tc>
          <w:tcPr>
            <w:tcW w:w="1080" w:type="dxa"/>
            <w:tcBorders>
              <w:top w:val="single" w:sz="12" w:space="0" w:color="000000"/>
              <w:bottom w:val="single" w:sz="4" w:space="0" w:color="000000"/>
            </w:tcBorders>
            <w:vAlign w:val="center"/>
          </w:tcPr>
          <w:p w14:paraId="52B8BD96"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晒红烟</w:t>
            </w:r>
          </w:p>
        </w:tc>
        <w:tc>
          <w:tcPr>
            <w:tcW w:w="1082" w:type="dxa"/>
            <w:tcBorders>
              <w:top w:val="single" w:sz="12" w:space="0" w:color="000000"/>
              <w:bottom w:val="single" w:sz="4" w:space="0" w:color="000000"/>
            </w:tcBorders>
            <w:vAlign w:val="center"/>
          </w:tcPr>
          <w:p w14:paraId="52B8BD97"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晒黄烟</w:t>
            </w:r>
          </w:p>
        </w:tc>
        <w:tc>
          <w:tcPr>
            <w:tcW w:w="1080" w:type="dxa"/>
            <w:tcBorders>
              <w:top w:val="single" w:sz="12" w:space="0" w:color="000000"/>
              <w:bottom w:val="single" w:sz="4" w:space="0" w:color="000000"/>
            </w:tcBorders>
            <w:vAlign w:val="center"/>
          </w:tcPr>
          <w:p w14:paraId="52B8BD98"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雪茄烟</w:t>
            </w:r>
          </w:p>
        </w:tc>
        <w:tc>
          <w:tcPr>
            <w:tcW w:w="1077" w:type="dxa"/>
            <w:tcBorders>
              <w:top w:val="single" w:sz="12" w:space="0" w:color="000000"/>
              <w:bottom w:val="single" w:sz="4" w:space="0" w:color="000000"/>
            </w:tcBorders>
            <w:vAlign w:val="center"/>
          </w:tcPr>
          <w:p w14:paraId="52B8BD99"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白肋烟</w:t>
            </w:r>
          </w:p>
        </w:tc>
      </w:tr>
      <w:tr w:rsidR="001A4D72" w14:paraId="52B8BDA3" w14:textId="77777777">
        <w:trPr>
          <w:trHeight w:val="285"/>
        </w:trPr>
        <w:tc>
          <w:tcPr>
            <w:tcW w:w="1077" w:type="dxa"/>
            <w:tcBorders>
              <w:top w:val="single" w:sz="4" w:space="0" w:color="000000"/>
            </w:tcBorders>
            <w:vAlign w:val="center"/>
          </w:tcPr>
          <w:p w14:paraId="52B8BD9B"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致酸物质</w:t>
            </w:r>
          </w:p>
        </w:tc>
        <w:tc>
          <w:tcPr>
            <w:tcW w:w="1983" w:type="dxa"/>
            <w:tcBorders>
              <w:top w:val="single" w:sz="4" w:space="0" w:color="000000"/>
            </w:tcBorders>
            <w:vAlign w:val="center"/>
          </w:tcPr>
          <w:p w14:paraId="52B8BD9C"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芸香苷</w:t>
            </w:r>
          </w:p>
        </w:tc>
        <w:tc>
          <w:tcPr>
            <w:tcW w:w="1080" w:type="dxa"/>
            <w:tcBorders>
              <w:top w:val="single" w:sz="4" w:space="0" w:color="000000"/>
            </w:tcBorders>
            <w:shd w:val="clear" w:color="000000" w:fill="F8696B"/>
            <w:vAlign w:val="center"/>
          </w:tcPr>
          <w:p w14:paraId="52B8BD9D"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11.4472</w:t>
            </w:r>
          </w:p>
        </w:tc>
        <w:tc>
          <w:tcPr>
            <w:tcW w:w="1080" w:type="dxa"/>
            <w:tcBorders>
              <w:top w:val="single" w:sz="4" w:space="0" w:color="000000"/>
            </w:tcBorders>
            <w:shd w:val="clear" w:color="000000" w:fill="F97173"/>
            <w:vAlign w:val="center"/>
          </w:tcPr>
          <w:p w14:paraId="52B8BD9E"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11.09053</w:t>
            </w:r>
          </w:p>
        </w:tc>
        <w:tc>
          <w:tcPr>
            <w:tcW w:w="1080" w:type="dxa"/>
            <w:tcBorders>
              <w:top w:val="single" w:sz="4" w:space="0" w:color="000000"/>
            </w:tcBorders>
            <w:shd w:val="clear" w:color="000000" w:fill="90B0D9"/>
            <w:vAlign w:val="center"/>
          </w:tcPr>
          <w:p w14:paraId="52B8BD9F"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1.428688</w:t>
            </w:r>
          </w:p>
        </w:tc>
        <w:tc>
          <w:tcPr>
            <w:tcW w:w="1082" w:type="dxa"/>
            <w:tcBorders>
              <w:top w:val="single" w:sz="4" w:space="0" w:color="000000"/>
            </w:tcBorders>
            <w:shd w:val="clear" w:color="000000" w:fill="FBC8CB"/>
            <w:vAlign w:val="center"/>
          </w:tcPr>
          <w:p w14:paraId="52B8BDA0"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6.667875</w:t>
            </w:r>
          </w:p>
        </w:tc>
        <w:tc>
          <w:tcPr>
            <w:tcW w:w="1080" w:type="dxa"/>
            <w:tcBorders>
              <w:top w:val="single" w:sz="4" w:space="0" w:color="000000"/>
            </w:tcBorders>
            <w:shd w:val="clear" w:color="000000" w:fill="5A8AC6"/>
            <w:vAlign w:val="center"/>
          </w:tcPr>
          <w:p w14:paraId="52B8BDA1"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0.1144</w:t>
            </w:r>
          </w:p>
        </w:tc>
        <w:tc>
          <w:tcPr>
            <w:tcW w:w="1077" w:type="dxa"/>
            <w:tcBorders>
              <w:top w:val="single" w:sz="4" w:space="0" w:color="000000"/>
            </w:tcBorders>
            <w:shd w:val="clear" w:color="000000" w:fill="5F8DC7"/>
            <w:vAlign w:val="center"/>
          </w:tcPr>
          <w:p w14:paraId="52B8BDA2"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0.2425</w:t>
            </w:r>
          </w:p>
        </w:tc>
      </w:tr>
      <w:tr w:rsidR="001A4D72" w14:paraId="52B8BDAC" w14:textId="77777777">
        <w:trPr>
          <w:trHeight w:val="285"/>
        </w:trPr>
        <w:tc>
          <w:tcPr>
            <w:tcW w:w="1077" w:type="dxa"/>
            <w:tcBorders>
              <w:bottom w:val="single" w:sz="12" w:space="0" w:color="000000"/>
            </w:tcBorders>
            <w:vAlign w:val="center"/>
          </w:tcPr>
          <w:p w14:paraId="52B8BDA4" w14:textId="77777777" w:rsidR="001A4D72" w:rsidRDefault="001A4D72">
            <w:pPr>
              <w:widowControl/>
              <w:jc w:val="center"/>
              <w:rPr>
                <w:rFonts w:ascii="Times New Roman" w:eastAsia="宋体" w:hAnsi="Times New Roman" w:cs="宋体"/>
                <w:color w:val="000000"/>
                <w:kern w:val="0"/>
                <w:sz w:val="21"/>
              </w:rPr>
            </w:pPr>
          </w:p>
        </w:tc>
        <w:tc>
          <w:tcPr>
            <w:tcW w:w="1983" w:type="dxa"/>
            <w:tcBorders>
              <w:bottom w:val="single" w:sz="12" w:space="0" w:color="000000"/>
            </w:tcBorders>
            <w:vAlign w:val="center"/>
          </w:tcPr>
          <w:p w14:paraId="52B8BDA5"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绿原酸</w:t>
            </w:r>
          </w:p>
        </w:tc>
        <w:tc>
          <w:tcPr>
            <w:tcW w:w="1080" w:type="dxa"/>
            <w:tcBorders>
              <w:bottom w:val="single" w:sz="12" w:space="0" w:color="000000"/>
            </w:tcBorders>
            <w:shd w:val="clear" w:color="000000" w:fill="F8696B"/>
            <w:vAlign w:val="center"/>
          </w:tcPr>
          <w:p w14:paraId="52B8BDA6"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13.365</w:t>
            </w:r>
          </w:p>
        </w:tc>
        <w:tc>
          <w:tcPr>
            <w:tcW w:w="1080" w:type="dxa"/>
            <w:tcBorders>
              <w:bottom w:val="single" w:sz="12" w:space="0" w:color="000000"/>
            </w:tcBorders>
            <w:shd w:val="clear" w:color="000000" w:fill="FBC7C9"/>
            <w:vAlign w:val="center"/>
          </w:tcPr>
          <w:p w14:paraId="52B8BDA7"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7.27875</w:t>
            </w:r>
          </w:p>
        </w:tc>
        <w:tc>
          <w:tcPr>
            <w:tcW w:w="1080" w:type="dxa"/>
            <w:tcBorders>
              <w:bottom w:val="single" w:sz="12" w:space="0" w:color="000000"/>
            </w:tcBorders>
            <w:shd w:val="clear" w:color="000000" w:fill="6994CB"/>
            <w:vAlign w:val="center"/>
          </w:tcPr>
          <w:p w14:paraId="52B8BDA8"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0.429813</w:t>
            </w:r>
          </w:p>
        </w:tc>
        <w:tc>
          <w:tcPr>
            <w:tcW w:w="1082" w:type="dxa"/>
            <w:tcBorders>
              <w:bottom w:val="single" w:sz="12" w:space="0" w:color="000000"/>
            </w:tcBorders>
            <w:shd w:val="clear" w:color="000000" w:fill="FBC9CC"/>
            <w:vAlign w:val="center"/>
          </w:tcPr>
          <w:p w14:paraId="52B8BDA9"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7.129125</w:t>
            </w:r>
          </w:p>
        </w:tc>
        <w:tc>
          <w:tcPr>
            <w:tcW w:w="1080" w:type="dxa"/>
            <w:tcBorders>
              <w:bottom w:val="single" w:sz="12" w:space="0" w:color="000000"/>
            </w:tcBorders>
            <w:shd w:val="clear" w:color="000000" w:fill="608EC8"/>
            <w:vAlign w:val="center"/>
          </w:tcPr>
          <w:p w14:paraId="52B8BDAA"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0.2288</w:t>
            </w:r>
          </w:p>
        </w:tc>
        <w:tc>
          <w:tcPr>
            <w:tcW w:w="1077" w:type="dxa"/>
            <w:tcBorders>
              <w:bottom w:val="single" w:sz="12" w:space="0" w:color="000000"/>
            </w:tcBorders>
            <w:shd w:val="clear" w:color="000000" w:fill="5A8AC6"/>
            <w:vAlign w:val="center"/>
          </w:tcPr>
          <w:p w14:paraId="52B8BDAB"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0.0815</w:t>
            </w:r>
          </w:p>
        </w:tc>
      </w:tr>
      <w:tr w:rsidR="001A4D72" w14:paraId="52B8BDB5" w14:textId="77777777">
        <w:trPr>
          <w:trHeight w:val="285"/>
        </w:trPr>
        <w:tc>
          <w:tcPr>
            <w:tcW w:w="1077" w:type="dxa"/>
            <w:tcBorders>
              <w:top w:val="single" w:sz="12" w:space="0" w:color="000000"/>
              <w:bottom w:val="single" w:sz="12" w:space="0" w:color="000000"/>
            </w:tcBorders>
            <w:vAlign w:val="center"/>
          </w:tcPr>
          <w:p w14:paraId="52B8BDAD" w14:textId="77777777" w:rsidR="001A4D72" w:rsidRDefault="001A4D72">
            <w:pPr>
              <w:widowControl/>
              <w:jc w:val="center"/>
              <w:rPr>
                <w:rFonts w:ascii="Times New Roman" w:eastAsia="宋体" w:hAnsi="Times New Roman" w:cs="宋体"/>
                <w:color w:val="000000"/>
                <w:kern w:val="0"/>
                <w:sz w:val="21"/>
              </w:rPr>
            </w:pPr>
          </w:p>
        </w:tc>
        <w:tc>
          <w:tcPr>
            <w:tcW w:w="1983" w:type="dxa"/>
            <w:tcBorders>
              <w:top w:val="single" w:sz="12" w:space="0" w:color="000000"/>
              <w:bottom w:val="single" w:sz="12" w:space="0" w:color="000000"/>
            </w:tcBorders>
            <w:vAlign w:val="center"/>
          </w:tcPr>
          <w:p w14:paraId="52B8BDAE"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油酸</w:t>
            </w:r>
          </w:p>
        </w:tc>
        <w:tc>
          <w:tcPr>
            <w:tcW w:w="1080" w:type="dxa"/>
            <w:tcBorders>
              <w:top w:val="single" w:sz="12" w:space="0" w:color="000000"/>
              <w:bottom w:val="single" w:sz="12" w:space="0" w:color="000000"/>
            </w:tcBorders>
            <w:shd w:val="clear" w:color="000000" w:fill="F8696B"/>
            <w:vAlign w:val="center"/>
          </w:tcPr>
          <w:p w14:paraId="52B8BDAF"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0.556091</w:t>
            </w:r>
          </w:p>
        </w:tc>
        <w:tc>
          <w:tcPr>
            <w:tcW w:w="1080" w:type="dxa"/>
            <w:tcBorders>
              <w:top w:val="single" w:sz="12" w:space="0" w:color="000000"/>
              <w:bottom w:val="single" w:sz="12" w:space="0" w:color="000000"/>
            </w:tcBorders>
            <w:shd w:val="clear" w:color="000000" w:fill="FA999C"/>
            <w:vAlign w:val="center"/>
          </w:tcPr>
          <w:p w14:paraId="52B8BDB0"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0.472925</w:t>
            </w:r>
          </w:p>
        </w:tc>
        <w:tc>
          <w:tcPr>
            <w:tcW w:w="1080" w:type="dxa"/>
            <w:tcBorders>
              <w:top w:val="single" w:sz="12" w:space="0" w:color="000000"/>
              <w:bottom w:val="single" w:sz="12" w:space="0" w:color="000000"/>
            </w:tcBorders>
            <w:shd w:val="clear" w:color="000000" w:fill="B2C8E5"/>
            <w:vAlign w:val="center"/>
          </w:tcPr>
          <w:p w14:paraId="52B8BDB1"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0.256125</w:t>
            </w:r>
          </w:p>
        </w:tc>
        <w:tc>
          <w:tcPr>
            <w:tcW w:w="1082" w:type="dxa"/>
            <w:tcBorders>
              <w:top w:val="single" w:sz="12" w:space="0" w:color="000000"/>
              <w:bottom w:val="single" w:sz="12" w:space="0" w:color="000000"/>
            </w:tcBorders>
            <w:shd w:val="clear" w:color="000000" w:fill="C8D7EC"/>
            <w:vAlign w:val="center"/>
          </w:tcPr>
          <w:p w14:paraId="52B8BDB2"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0.269125</w:t>
            </w:r>
          </w:p>
        </w:tc>
        <w:tc>
          <w:tcPr>
            <w:tcW w:w="1080" w:type="dxa"/>
            <w:tcBorders>
              <w:top w:val="single" w:sz="12" w:space="0" w:color="000000"/>
              <w:bottom w:val="single" w:sz="12" w:space="0" w:color="000000"/>
            </w:tcBorders>
            <w:shd w:val="clear" w:color="000000" w:fill="FCEBEE"/>
            <w:vAlign w:val="center"/>
          </w:tcPr>
          <w:p w14:paraId="52B8BDB3"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0.3305</w:t>
            </w:r>
          </w:p>
        </w:tc>
        <w:tc>
          <w:tcPr>
            <w:tcW w:w="1077" w:type="dxa"/>
            <w:tcBorders>
              <w:top w:val="single" w:sz="12" w:space="0" w:color="000000"/>
              <w:bottom w:val="single" w:sz="12" w:space="0" w:color="000000"/>
            </w:tcBorders>
            <w:shd w:val="clear" w:color="000000" w:fill="5A8AC6"/>
            <w:vAlign w:val="center"/>
          </w:tcPr>
          <w:p w14:paraId="52B8BDB4"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0.20385</w:t>
            </w:r>
          </w:p>
        </w:tc>
      </w:tr>
      <w:tr w:rsidR="001A4D72" w14:paraId="52B8BDBE" w14:textId="77777777">
        <w:trPr>
          <w:trHeight w:val="285"/>
        </w:trPr>
        <w:tc>
          <w:tcPr>
            <w:tcW w:w="1077" w:type="dxa"/>
            <w:tcBorders>
              <w:top w:val="single" w:sz="12" w:space="0" w:color="000000"/>
              <w:bottom w:val="single" w:sz="12" w:space="0" w:color="000000"/>
            </w:tcBorders>
            <w:vAlign w:val="center"/>
          </w:tcPr>
          <w:p w14:paraId="52B8BDB6" w14:textId="77777777" w:rsidR="001A4D72" w:rsidRDefault="001A4D72">
            <w:pPr>
              <w:widowControl/>
              <w:jc w:val="center"/>
              <w:rPr>
                <w:rFonts w:ascii="Times New Roman" w:eastAsia="宋体" w:hAnsi="Times New Roman" w:cs="宋体"/>
                <w:color w:val="000000"/>
                <w:kern w:val="0"/>
                <w:sz w:val="21"/>
              </w:rPr>
            </w:pPr>
          </w:p>
        </w:tc>
        <w:tc>
          <w:tcPr>
            <w:tcW w:w="1983" w:type="dxa"/>
            <w:tcBorders>
              <w:top w:val="single" w:sz="12" w:space="0" w:color="000000"/>
              <w:bottom w:val="single" w:sz="12" w:space="0" w:color="000000"/>
            </w:tcBorders>
            <w:vAlign w:val="center"/>
          </w:tcPr>
          <w:p w14:paraId="52B8BDB7"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脯氨酸</w:t>
            </w:r>
          </w:p>
        </w:tc>
        <w:tc>
          <w:tcPr>
            <w:tcW w:w="1080" w:type="dxa"/>
            <w:tcBorders>
              <w:top w:val="single" w:sz="12" w:space="0" w:color="000000"/>
              <w:bottom w:val="single" w:sz="12" w:space="0" w:color="000000"/>
            </w:tcBorders>
            <w:shd w:val="clear" w:color="000000" w:fill="FAABAE"/>
            <w:vAlign w:val="center"/>
          </w:tcPr>
          <w:p w14:paraId="52B8BDB8"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0.559245</w:t>
            </w:r>
          </w:p>
        </w:tc>
        <w:tc>
          <w:tcPr>
            <w:tcW w:w="1080" w:type="dxa"/>
            <w:tcBorders>
              <w:top w:val="single" w:sz="12" w:space="0" w:color="000000"/>
              <w:bottom w:val="single" w:sz="12" w:space="0" w:color="000000"/>
            </w:tcBorders>
            <w:shd w:val="clear" w:color="000000" w:fill="F8696B"/>
            <w:vAlign w:val="center"/>
          </w:tcPr>
          <w:p w14:paraId="52B8BDB9"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0.802475</w:t>
            </w:r>
          </w:p>
        </w:tc>
        <w:tc>
          <w:tcPr>
            <w:tcW w:w="1080" w:type="dxa"/>
            <w:tcBorders>
              <w:top w:val="single" w:sz="12" w:space="0" w:color="000000"/>
              <w:bottom w:val="single" w:sz="12" w:space="0" w:color="000000"/>
            </w:tcBorders>
            <w:shd w:val="clear" w:color="000000" w:fill="ACC3E2"/>
            <w:vAlign w:val="center"/>
          </w:tcPr>
          <w:p w14:paraId="52B8BDBA"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0.147006</w:t>
            </w:r>
          </w:p>
        </w:tc>
        <w:tc>
          <w:tcPr>
            <w:tcW w:w="1082" w:type="dxa"/>
            <w:tcBorders>
              <w:top w:val="single" w:sz="12" w:space="0" w:color="000000"/>
              <w:bottom w:val="single" w:sz="12" w:space="0" w:color="000000"/>
            </w:tcBorders>
            <w:shd w:val="clear" w:color="000000" w:fill="FCF5F7"/>
            <w:vAlign w:val="center"/>
          </w:tcPr>
          <w:p w14:paraId="52B8BDBB"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0.287525</w:t>
            </w:r>
          </w:p>
        </w:tc>
        <w:tc>
          <w:tcPr>
            <w:tcW w:w="1080" w:type="dxa"/>
            <w:tcBorders>
              <w:top w:val="single" w:sz="12" w:space="0" w:color="000000"/>
              <w:bottom w:val="single" w:sz="12" w:space="0" w:color="000000"/>
            </w:tcBorders>
            <w:shd w:val="clear" w:color="000000" w:fill="5A8AC6"/>
            <w:vAlign w:val="center"/>
          </w:tcPr>
          <w:p w14:paraId="52B8BDBC"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0.03248</w:t>
            </w:r>
          </w:p>
        </w:tc>
        <w:tc>
          <w:tcPr>
            <w:tcW w:w="1077" w:type="dxa"/>
            <w:tcBorders>
              <w:top w:val="single" w:sz="12" w:space="0" w:color="000000"/>
              <w:bottom w:val="single" w:sz="12" w:space="0" w:color="000000"/>
            </w:tcBorders>
            <w:shd w:val="clear" w:color="000000" w:fill="E6EDF7"/>
            <w:vAlign w:val="center"/>
          </w:tcPr>
          <w:p w14:paraId="52B8BDBD"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0.22845</w:t>
            </w:r>
          </w:p>
        </w:tc>
      </w:tr>
      <w:tr w:rsidR="001A4D72" w14:paraId="52B8BDC7" w14:textId="77777777">
        <w:trPr>
          <w:trHeight w:val="285"/>
        </w:trPr>
        <w:tc>
          <w:tcPr>
            <w:tcW w:w="1077" w:type="dxa"/>
            <w:tcBorders>
              <w:top w:val="single" w:sz="12" w:space="0" w:color="000000"/>
              <w:bottom w:val="single" w:sz="12" w:space="0" w:color="000000"/>
            </w:tcBorders>
            <w:vAlign w:val="center"/>
          </w:tcPr>
          <w:p w14:paraId="52B8BDBF" w14:textId="77777777" w:rsidR="001A4D72" w:rsidRDefault="001A4D72">
            <w:pPr>
              <w:widowControl/>
              <w:jc w:val="center"/>
              <w:rPr>
                <w:rFonts w:ascii="Times New Roman" w:eastAsia="宋体" w:hAnsi="Times New Roman" w:cs="宋体"/>
                <w:color w:val="000000"/>
                <w:kern w:val="0"/>
                <w:sz w:val="21"/>
              </w:rPr>
            </w:pPr>
          </w:p>
        </w:tc>
        <w:tc>
          <w:tcPr>
            <w:tcW w:w="1983" w:type="dxa"/>
            <w:tcBorders>
              <w:top w:val="single" w:sz="12" w:space="0" w:color="000000"/>
              <w:bottom w:val="single" w:sz="12" w:space="0" w:color="000000"/>
            </w:tcBorders>
            <w:vAlign w:val="center"/>
          </w:tcPr>
          <w:p w14:paraId="52B8BDC0"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蔗糖</w:t>
            </w:r>
          </w:p>
        </w:tc>
        <w:tc>
          <w:tcPr>
            <w:tcW w:w="1080" w:type="dxa"/>
            <w:tcBorders>
              <w:top w:val="single" w:sz="12" w:space="0" w:color="000000"/>
              <w:bottom w:val="single" w:sz="12" w:space="0" w:color="000000"/>
            </w:tcBorders>
            <w:shd w:val="clear" w:color="000000" w:fill="F8696B"/>
            <w:vAlign w:val="center"/>
          </w:tcPr>
          <w:p w14:paraId="52B8BDC1"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6.244673</w:t>
            </w:r>
          </w:p>
        </w:tc>
        <w:tc>
          <w:tcPr>
            <w:tcW w:w="1080" w:type="dxa"/>
            <w:tcBorders>
              <w:top w:val="single" w:sz="12" w:space="0" w:color="000000"/>
              <w:bottom w:val="single" w:sz="12" w:space="0" w:color="000000"/>
            </w:tcBorders>
            <w:shd w:val="clear" w:color="000000" w:fill="FCE7EA"/>
            <w:vAlign w:val="center"/>
          </w:tcPr>
          <w:p w14:paraId="52B8BDC2"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1.556425</w:t>
            </w:r>
          </w:p>
        </w:tc>
        <w:tc>
          <w:tcPr>
            <w:tcW w:w="1080" w:type="dxa"/>
            <w:tcBorders>
              <w:top w:val="single" w:sz="12" w:space="0" w:color="000000"/>
              <w:bottom w:val="single" w:sz="12" w:space="0" w:color="000000"/>
            </w:tcBorders>
            <w:shd w:val="clear" w:color="000000" w:fill="5C8BC6"/>
            <w:vAlign w:val="center"/>
          </w:tcPr>
          <w:p w14:paraId="52B8BDC3"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0.01835</w:t>
            </w:r>
          </w:p>
        </w:tc>
        <w:tc>
          <w:tcPr>
            <w:tcW w:w="1082" w:type="dxa"/>
            <w:tcBorders>
              <w:top w:val="single" w:sz="12" w:space="0" w:color="000000"/>
              <w:bottom w:val="single" w:sz="12" w:space="0" w:color="000000"/>
            </w:tcBorders>
            <w:shd w:val="clear" w:color="000000" w:fill="FCE9EC"/>
            <w:vAlign w:val="center"/>
          </w:tcPr>
          <w:p w14:paraId="52B8BDC4"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1.4971</w:t>
            </w:r>
          </w:p>
        </w:tc>
        <w:tc>
          <w:tcPr>
            <w:tcW w:w="1080" w:type="dxa"/>
            <w:tcBorders>
              <w:top w:val="single" w:sz="12" w:space="0" w:color="000000"/>
              <w:bottom w:val="single" w:sz="12" w:space="0" w:color="000000"/>
            </w:tcBorders>
            <w:shd w:val="clear" w:color="000000" w:fill="5B8AC6"/>
            <w:vAlign w:val="center"/>
          </w:tcPr>
          <w:p w14:paraId="52B8BDC5"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0.01554</w:t>
            </w:r>
          </w:p>
        </w:tc>
        <w:tc>
          <w:tcPr>
            <w:tcW w:w="1077" w:type="dxa"/>
            <w:tcBorders>
              <w:top w:val="single" w:sz="12" w:space="0" w:color="000000"/>
              <w:bottom w:val="single" w:sz="12" w:space="0" w:color="000000"/>
            </w:tcBorders>
            <w:shd w:val="clear" w:color="000000" w:fill="5A8AC6"/>
            <w:vAlign w:val="center"/>
          </w:tcPr>
          <w:p w14:paraId="52B8BDC6"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0.0091</w:t>
            </w:r>
          </w:p>
        </w:tc>
      </w:tr>
      <w:tr w:rsidR="001A4D72" w14:paraId="52B8BDD0" w14:textId="77777777">
        <w:trPr>
          <w:trHeight w:val="285"/>
        </w:trPr>
        <w:tc>
          <w:tcPr>
            <w:tcW w:w="1077" w:type="dxa"/>
            <w:tcBorders>
              <w:top w:val="single" w:sz="12" w:space="0" w:color="000000"/>
              <w:bottom w:val="single" w:sz="12" w:space="0" w:color="000000"/>
            </w:tcBorders>
            <w:vAlign w:val="center"/>
          </w:tcPr>
          <w:p w14:paraId="52B8BDC8" w14:textId="77777777" w:rsidR="001A4D72" w:rsidRDefault="001A4D72">
            <w:pPr>
              <w:widowControl/>
              <w:jc w:val="center"/>
              <w:rPr>
                <w:rFonts w:ascii="Times New Roman" w:eastAsia="宋体" w:hAnsi="Times New Roman" w:cs="宋体"/>
                <w:color w:val="000000"/>
                <w:kern w:val="0"/>
                <w:sz w:val="21"/>
              </w:rPr>
            </w:pPr>
          </w:p>
        </w:tc>
        <w:tc>
          <w:tcPr>
            <w:tcW w:w="1983" w:type="dxa"/>
            <w:tcBorders>
              <w:top w:val="single" w:sz="12" w:space="0" w:color="000000"/>
              <w:bottom w:val="single" w:sz="12" w:space="0" w:color="000000"/>
            </w:tcBorders>
            <w:vAlign w:val="center"/>
          </w:tcPr>
          <w:p w14:paraId="52B8BDC9"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葡萄糖</w:t>
            </w:r>
          </w:p>
        </w:tc>
        <w:tc>
          <w:tcPr>
            <w:tcW w:w="1080" w:type="dxa"/>
            <w:tcBorders>
              <w:top w:val="single" w:sz="12" w:space="0" w:color="000000"/>
              <w:bottom w:val="single" w:sz="12" w:space="0" w:color="000000"/>
            </w:tcBorders>
            <w:shd w:val="clear" w:color="000000" w:fill="F8696B"/>
            <w:vAlign w:val="center"/>
          </w:tcPr>
          <w:p w14:paraId="52B8BDCA"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10.49743</w:t>
            </w:r>
          </w:p>
        </w:tc>
        <w:tc>
          <w:tcPr>
            <w:tcW w:w="1080" w:type="dxa"/>
            <w:tcBorders>
              <w:top w:val="single" w:sz="12" w:space="0" w:color="000000"/>
              <w:bottom w:val="single" w:sz="12" w:space="0" w:color="000000"/>
            </w:tcBorders>
            <w:shd w:val="clear" w:color="000000" w:fill="FBD7DA"/>
            <w:vAlign w:val="center"/>
          </w:tcPr>
          <w:p w14:paraId="52B8BDCB"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4.884425</w:t>
            </w:r>
          </w:p>
        </w:tc>
        <w:tc>
          <w:tcPr>
            <w:tcW w:w="1080" w:type="dxa"/>
            <w:tcBorders>
              <w:top w:val="single" w:sz="12" w:space="0" w:color="000000"/>
              <w:bottom w:val="single" w:sz="12" w:space="0" w:color="000000"/>
            </w:tcBorders>
            <w:shd w:val="clear" w:color="000000" w:fill="90B0D9"/>
            <w:vAlign w:val="center"/>
          </w:tcPr>
          <w:p w14:paraId="52B8BDCC"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1.025519</w:t>
            </w:r>
          </w:p>
        </w:tc>
        <w:tc>
          <w:tcPr>
            <w:tcW w:w="1082" w:type="dxa"/>
            <w:tcBorders>
              <w:top w:val="single" w:sz="12" w:space="0" w:color="000000"/>
              <w:bottom w:val="single" w:sz="12" w:space="0" w:color="000000"/>
            </w:tcBorders>
            <w:shd w:val="clear" w:color="000000" w:fill="FBC3C6"/>
            <w:vAlign w:val="center"/>
          </w:tcPr>
          <w:p w14:paraId="52B8BDCD"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5.905475</w:t>
            </w:r>
          </w:p>
        </w:tc>
        <w:tc>
          <w:tcPr>
            <w:tcW w:w="1080" w:type="dxa"/>
            <w:tcBorders>
              <w:top w:val="single" w:sz="12" w:space="0" w:color="000000"/>
              <w:bottom w:val="single" w:sz="12" w:space="0" w:color="000000"/>
            </w:tcBorders>
            <w:shd w:val="clear" w:color="000000" w:fill="5D8CC7"/>
            <w:vAlign w:val="center"/>
          </w:tcPr>
          <w:p w14:paraId="52B8BDCE"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0.11962</w:t>
            </w:r>
          </w:p>
        </w:tc>
        <w:tc>
          <w:tcPr>
            <w:tcW w:w="1077" w:type="dxa"/>
            <w:tcBorders>
              <w:top w:val="single" w:sz="12" w:space="0" w:color="000000"/>
              <w:bottom w:val="single" w:sz="12" w:space="0" w:color="000000"/>
            </w:tcBorders>
            <w:shd w:val="clear" w:color="000000" w:fill="5A8AC6"/>
            <w:vAlign w:val="center"/>
          </w:tcPr>
          <w:p w14:paraId="52B8BDCF"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0.0607</w:t>
            </w:r>
          </w:p>
        </w:tc>
      </w:tr>
      <w:tr w:rsidR="001A4D72" w14:paraId="52B8BDD9" w14:textId="77777777">
        <w:trPr>
          <w:trHeight w:val="285"/>
        </w:trPr>
        <w:tc>
          <w:tcPr>
            <w:tcW w:w="1077" w:type="dxa"/>
            <w:tcBorders>
              <w:top w:val="single" w:sz="12" w:space="0" w:color="000000"/>
              <w:bottom w:val="single" w:sz="12" w:space="0" w:color="000000"/>
            </w:tcBorders>
            <w:vAlign w:val="center"/>
          </w:tcPr>
          <w:p w14:paraId="52B8BDD1" w14:textId="77777777" w:rsidR="001A4D72" w:rsidRDefault="001A4D72">
            <w:pPr>
              <w:widowControl/>
              <w:jc w:val="center"/>
              <w:rPr>
                <w:rFonts w:ascii="Times New Roman" w:eastAsia="宋体" w:hAnsi="Times New Roman" w:cs="宋体"/>
                <w:color w:val="000000"/>
                <w:kern w:val="0"/>
                <w:sz w:val="21"/>
              </w:rPr>
            </w:pPr>
          </w:p>
        </w:tc>
        <w:tc>
          <w:tcPr>
            <w:tcW w:w="1983" w:type="dxa"/>
            <w:tcBorders>
              <w:top w:val="single" w:sz="12" w:space="0" w:color="000000"/>
              <w:bottom w:val="single" w:sz="12" w:space="0" w:color="000000"/>
            </w:tcBorders>
            <w:vAlign w:val="center"/>
          </w:tcPr>
          <w:p w14:paraId="52B8BDD2"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糖碱比</w:t>
            </w:r>
          </w:p>
        </w:tc>
        <w:tc>
          <w:tcPr>
            <w:tcW w:w="1080" w:type="dxa"/>
            <w:tcBorders>
              <w:top w:val="single" w:sz="12" w:space="0" w:color="000000"/>
              <w:bottom w:val="single" w:sz="12" w:space="0" w:color="000000"/>
            </w:tcBorders>
            <w:shd w:val="clear" w:color="000000" w:fill="F8696B"/>
            <w:vAlign w:val="center"/>
          </w:tcPr>
          <w:p w14:paraId="52B8BDD3"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16.64455</w:t>
            </w:r>
          </w:p>
        </w:tc>
        <w:tc>
          <w:tcPr>
            <w:tcW w:w="1080" w:type="dxa"/>
            <w:tcBorders>
              <w:top w:val="single" w:sz="12" w:space="0" w:color="000000"/>
              <w:bottom w:val="single" w:sz="12" w:space="0" w:color="000000"/>
            </w:tcBorders>
            <w:shd w:val="clear" w:color="000000" w:fill="F97678"/>
            <w:vAlign w:val="center"/>
          </w:tcPr>
          <w:p w14:paraId="52B8BDD4"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15.6425</w:t>
            </w:r>
          </w:p>
        </w:tc>
        <w:tc>
          <w:tcPr>
            <w:tcW w:w="1080" w:type="dxa"/>
            <w:tcBorders>
              <w:top w:val="single" w:sz="12" w:space="0" w:color="000000"/>
              <w:bottom w:val="single" w:sz="12" w:space="0" w:color="000000"/>
            </w:tcBorders>
            <w:shd w:val="clear" w:color="000000" w:fill="82A6D4"/>
            <w:vAlign w:val="center"/>
          </w:tcPr>
          <w:p w14:paraId="52B8BDD5"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1.299375</w:t>
            </w:r>
          </w:p>
        </w:tc>
        <w:tc>
          <w:tcPr>
            <w:tcW w:w="1082" w:type="dxa"/>
            <w:tcBorders>
              <w:top w:val="single" w:sz="12" w:space="0" w:color="000000"/>
              <w:bottom w:val="single" w:sz="12" w:space="0" w:color="000000"/>
            </w:tcBorders>
            <w:shd w:val="clear" w:color="000000" w:fill="FBD0D3"/>
            <w:vAlign w:val="center"/>
          </w:tcPr>
          <w:p w14:paraId="52B8BDD6"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8.41125</w:t>
            </w:r>
          </w:p>
        </w:tc>
        <w:tc>
          <w:tcPr>
            <w:tcW w:w="1080" w:type="dxa"/>
            <w:tcBorders>
              <w:top w:val="single" w:sz="12" w:space="0" w:color="000000"/>
              <w:bottom w:val="single" w:sz="12" w:space="0" w:color="000000"/>
            </w:tcBorders>
            <w:shd w:val="clear" w:color="000000" w:fill="6793CA"/>
            <w:vAlign w:val="center"/>
          </w:tcPr>
          <w:p w14:paraId="52B8BDD7"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0.49</w:t>
            </w:r>
          </w:p>
        </w:tc>
        <w:tc>
          <w:tcPr>
            <w:tcW w:w="1077" w:type="dxa"/>
            <w:tcBorders>
              <w:top w:val="single" w:sz="12" w:space="0" w:color="000000"/>
              <w:bottom w:val="single" w:sz="12" w:space="0" w:color="000000"/>
            </w:tcBorders>
            <w:shd w:val="clear" w:color="000000" w:fill="5A8AC6"/>
            <w:vAlign w:val="center"/>
          </w:tcPr>
          <w:p w14:paraId="52B8BDD8"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0.1</w:t>
            </w:r>
          </w:p>
        </w:tc>
      </w:tr>
      <w:tr w:rsidR="001A4D72" w14:paraId="52B8BDE2" w14:textId="77777777">
        <w:trPr>
          <w:trHeight w:val="285"/>
        </w:trPr>
        <w:tc>
          <w:tcPr>
            <w:tcW w:w="1077" w:type="dxa"/>
            <w:tcBorders>
              <w:top w:val="single" w:sz="12" w:space="0" w:color="000000"/>
              <w:bottom w:val="single" w:sz="12" w:space="0" w:color="000000"/>
            </w:tcBorders>
            <w:vAlign w:val="center"/>
          </w:tcPr>
          <w:p w14:paraId="52B8BDDA" w14:textId="77777777" w:rsidR="001A4D72" w:rsidRDefault="001A4D72">
            <w:pPr>
              <w:widowControl/>
              <w:jc w:val="center"/>
              <w:rPr>
                <w:rFonts w:ascii="Times New Roman" w:eastAsia="宋体" w:hAnsi="Times New Roman" w:cs="宋体"/>
                <w:color w:val="000000"/>
                <w:kern w:val="0"/>
                <w:sz w:val="21"/>
              </w:rPr>
            </w:pPr>
          </w:p>
        </w:tc>
        <w:tc>
          <w:tcPr>
            <w:tcW w:w="1983" w:type="dxa"/>
            <w:tcBorders>
              <w:top w:val="single" w:sz="12" w:space="0" w:color="000000"/>
              <w:bottom w:val="single" w:sz="12" w:space="0" w:color="000000"/>
            </w:tcBorders>
            <w:vAlign w:val="center"/>
          </w:tcPr>
          <w:p w14:paraId="52B8BDDB"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果糖</w:t>
            </w:r>
          </w:p>
        </w:tc>
        <w:tc>
          <w:tcPr>
            <w:tcW w:w="1080" w:type="dxa"/>
            <w:tcBorders>
              <w:top w:val="single" w:sz="12" w:space="0" w:color="000000"/>
              <w:bottom w:val="single" w:sz="12" w:space="0" w:color="000000"/>
            </w:tcBorders>
            <w:shd w:val="clear" w:color="000000" w:fill="F8696B"/>
            <w:vAlign w:val="center"/>
          </w:tcPr>
          <w:p w14:paraId="52B8BDDC"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6.712955</w:t>
            </w:r>
          </w:p>
        </w:tc>
        <w:tc>
          <w:tcPr>
            <w:tcW w:w="1080" w:type="dxa"/>
            <w:tcBorders>
              <w:top w:val="single" w:sz="12" w:space="0" w:color="000000"/>
              <w:bottom w:val="single" w:sz="12" w:space="0" w:color="000000"/>
            </w:tcBorders>
            <w:shd w:val="clear" w:color="000000" w:fill="FBD2D5"/>
            <w:vAlign w:val="center"/>
          </w:tcPr>
          <w:p w14:paraId="52B8BDDD"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3.571675</w:t>
            </w:r>
          </w:p>
        </w:tc>
        <w:tc>
          <w:tcPr>
            <w:tcW w:w="1080" w:type="dxa"/>
            <w:tcBorders>
              <w:top w:val="single" w:sz="12" w:space="0" w:color="000000"/>
              <w:bottom w:val="single" w:sz="12" w:space="0" w:color="000000"/>
            </w:tcBorders>
            <w:shd w:val="clear" w:color="000000" w:fill="A1BCDF"/>
            <w:vAlign w:val="center"/>
          </w:tcPr>
          <w:p w14:paraId="52B8BDDE"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1.027075</w:t>
            </w:r>
          </w:p>
        </w:tc>
        <w:tc>
          <w:tcPr>
            <w:tcW w:w="1082" w:type="dxa"/>
            <w:tcBorders>
              <w:top w:val="single" w:sz="12" w:space="0" w:color="000000"/>
              <w:bottom w:val="single" w:sz="12" w:space="0" w:color="000000"/>
            </w:tcBorders>
            <w:shd w:val="clear" w:color="000000" w:fill="FAA7AA"/>
            <w:vAlign w:val="center"/>
          </w:tcPr>
          <w:p w14:paraId="52B8BDDF"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4.8571</w:t>
            </w:r>
          </w:p>
        </w:tc>
        <w:tc>
          <w:tcPr>
            <w:tcW w:w="1080" w:type="dxa"/>
            <w:tcBorders>
              <w:top w:val="single" w:sz="12" w:space="0" w:color="000000"/>
              <w:bottom w:val="single" w:sz="12" w:space="0" w:color="000000"/>
            </w:tcBorders>
            <w:shd w:val="clear" w:color="000000" w:fill="5B8BC6"/>
            <w:vAlign w:val="center"/>
          </w:tcPr>
          <w:p w14:paraId="52B8BDE0"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0.04846</w:t>
            </w:r>
          </w:p>
        </w:tc>
        <w:tc>
          <w:tcPr>
            <w:tcW w:w="1077" w:type="dxa"/>
            <w:tcBorders>
              <w:top w:val="single" w:sz="12" w:space="0" w:color="000000"/>
              <w:bottom w:val="single" w:sz="12" w:space="0" w:color="000000"/>
            </w:tcBorders>
            <w:shd w:val="clear" w:color="000000" w:fill="5A8AC6"/>
            <w:vAlign w:val="center"/>
          </w:tcPr>
          <w:p w14:paraId="52B8BDE1"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0.02485</w:t>
            </w:r>
          </w:p>
        </w:tc>
      </w:tr>
      <w:tr w:rsidR="001A4D72" w14:paraId="52B8BDEB" w14:textId="77777777">
        <w:trPr>
          <w:trHeight w:val="285"/>
        </w:trPr>
        <w:tc>
          <w:tcPr>
            <w:tcW w:w="1077" w:type="dxa"/>
            <w:tcBorders>
              <w:top w:val="single" w:sz="12" w:space="0" w:color="000000"/>
              <w:bottom w:val="single" w:sz="12" w:space="0" w:color="000000"/>
            </w:tcBorders>
            <w:vAlign w:val="center"/>
          </w:tcPr>
          <w:p w14:paraId="52B8BDE3" w14:textId="77777777" w:rsidR="001A4D72" w:rsidRDefault="001A4D72">
            <w:pPr>
              <w:widowControl/>
              <w:jc w:val="center"/>
              <w:rPr>
                <w:rFonts w:ascii="Times New Roman" w:eastAsia="宋体" w:hAnsi="Times New Roman" w:cs="宋体"/>
                <w:color w:val="000000"/>
                <w:kern w:val="0"/>
                <w:sz w:val="21"/>
              </w:rPr>
            </w:pPr>
          </w:p>
        </w:tc>
        <w:tc>
          <w:tcPr>
            <w:tcW w:w="1983" w:type="dxa"/>
            <w:tcBorders>
              <w:top w:val="single" w:sz="12" w:space="0" w:color="000000"/>
              <w:bottom w:val="single" w:sz="12" w:space="0" w:color="000000"/>
            </w:tcBorders>
            <w:vAlign w:val="center"/>
          </w:tcPr>
          <w:p w14:paraId="52B8BDE4"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棕榈酸</w:t>
            </w:r>
          </w:p>
        </w:tc>
        <w:tc>
          <w:tcPr>
            <w:tcW w:w="1080" w:type="dxa"/>
            <w:tcBorders>
              <w:top w:val="single" w:sz="12" w:space="0" w:color="000000"/>
              <w:bottom w:val="single" w:sz="12" w:space="0" w:color="000000"/>
            </w:tcBorders>
            <w:shd w:val="clear" w:color="000000" w:fill="F96E70"/>
            <w:vAlign w:val="center"/>
          </w:tcPr>
          <w:p w14:paraId="52B8BDE5"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1.741691</w:t>
            </w:r>
          </w:p>
        </w:tc>
        <w:tc>
          <w:tcPr>
            <w:tcW w:w="1080" w:type="dxa"/>
            <w:tcBorders>
              <w:top w:val="single" w:sz="12" w:space="0" w:color="000000"/>
              <w:bottom w:val="single" w:sz="12" w:space="0" w:color="000000"/>
            </w:tcBorders>
            <w:shd w:val="clear" w:color="000000" w:fill="F8696B"/>
            <w:vAlign w:val="center"/>
          </w:tcPr>
          <w:p w14:paraId="52B8BDE6"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1.757525</w:t>
            </w:r>
          </w:p>
        </w:tc>
        <w:tc>
          <w:tcPr>
            <w:tcW w:w="1080" w:type="dxa"/>
            <w:tcBorders>
              <w:top w:val="single" w:sz="12" w:space="0" w:color="000000"/>
              <w:bottom w:val="single" w:sz="12" w:space="0" w:color="000000"/>
            </w:tcBorders>
            <w:shd w:val="clear" w:color="000000" w:fill="7EA3D2"/>
            <w:vAlign w:val="center"/>
          </w:tcPr>
          <w:p w14:paraId="52B8BDE7"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0.745538</w:t>
            </w:r>
          </w:p>
        </w:tc>
        <w:tc>
          <w:tcPr>
            <w:tcW w:w="1082" w:type="dxa"/>
            <w:tcBorders>
              <w:top w:val="single" w:sz="12" w:space="0" w:color="000000"/>
              <w:bottom w:val="single" w:sz="12" w:space="0" w:color="000000"/>
            </w:tcBorders>
            <w:shd w:val="clear" w:color="000000" w:fill="F98688"/>
            <w:vAlign w:val="center"/>
          </w:tcPr>
          <w:p w14:paraId="52B8BDE8"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1.6655</w:t>
            </w:r>
          </w:p>
        </w:tc>
        <w:tc>
          <w:tcPr>
            <w:tcW w:w="1080" w:type="dxa"/>
            <w:tcBorders>
              <w:top w:val="single" w:sz="12" w:space="0" w:color="000000"/>
              <w:bottom w:val="single" w:sz="12" w:space="0" w:color="000000"/>
            </w:tcBorders>
            <w:shd w:val="clear" w:color="000000" w:fill="A2BDDF"/>
            <w:vAlign w:val="center"/>
          </w:tcPr>
          <w:p w14:paraId="52B8BDE9"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0.9003</w:t>
            </w:r>
          </w:p>
        </w:tc>
        <w:tc>
          <w:tcPr>
            <w:tcW w:w="1077" w:type="dxa"/>
            <w:tcBorders>
              <w:top w:val="single" w:sz="12" w:space="0" w:color="000000"/>
              <w:bottom w:val="single" w:sz="12" w:space="0" w:color="000000"/>
            </w:tcBorders>
            <w:shd w:val="clear" w:color="000000" w:fill="5A8AC6"/>
            <w:vAlign w:val="center"/>
          </w:tcPr>
          <w:p w14:paraId="52B8BDEA"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0.5905</w:t>
            </w:r>
          </w:p>
        </w:tc>
      </w:tr>
      <w:tr w:rsidR="001A4D72" w14:paraId="52B8BDF4" w14:textId="77777777">
        <w:trPr>
          <w:trHeight w:val="285"/>
        </w:trPr>
        <w:tc>
          <w:tcPr>
            <w:tcW w:w="1077" w:type="dxa"/>
            <w:tcBorders>
              <w:top w:val="single" w:sz="12" w:space="0" w:color="000000"/>
              <w:bottom w:val="single" w:sz="12" w:space="0" w:color="000000"/>
            </w:tcBorders>
            <w:vAlign w:val="center"/>
          </w:tcPr>
          <w:p w14:paraId="52B8BDEC" w14:textId="77777777" w:rsidR="001A4D72" w:rsidRDefault="001A4D72">
            <w:pPr>
              <w:widowControl/>
              <w:jc w:val="center"/>
              <w:rPr>
                <w:rFonts w:ascii="Times New Roman" w:eastAsia="宋体" w:hAnsi="Times New Roman" w:cs="宋体"/>
                <w:color w:val="000000"/>
                <w:kern w:val="0"/>
                <w:sz w:val="21"/>
              </w:rPr>
            </w:pPr>
          </w:p>
        </w:tc>
        <w:tc>
          <w:tcPr>
            <w:tcW w:w="1983" w:type="dxa"/>
            <w:tcBorders>
              <w:top w:val="single" w:sz="12" w:space="0" w:color="000000"/>
              <w:bottom w:val="single" w:sz="12" w:space="0" w:color="000000"/>
            </w:tcBorders>
            <w:vAlign w:val="center"/>
          </w:tcPr>
          <w:p w14:paraId="52B8BDED"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总糖</w:t>
            </w:r>
          </w:p>
        </w:tc>
        <w:tc>
          <w:tcPr>
            <w:tcW w:w="1080" w:type="dxa"/>
            <w:tcBorders>
              <w:top w:val="single" w:sz="12" w:space="0" w:color="000000"/>
              <w:bottom w:val="single" w:sz="12" w:space="0" w:color="000000"/>
            </w:tcBorders>
            <w:shd w:val="clear" w:color="000000" w:fill="F8696B"/>
            <w:vAlign w:val="center"/>
          </w:tcPr>
          <w:p w14:paraId="52B8BDEE"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30.79909</w:t>
            </w:r>
          </w:p>
        </w:tc>
        <w:tc>
          <w:tcPr>
            <w:tcW w:w="1080" w:type="dxa"/>
            <w:tcBorders>
              <w:top w:val="single" w:sz="12" w:space="0" w:color="000000"/>
              <w:bottom w:val="single" w:sz="12" w:space="0" w:color="000000"/>
            </w:tcBorders>
            <w:shd w:val="clear" w:color="000000" w:fill="FCE7EA"/>
            <w:vAlign w:val="center"/>
          </w:tcPr>
          <w:p w14:paraId="52B8BDEF"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10.6725</w:t>
            </w:r>
          </w:p>
        </w:tc>
        <w:tc>
          <w:tcPr>
            <w:tcW w:w="1080" w:type="dxa"/>
            <w:tcBorders>
              <w:top w:val="single" w:sz="12" w:space="0" w:color="000000"/>
              <w:bottom w:val="single" w:sz="12" w:space="0" w:color="000000"/>
            </w:tcBorders>
            <w:shd w:val="clear" w:color="000000" w:fill="ADC4E3"/>
            <w:vAlign w:val="center"/>
          </w:tcPr>
          <w:p w14:paraId="52B8BDF0"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3.720628</w:t>
            </w:r>
          </w:p>
        </w:tc>
        <w:tc>
          <w:tcPr>
            <w:tcW w:w="1082" w:type="dxa"/>
            <w:tcBorders>
              <w:top w:val="single" w:sz="12" w:space="0" w:color="000000"/>
              <w:bottom w:val="single" w:sz="12" w:space="0" w:color="000000"/>
            </w:tcBorders>
            <w:shd w:val="clear" w:color="000000" w:fill="FAA9AC"/>
            <w:vAlign w:val="center"/>
          </w:tcPr>
          <w:p w14:paraId="52B8BDF1"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20.5475</w:t>
            </w:r>
          </w:p>
        </w:tc>
        <w:tc>
          <w:tcPr>
            <w:tcW w:w="1080" w:type="dxa"/>
            <w:tcBorders>
              <w:top w:val="single" w:sz="12" w:space="0" w:color="000000"/>
              <w:bottom w:val="single" w:sz="12" w:space="0" w:color="000000"/>
            </w:tcBorders>
            <w:shd w:val="clear" w:color="000000" w:fill="729BCE"/>
            <w:vAlign w:val="center"/>
          </w:tcPr>
          <w:p w14:paraId="52B8BDF2"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1.092</w:t>
            </w:r>
          </w:p>
        </w:tc>
        <w:tc>
          <w:tcPr>
            <w:tcW w:w="1077" w:type="dxa"/>
            <w:tcBorders>
              <w:top w:val="single" w:sz="12" w:space="0" w:color="000000"/>
              <w:bottom w:val="single" w:sz="12" w:space="0" w:color="000000"/>
            </w:tcBorders>
            <w:shd w:val="clear" w:color="000000" w:fill="5A8AC6"/>
            <w:vAlign w:val="center"/>
          </w:tcPr>
          <w:p w14:paraId="52B8BDF3"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w:t>
            </w:r>
          </w:p>
        </w:tc>
      </w:tr>
      <w:tr w:rsidR="001A4D72" w14:paraId="52B8BDFD" w14:textId="77777777">
        <w:trPr>
          <w:trHeight w:val="285"/>
        </w:trPr>
        <w:tc>
          <w:tcPr>
            <w:tcW w:w="1077" w:type="dxa"/>
            <w:tcBorders>
              <w:top w:val="single" w:sz="12" w:space="0" w:color="000000"/>
              <w:bottom w:val="single" w:sz="12" w:space="0" w:color="000000"/>
            </w:tcBorders>
            <w:vAlign w:val="center"/>
          </w:tcPr>
          <w:p w14:paraId="52B8BDF5" w14:textId="77777777" w:rsidR="001A4D72" w:rsidRDefault="001A4D72">
            <w:pPr>
              <w:widowControl/>
              <w:jc w:val="center"/>
              <w:rPr>
                <w:rFonts w:ascii="Times New Roman" w:eastAsia="宋体" w:hAnsi="Times New Roman" w:cs="宋体"/>
                <w:color w:val="000000"/>
                <w:kern w:val="0"/>
                <w:sz w:val="21"/>
              </w:rPr>
            </w:pPr>
          </w:p>
        </w:tc>
        <w:tc>
          <w:tcPr>
            <w:tcW w:w="1983" w:type="dxa"/>
            <w:tcBorders>
              <w:top w:val="single" w:sz="12" w:space="0" w:color="000000"/>
              <w:bottom w:val="single" w:sz="12" w:space="0" w:color="000000"/>
            </w:tcBorders>
            <w:vAlign w:val="center"/>
          </w:tcPr>
          <w:p w14:paraId="52B8BDF6"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菠萝呋喃酮</w:t>
            </w:r>
          </w:p>
        </w:tc>
        <w:tc>
          <w:tcPr>
            <w:tcW w:w="1080" w:type="dxa"/>
            <w:tcBorders>
              <w:top w:val="single" w:sz="12" w:space="0" w:color="000000"/>
              <w:bottom w:val="single" w:sz="12" w:space="0" w:color="000000"/>
            </w:tcBorders>
            <w:shd w:val="clear" w:color="000000" w:fill="F8696B"/>
            <w:vAlign w:val="center"/>
          </w:tcPr>
          <w:p w14:paraId="52B8BDF7"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0.10909</w:t>
            </w:r>
          </w:p>
        </w:tc>
        <w:tc>
          <w:tcPr>
            <w:tcW w:w="1080" w:type="dxa"/>
            <w:tcBorders>
              <w:top w:val="single" w:sz="12" w:space="0" w:color="000000"/>
              <w:bottom w:val="single" w:sz="12" w:space="0" w:color="000000"/>
            </w:tcBorders>
            <w:shd w:val="clear" w:color="000000" w:fill="FCECEF"/>
            <w:vAlign w:val="center"/>
          </w:tcPr>
          <w:p w14:paraId="52B8BDF8"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0.038413</w:t>
            </w:r>
          </w:p>
        </w:tc>
        <w:tc>
          <w:tcPr>
            <w:tcW w:w="1080" w:type="dxa"/>
            <w:tcBorders>
              <w:top w:val="single" w:sz="12" w:space="0" w:color="000000"/>
              <w:bottom w:val="single" w:sz="12" w:space="0" w:color="000000"/>
            </w:tcBorders>
            <w:shd w:val="clear" w:color="000000" w:fill="C1D2EA"/>
            <w:vAlign w:val="center"/>
          </w:tcPr>
          <w:p w14:paraId="52B8BDF9"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0.020811</w:t>
            </w:r>
          </w:p>
        </w:tc>
        <w:tc>
          <w:tcPr>
            <w:tcW w:w="1082" w:type="dxa"/>
            <w:tcBorders>
              <w:top w:val="single" w:sz="12" w:space="0" w:color="000000"/>
              <w:bottom w:val="single" w:sz="12" w:space="0" w:color="000000"/>
            </w:tcBorders>
            <w:shd w:val="clear" w:color="000000" w:fill="FAABAD"/>
            <w:vAlign w:val="center"/>
          </w:tcPr>
          <w:p w14:paraId="52B8BDFA"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0.073686</w:t>
            </w:r>
          </w:p>
        </w:tc>
        <w:tc>
          <w:tcPr>
            <w:tcW w:w="1080" w:type="dxa"/>
            <w:tcBorders>
              <w:top w:val="single" w:sz="12" w:space="0" w:color="000000"/>
              <w:bottom w:val="single" w:sz="12" w:space="0" w:color="000000"/>
            </w:tcBorders>
            <w:shd w:val="clear" w:color="000000" w:fill="759DCF"/>
            <w:vAlign w:val="center"/>
          </w:tcPr>
          <w:p w14:paraId="52B8BDFB"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0.009372</w:t>
            </w:r>
          </w:p>
        </w:tc>
        <w:tc>
          <w:tcPr>
            <w:tcW w:w="1077" w:type="dxa"/>
            <w:tcBorders>
              <w:top w:val="single" w:sz="12" w:space="0" w:color="000000"/>
              <w:bottom w:val="single" w:sz="12" w:space="0" w:color="000000"/>
            </w:tcBorders>
            <w:shd w:val="clear" w:color="000000" w:fill="5A8AC6"/>
            <w:vAlign w:val="center"/>
          </w:tcPr>
          <w:p w14:paraId="52B8BDFC"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0.005143</w:t>
            </w:r>
          </w:p>
        </w:tc>
      </w:tr>
      <w:tr w:rsidR="001A4D72" w14:paraId="52B8BE06" w14:textId="77777777">
        <w:trPr>
          <w:trHeight w:val="285"/>
        </w:trPr>
        <w:tc>
          <w:tcPr>
            <w:tcW w:w="1077" w:type="dxa"/>
            <w:tcBorders>
              <w:top w:val="single" w:sz="12" w:space="0" w:color="000000"/>
              <w:bottom w:val="single" w:sz="12" w:space="0" w:color="000000"/>
            </w:tcBorders>
            <w:vAlign w:val="center"/>
          </w:tcPr>
          <w:p w14:paraId="52B8BDFE" w14:textId="77777777" w:rsidR="001A4D72" w:rsidRDefault="001A4D72">
            <w:pPr>
              <w:widowControl/>
              <w:jc w:val="center"/>
              <w:rPr>
                <w:rFonts w:ascii="Times New Roman" w:eastAsia="宋体" w:hAnsi="Times New Roman" w:cs="宋体"/>
                <w:color w:val="000000"/>
                <w:kern w:val="0"/>
                <w:sz w:val="21"/>
              </w:rPr>
            </w:pPr>
          </w:p>
        </w:tc>
        <w:tc>
          <w:tcPr>
            <w:tcW w:w="1983" w:type="dxa"/>
            <w:tcBorders>
              <w:top w:val="single" w:sz="12" w:space="0" w:color="000000"/>
              <w:bottom w:val="single" w:sz="12" w:space="0" w:color="000000"/>
            </w:tcBorders>
            <w:vAlign w:val="center"/>
          </w:tcPr>
          <w:p w14:paraId="52B8BDFF"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还原糖</w:t>
            </w:r>
          </w:p>
        </w:tc>
        <w:tc>
          <w:tcPr>
            <w:tcW w:w="1080" w:type="dxa"/>
            <w:tcBorders>
              <w:top w:val="single" w:sz="12" w:space="0" w:color="000000"/>
              <w:bottom w:val="single" w:sz="12" w:space="0" w:color="000000"/>
            </w:tcBorders>
            <w:shd w:val="clear" w:color="000000" w:fill="F8696B"/>
            <w:vAlign w:val="center"/>
          </w:tcPr>
          <w:p w14:paraId="52B8BE00"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23.88091</w:t>
            </w:r>
          </w:p>
        </w:tc>
        <w:tc>
          <w:tcPr>
            <w:tcW w:w="1080" w:type="dxa"/>
            <w:tcBorders>
              <w:top w:val="single" w:sz="12" w:space="0" w:color="000000"/>
              <w:bottom w:val="single" w:sz="12" w:space="0" w:color="000000"/>
            </w:tcBorders>
            <w:shd w:val="clear" w:color="000000" w:fill="FCE3E6"/>
            <w:vAlign w:val="center"/>
          </w:tcPr>
          <w:p w14:paraId="52B8BE01"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9.4625</w:t>
            </w:r>
          </w:p>
        </w:tc>
        <w:tc>
          <w:tcPr>
            <w:tcW w:w="1080" w:type="dxa"/>
            <w:tcBorders>
              <w:top w:val="single" w:sz="12" w:space="0" w:color="000000"/>
              <w:bottom w:val="single" w:sz="12" w:space="0" w:color="000000"/>
            </w:tcBorders>
            <w:shd w:val="clear" w:color="000000" w:fill="AFC5E3"/>
            <w:vAlign w:val="center"/>
          </w:tcPr>
          <w:p w14:paraId="52B8BE02"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3.373753</w:t>
            </w:r>
          </w:p>
        </w:tc>
        <w:tc>
          <w:tcPr>
            <w:tcW w:w="1082" w:type="dxa"/>
            <w:tcBorders>
              <w:top w:val="single" w:sz="12" w:space="0" w:color="000000"/>
              <w:bottom w:val="single" w:sz="12" w:space="0" w:color="000000"/>
            </w:tcBorders>
            <w:shd w:val="clear" w:color="000000" w:fill="FAAAAC"/>
            <w:vAlign w:val="center"/>
          </w:tcPr>
          <w:p w14:paraId="52B8BE03"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16.21625</w:t>
            </w:r>
          </w:p>
        </w:tc>
        <w:tc>
          <w:tcPr>
            <w:tcW w:w="1080" w:type="dxa"/>
            <w:tcBorders>
              <w:top w:val="single" w:sz="12" w:space="0" w:color="000000"/>
              <w:bottom w:val="single" w:sz="12" w:space="0" w:color="000000"/>
            </w:tcBorders>
            <w:shd w:val="clear" w:color="000000" w:fill="6894CB"/>
            <w:vAlign w:val="center"/>
          </w:tcPr>
          <w:p w14:paraId="52B8BE04"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0.588</w:t>
            </w:r>
          </w:p>
        </w:tc>
        <w:tc>
          <w:tcPr>
            <w:tcW w:w="1077" w:type="dxa"/>
            <w:tcBorders>
              <w:top w:val="single" w:sz="12" w:space="0" w:color="000000"/>
              <w:bottom w:val="single" w:sz="12" w:space="0" w:color="000000"/>
            </w:tcBorders>
            <w:shd w:val="clear" w:color="000000" w:fill="5A8AC6"/>
            <w:vAlign w:val="center"/>
          </w:tcPr>
          <w:p w14:paraId="52B8BE05"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w:t>
            </w:r>
          </w:p>
        </w:tc>
      </w:tr>
      <w:tr w:rsidR="001A4D72" w14:paraId="52B8BE0F" w14:textId="77777777">
        <w:trPr>
          <w:trHeight w:val="285"/>
        </w:trPr>
        <w:tc>
          <w:tcPr>
            <w:tcW w:w="1077" w:type="dxa"/>
            <w:tcBorders>
              <w:top w:val="single" w:sz="12" w:space="0" w:color="000000"/>
              <w:bottom w:val="single" w:sz="12" w:space="0" w:color="000000"/>
            </w:tcBorders>
            <w:vAlign w:val="center"/>
          </w:tcPr>
          <w:p w14:paraId="52B8BE07" w14:textId="77777777" w:rsidR="001A4D72" w:rsidRDefault="001A4D72">
            <w:pPr>
              <w:widowControl/>
              <w:jc w:val="center"/>
              <w:rPr>
                <w:rFonts w:ascii="Times New Roman" w:eastAsia="宋体" w:hAnsi="Times New Roman" w:cs="宋体"/>
                <w:color w:val="000000"/>
                <w:kern w:val="0"/>
                <w:sz w:val="21"/>
              </w:rPr>
            </w:pPr>
          </w:p>
        </w:tc>
        <w:tc>
          <w:tcPr>
            <w:tcW w:w="1983" w:type="dxa"/>
            <w:tcBorders>
              <w:top w:val="single" w:sz="12" w:space="0" w:color="000000"/>
              <w:bottom w:val="single" w:sz="12" w:space="0" w:color="000000"/>
            </w:tcBorders>
            <w:vAlign w:val="center"/>
          </w:tcPr>
          <w:p w14:paraId="52B8BE08"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肌醇</w:t>
            </w:r>
          </w:p>
        </w:tc>
        <w:tc>
          <w:tcPr>
            <w:tcW w:w="1080" w:type="dxa"/>
            <w:tcBorders>
              <w:top w:val="single" w:sz="12" w:space="0" w:color="000000"/>
              <w:bottom w:val="single" w:sz="12" w:space="0" w:color="000000"/>
            </w:tcBorders>
            <w:shd w:val="clear" w:color="000000" w:fill="F8696B"/>
            <w:vAlign w:val="center"/>
          </w:tcPr>
          <w:p w14:paraId="52B8BE09"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1.060445</w:t>
            </w:r>
          </w:p>
        </w:tc>
        <w:tc>
          <w:tcPr>
            <w:tcW w:w="1080" w:type="dxa"/>
            <w:tcBorders>
              <w:top w:val="single" w:sz="12" w:space="0" w:color="000000"/>
              <w:bottom w:val="single" w:sz="12" w:space="0" w:color="000000"/>
            </w:tcBorders>
            <w:shd w:val="clear" w:color="000000" w:fill="FAAFB2"/>
            <w:vAlign w:val="center"/>
          </w:tcPr>
          <w:p w14:paraId="52B8BE0A"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0.7632</w:t>
            </w:r>
          </w:p>
        </w:tc>
        <w:tc>
          <w:tcPr>
            <w:tcW w:w="1080" w:type="dxa"/>
            <w:tcBorders>
              <w:top w:val="single" w:sz="12" w:space="0" w:color="000000"/>
              <w:bottom w:val="single" w:sz="12" w:space="0" w:color="000000"/>
            </w:tcBorders>
            <w:shd w:val="clear" w:color="000000" w:fill="749CCF"/>
            <w:vAlign w:val="center"/>
          </w:tcPr>
          <w:p w14:paraId="52B8BE0B"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0.108113</w:t>
            </w:r>
          </w:p>
        </w:tc>
        <w:tc>
          <w:tcPr>
            <w:tcW w:w="1082" w:type="dxa"/>
            <w:tcBorders>
              <w:top w:val="single" w:sz="12" w:space="0" w:color="000000"/>
              <w:bottom w:val="single" w:sz="12" w:space="0" w:color="000000"/>
            </w:tcBorders>
            <w:shd w:val="clear" w:color="000000" w:fill="F97779"/>
            <w:vAlign w:val="center"/>
          </w:tcPr>
          <w:p w14:paraId="52B8BE0C"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1.002688</w:t>
            </w:r>
          </w:p>
        </w:tc>
        <w:tc>
          <w:tcPr>
            <w:tcW w:w="1080" w:type="dxa"/>
            <w:tcBorders>
              <w:top w:val="single" w:sz="12" w:space="0" w:color="000000"/>
              <w:bottom w:val="single" w:sz="12" w:space="0" w:color="000000"/>
            </w:tcBorders>
            <w:shd w:val="clear" w:color="000000" w:fill="5A8AC6"/>
            <w:vAlign w:val="center"/>
          </w:tcPr>
          <w:p w14:paraId="52B8BE0D"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0.04322</w:t>
            </w:r>
          </w:p>
        </w:tc>
        <w:tc>
          <w:tcPr>
            <w:tcW w:w="1077" w:type="dxa"/>
            <w:tcBorders>
              <w:top w:val="single" w:sz="12" w:space="0" w:color="000000"/>
              <w:bottom w:val="single" w:sz="12" w:space="0" w:color="000000"/>
            </w:tcBorders>
            <w:shd w:val="clear" w:color="000000" w:fill="5E8DC7"/>
            <w:vAlign w:val="center"/>
          </w:tcPr>
          <w:p w14:paraId="52B8BE0E"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0.0552</w:t>
            </w:r>
          </w:p>
        </w:tc>
      </w:tr>
      <w:tr w:rsidR="001A4D72" w14:paraId="52B8BE18" w14:textId="77777777">
        <w:trPr>
          <w:trHeight w:val="285"/>
        </w:trPr>
        <w:tc>
          <w:tcPr>
            <w:tcW w:w="1077" w:type="dxa"/>
            <w:tcBorders>
              <w:top w:val="single" w:sz="12" w:space="0" w:color="000000"/>
              <w:bottom w:val="single" w:sz="12" w:space="0" w:color="000000"/>
            </w:tcBorders>
            <w:vAlign w:val="center"/>
          </w:tcPr>
          <w:p w14:paraId="52B8BE10" w14:textId="77777777" w:rsidR="001A4D72" w:rsidRDefault="001A4D72">
            <w:pPr>
              <w:widowControl/>
              <w:jc w:val="center"/>
              <w:rPr>
                <w:rFonts w:ascii="Times New Roman" w:eastAsia="宋体" w:hAnsi="Times New Roman" w:cs="宋体"/>
                <w:color w:val="000000"/>
                <w:kern w:val="0"/>
                <w:sz w:val="21"/>
              </w:rPr>
            </w:pPr>
          </w:p>
        </w:tc>
        <w:tc>
          <w:tcPr>
            <w:tcW w:w="1983" w:type="dxa"/>
            <w:tcBorders>
              <w:top w:val="single" w:sz="12" w:space="0" w:color="000000"/>
              <w:bottom w:val="single" w:sz="12" w:space="0" w:color="000000"/>
            </w:tcBorders>
            <w:vAlign w:val="center"/>
          </w:tcPr>
          <w:p w14:paraId="52B8BE11"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糠醛</w:t>
            </w:r>
          </w:p>
        </w:tc>
        <w:tc>
          <w:tcPr>
            <w:tcW w:w="1080" w:type="dxa"/>
            <w:tcBorders>
              <w:top w:val="single" w:sz="12" w:space="0" w:color="000000"/>
              <w:bottom w:val="single" w:sz="12" w:space="0" w:color="000000"/>
            </w:tcBorders>
            <w:shd w:val="clear" w:color="000000" w:fill="F8696B"/>
            <w:vAlign w:val="center"/>
          </w:tcPr>
          <w:p w14:paraId="52B8BE12"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0.21696</w:t>
            </w:r>
          </w:p>
        </w:tc>
        <w:tc>
          <w:tcPr>
            <w:tcW w:w="1080" w:type="dxa"/>
            <w:tcBorders>
              <w:top w:val="single" w:sz="12" w:space="0" w:color="000000"/>
              <w:bottom w:val="single" w:sz="12" w:space="0" w:color="000000"/>
            </w:tcBorders>
            <w:shd w:val="clear" w:color="000000" w:fill="FCF9FC"/>
            <w:vAlign w:val="center"/>
          </w:tcPr>
          <w:p w14:paraId="52B8BE13"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0.050154</w:t>
            </w:r>
          </w:p>
        </w:tc>
        <w:tc>
          <w:tcPr>
            <w:tcW w:w="1080" w:type="dxa"/>
            <w:tcBorders>
              <w:top w:val="single" w:sz="12" w:space="0" w:color="000000"/>
              <w:bottom w:val="single" w:sz="12" w:space="0" w:color="000000"/>
            </w:tcBorders>
            <w:shd w:val="clear" w:color="000000" w:fill="ECF0F9"/>
            <w:vAlign w:val="center"/>
          </w:tcPr>
          <w:p w14:paraId="52B8BE14"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0.042446</w:t>
            </w:r>
          </w:p>
        </w:tc>
        <w:tc>
          <w:tcPr>
            <w:tcW w:w="1082" w:type="dxa"/>
            <w:tcBorders>
              <w:top w:val="single" w:sz="12" w:space="0" w:color="000000"/>
              <w:bottom w:val="single" w:sz="12" w:space="0" w:color="000000"/>
            </w:tcBorders>
            <w:shd w:val="clear" w:color="000000" w:fill="FAAAAD"/>
            <w:vAlign w:val="center"/>
          </w:tcPr>
          <w:p w14:paraId="52B8BE15"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0.141917</w:t>
            </w:r>
          </w:p>
        </w:tc>
        <w:tc>
          <w:tcPr>
            <w:tcW w:w="1080" w:type="dxa"/>
            <w:tcBorders>
              <w:top w:val="single" w:sz="12" w:space="0" w:color="000000"/>
              <w:bottom w:val="single" w:sz="12" w:space="0" w:color="000000"/>
            </w:tcBorders>
            <w:shd w:val="clear" w:color="000000" w:fill="8AABD6"/>
            <w:vAlign w:val="center"/>
          </w:tcPr>
          <w:p w14:paraId="52B8BE16"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0.018734</w:t>
            </w:r>
          </w:p>
        </w:tc>
        <w:tc>
          <w:tcPr>
            <w:tcW w:w="1077" w:type="dxa"/>
            <w:tcBorders>
              <w:top w:val="single" w:sz="12" w:space="0" w:color="000000"/>
              <w:bottom w:val="single" w:sz="12" w:space="0" w:color="000000"/>
            </w:tcBorders>
            <w:shd w:val="clear" w:color="000000" w:fill="5A8AC6"/>
            <w:vAlign w:val="center"/>
          </w:tcPr>
          <w:p w14:paraId="52B8BE17"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0.007029</w:t>
            </w:r>
          </w:p>
        </w:tc>
      </w:tr>
      <w:tr w:rsidR="001A4D72" w14:paraId="52B8BE21" w14:textId="77777777">
        <w:trPr>
          <w:trHeight w:val="285"/>
        </w:trPr>
        <w:tc>
          <w:tcPr>
            <w:tcW w:w="1077" w:type="dxa"/>
            <w:tcBorders>
              <w:top w:val="single" w:sz="12" w:space="0" w:color="000000"/>
              <w:bottom w:val="single" w:sz="12" w:space="0" w:color="000000"/>
            </w:tcBorders>
            <w:vAlign w:val="center"/>
          </w:tcPr>
          <w:p w14:paraId="52B8BE19" w14:textId="77777777" w:rsidR="001A4D72" w:rsidRDefault="001A4D72">
            <w:pPr>
              <w:widowControl/>
              <w:jc w:val="center"/>
              <w:rPr>
                <w:rFonts w:ascii="Times New Roman" w:eastAsia="宋体" w:hAnsi="Times New Roman" w:cs="宋体"/>
                <w:color w:val="000000"/>
                <w:kern w:val="0"/>
                <w:sz w:val="21"/>
              </w:rPr>
            </w:pPr>
          </w:p>
        </w:tc>
        <w:tc>
          <w:tcPr>
            <w:tcW w:w="1983" w:type="dxa"/>
            <w:tcBorders>
              <w:top w:val="single" w:sz="12" w:space="0" w:color="000000"/>
              <w:bottom w:val="single" w:sz="12" w:space="0" w:color="000000"/>
            </w:tcBorders>
            <w:vAlign w:val="center"/>
          </w:tcPr>
          <w:p w14:paraId="52B8BE1A"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糠醇</w:t>
            </w:r>
          </w:p>
        </w:tc>
        <w:tc>
          <w:tcPr>
            <w:tcW w:w="1080" w:type="dxa"/>
            <w:tcBorders>
              <w:top w:val="single" w:sz="12" w:space="0" w:color="000000"/>
              <w:bottom w:val="single" w:sz="12" w:space="0" w:color="000000"/>
            </w:tcBorders>
            <w:shd w:val="clear" w:color="000000" w:fill="F8696B"/>
            <w:vAlign w:val="center"/>
          </w:tcPr>
          <w:p w14:paraId="52B8BE1B"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0.74716</w:t>
            </w:r>
          </w:p>
        </w:tc>
        <w:tc>
          <w:tcPr>
            <w:tcW w:w="1080" w:type="dxa"/>
            <w:tcBorders>
              <w:top w:val="single" w:sz="12" w:space="0" w:color="000000"/>
              <w:bottom w:val="single" w:sz="12" w:space="0" w:color="000000"/>
            </w:tcBorders>
            <w:shd w:val="clear" w:color="000000" w:fill="CDDBEE"/>
            <w:vAlign w:val="center"/>
          </w:tcPr>
          <w:p w14:paraId="52B8BE1C"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0.102783</w:t>
            </w:r>
          </w:p>
        </w:tc>
        <w:tc>
          <w:tcPr>
            <w:tcW w:w="1080" w:type="dxa"/>
            <w:tcBorders>
              <w:top w:val="single" w:sz="12" w:space="0" w:color="000000"/>
              <w:bottom w:val="single" w:sz="12" w:space="0" w:color="000000"/>
            </w:tcBorders>
            <w:shd w:val="clear" w:color="000000" w:fill="FCF9FC"/>
            <w:vAlign w:val="center"/>
          </w:tcPr>
          <w:p w14:paraId="52B8BE1D"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0.131399</w:t>
            </w:r>
          </w:p>
        </w:tc>
        <w:tc>
          <w:tcPr>
            <w:tcW w:w="1082" w:type="dxa"/>
            <w:tcBorders>
              <w:top w:val="single" w:sz="12" w:space="0" w:color="000000"/>
              <w:bottom w:val="single" w:sz="12" w:space="0" w:color="000000"/>
            </w:tcBorders>
            <w:shd w:val="clear" w:color="000000" w:fill="F98385"/>
            <w:vAlign w:val="center"/>
          </w:tcPr>
          <w:p w14:paraId="52B8BE1E"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0.636565</w:t>
            </w:r>
          </w:p>
        </w:tc>
        <w:tc>
          <w:tcPr>
            <w:tcW w:w="1080" w:type="dxa"/>
            <w:tcBorders>
              <w:top w:val="single" w:sz="12" w:space="0" w:color="000000"/>
              <w:bottom w:val="single" w:sz="12" w:space="0" w:color="000000"/>
            </w:tcBorders>
            <w:shd w:val="clear" w:color="000000" w:fill="5A8AC6"/>
            <w:vAlign w:val="center"/>
          </w:tcPr>
          <w:p w14:paraId="52B8BE1F"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0.067023</w:t>
            </w:r>
          </w:p>
        </w:tc>
        <w:tc>
          <w:tcPr>
            <w:tcW w:w="1077" w:type="dxa"/>
            <w:tcBorders>
              <w:top w:val="single" w:sz="12" w:space="0" w:color="000000"/>
              <w:bottom w:val="single" w:sz="12" w:space="0" w:color="000000"/>
            </w:tcBorders>
            <w:shd w:val="clear" w:color="000000" w:fill="B2C8E5"/>
            <w:vAlign w:val="center"/>
          </w:tcPr>
          <w:p w14:paraId="52B8BE20"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0.094381</w:t>
            </w:r>
          </w:p>
        </w:tc>
      </w:tr>
      <w:tr w:rsidR="001A4D72" w14:paraId="52B8BE2A" w14:textId="77777777">
        <w:trPr>
          <w:trHeight w:val="285"/>
        </w:trPr>
        <w:tc>
          <w:tcPr>
            <w:tcW w:w="1077" w:type="dxa"/>
            <w:tcBorders>
              <w:top w:val="single" w:sz="12" w:space="0" w:color="000000"/>
              <w:bottom w:val="single" w:sz="12" w:space="0" w:color="000000"/>
            </w:tcBorders>
            <w:vAlign w:val="center"/>
          </w:tcPr>
          <w:p w14:paraId="52B8BE22" w14:textId="77777777" w:rsidR="001A4D72" w:rsidRDefault="001A4D72">
            <w:pPr>
              <w:widowControl/>
              <w:jc w:val="center"/>
              <w:rPr>
                <w:rFonts w:ascii="Times New Roman" w:eastAsia="宋体" w:hAnsi="Times New Roman" w:cs="宋体"/>
                <w:color w:val="000000"/>
                <w:kern w:val="0"/>
                <w:sz w:val="21"/>
              </w:rPr>
            </w:pPr>
          </w:p>
        </w:tc>
        <w:tc>
          <w:tcPr>
            <w:tcW w:w="1983" w:type="dxa"/>
            <w:tcBorders>
              <w:top w:val="single" w:sz="12" w:space="0" w:color="000000"/>
              <w:bottom w:val="single" w:sz="12" w:space="0" w:color="000000"/>
            </w:tcBorders>
            <w:vAlign w:val="center"/>
          </w:tcPr>
          <w:p w14:paraId="52B8BE23"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甲基环戊烯醇酮</w:t>
            </w:r>
          </w:p>
        </w:tc>
        <w:tc>
          <w:tcPr>
            <w:tcW w:w="1080" w:type="dxa"/>
            <w:tcBorders>
              <w:top w:val="single" w:sz="12" w:space="0" w:color="000000"/>
              <w:bottom w:val="single" w:sz="12" w:space="0" w:color="000000"/>
            </w:tcBorders>
            <w:shd w:val="clear" w:color="000000" w:fill="F96B6D"/>
            <w:vAlign w:val="center"/>
          </w:tcPr>
          <w:p w14:paraId="52B8BE24"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0.066436</w:t>
            </w:r>
          </w:p>
        </w:tc>
        <w:tc>
          <w:tcPr>
            <w:tcW w:w="1080" w:type="dxa"/>
            <w:tcBorders>
              <w:top w:val="single" w:sz="12" w:space="0" w:color="000000"/>
              <w:bottom w:val="single" w:sz="12" w:space="0" w:color="000000"/>
            </w:tcBorders>
            <w:shd w:val="clear" w:color="000000" w:fill="FCF0F2"/>
            <w:vAlign w:val="center"/>
          </w:tcPr>
          <w:p w14:paraId="52B8BE25"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0.031106</w:t>
            </w:r>
          </w:p>
        </w:tc>
        <w:tc>
          <w:tcPr>
            <w:tcW w:w="1080" w:type="dxa"/>
            <w:tcBorders>
              <w:top w:val="single" w:sz="12" w:space="0" w:color="000000"/>
              <w:bottom w:val="single" w:sz="12" w:space="0" w:color="000000"/>
            </w:tcBorders>
            <w:shd w:val="clear" w:color="000000" w:fill="D7E2F2"/>
            <w:vAlign w:val="center"/>
          </w:tcPr>
          <w:p w14:paraId="52B8BE26"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0.024201</w:t>
            </w:r>
          </w:p>
        </w:tc>
        <w:tc>
          <w:tcPr>
            <w:tcW w:w="1082" w:type="dxa"/>
            <w:tcBorders>
              <w:top w:val="single" w:sz="12" w:space="0" w:color="000000"/>
              <w:bottom w:val="single" w:sz="12" w:space="0" w:color="000000"/>
            </w:tcBorders>
            <w:shd w:val="clear" w:color="000000" w:fill="F8696B"/>
            <w:vAlign w:val="center"/>
          </w:tcPr>
          <w:p w14:paraId="52B8BE27"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0.066892</w:t>
            </w:r>
          </w:p>
        </w:tc>
        <w:tc>
          <w:tcPr>
            <w:tcW w:w="1080" w:type="dxa"/>
            <w:tcBorders>
              <w:top w:val="single" w:sz="12" w:space="0" w:color="000000"/>
              <w:bottom w:val="single" w:sz="12" w:space="0" w:color="000000"/>
            </w:tcBorders>
            <w:shd w:val="clear" w:color="000000" w:fill="99B6DC"/>
            <w:vAlign w:val="center"/>
          </w:tcPr>
          <w:p w14:paraId="52B8BE28"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0.018238</w:t>
            </w:r>
          </w:p>
        </w:tc>
        <w:tc>
          <w:tcPr>
            <w:tcW w:w="1077" w:type="dxa"/>
            <w:tcBorders>
              <w:top w:val="single" w:sz="12" w:space="0" w:color="000000"/>
              <w:bottom w:val="single" w:sz="12" w:space="0" w:color="000000"/>
            </w:tcBorders>
            <w:shd w:val="clear" w:color="000000" w:fill="5A8AC6"/>
            <w:vAlign w:val="center"/>
          </w:tcPr>
          <w:p w14:paraId="52B8BE29"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0.012199</w:t>
            </w:r>
          </w:p>
        </w:tc>
      </w:tr>
      <w:tr w:rsidR="001A4D72" w14:paraId="52B8BE33" w14:textId="77777777">
        <w:trPr>
          <w:trHeight w:val="285"/>
        </w:trPr>
        <w:tc>
          <w:tcPr>
            <w:tcW w:w="1077" w:type="dxa"/>
            <w:tcBorders>
              <w:top w:val="single" w:sz="12" w:space="0" w:color="000000"/>
              <w:bottom w:val="single" w:sz="12" w:space="0" w:color="000000"/>
            </w:tcBorders>
            <w:vAlign w:val="center"/>
          </w:tcPr>
          <w:p w14:paraId="52B8BE2B" w14:textId="77777777" w:rsidR="001A4D72" w:rsidRDefault="001A4D72">
            <w:pPr>
              <w:widowControl/>
              <w:jc w:val="center"/>
              <w:rPr>
                <w:rFonts w:ascii="Times New Roman" w:eastAsia="宋体" w:hAnsi="Times New Roman" w:cs="宋体"/>
                <w:color w:val="000000"/>
                <w:kern w:val="0"/>
                <w:sz w:val="21"/>
              </w:rPr>
            </w:pPr>
          </w:p>
        </w:tc>
        <w:tc>
          <w:tcPr>
            <w:tcW w:w="1983" w:type="dxa"/>
            <w:tcBorders>
              <w:top w:val="single" w:sz="12" w:space="0" w:color="000000"/>
              <w:bottom w:val="single" w:sz="12" w:space="0" w:color="000000"/>
            </w:tcBorders>
            <w:vAlign w:val="center"/>
          </w:tcPr>
          <w:p w14:paraId="52B8BE2C"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乙基环戊烯醇酮</w:t>
            </w:r>
          </w:p>
        </w:tc>
        <w:tc>
          <w:tcPr>
            <w:tcW w:w="1080" w:type="dxa"/>
            <w:tcBorders>
              <w:top w:val="single" w:sz="12" w:space="0" w:color="000000"/>
              <w:bottom w:val="single" w:sz="12" w:space="0" w:color="000000"/>
            </w:tcBorders>
            <w:shd w:val="clear" w:color="000000" w:fill="FA9194"/>
            <w:vAlign w:val="center"/>
          </w:tcPr>
          <w:p w14:paraId="52B8BE2D"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0.012824</w:t>
            </w:r>
          </w:p>
        </w:tc>
        <w:tc>
          <w:tcPr>
            <w:tcW w:w="1080" w:type="dxa"/>
            <w:tcBorders>
              <w:top w:val="single" w:sz="12" w:space="0" w:color="000000"/>
              <w:bottom w:val="single" w:sz="12" w:space="0" w:color="000000"/>
            </w:tcBorders>
            <w:shd w:val="clear" w:color="000000" w:fill="FCF8FB"/>
            <w:vAlign w:val="center"/>
          </w:tcPr>
          <w:p w14:paraId="52B8BE2E"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0.004454</w:t>
            </w:r>
          </w:p>
        </w:tc>
        <w:tc>
          <w:tcPr>
            <w:tcW w:w="1080" w:type="dxa"/>
            <w:tcBorders>
              <w:top w:val="single" w:sz="12" w:space="0" w:color="000000"/>
              <w:bottom w:val="single" w:sz="12" w:space="0" w:color="000000"/>
            </w:tcBorders>
            <w:shd w:val="clear" w:color="000000" w:fill="E4EBF6"/>
            <w:vAlign w:val="center"/>
          </w:tcPr>
          <w:p w14:paraId="52B8BE2F"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0.003798</w:t>
            </w:r>
          </w:p>
        </w:tc>
        <w:tc>
          <w:tcPr>
            <w:tcW w:w="1082" w:type="dxa"/>
            <w:tcBorders>
              <w:top w:val="single" w:sz="12" w:space="0" w:color="000000"/>
              <w:bottom w:val="single" w:sz="12" w:space="0" w:color="000000"/>
            </w:tcBorders>
            <w:shd w:val="clear" w:color="000000" w:fill="F8696B"/>
            <w:vAlign w:val="center"/>
          </w:tcPr>
          <w:p w14:paraId="52B8BE30"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0.016061</w:t>
            </w:r>
          </w:p>
        </w:tc>
        <w:tc>
          <w:tcPr>
            <w:tcW w:w="1080" w:type="dxa"/>
            <w:tcBorders>
              <w:top w:val="single" w:sz="12" w:space="0" w:color="000000"/>
              <w:bottom w:val="single" w:sz="12" w:space="0" w:color="000000"/>
            </w:tcBorders>
            <w:shd w:val="clear" w:color="000000" w:fill="8BACD7"/>
            <w:vAlign w:val="center"/>
          </w:tcPr>
          <w:p w14:paraId="52B8BE31"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0.002583</w:t>
            </w:r>
          </w:p>
        </w:tc>
        <w:tc>
          <w:tcPr>
            <w:tcW w:w="1077" w:type="dxa"/>
            <w:tcBorders>
              <w:top w:val="single" w:sz="12" w:space="0" w:color="000000"/>
              <w:bottom w:val="single" w:sz="12" w:space="0" w:color="000000"/>
            </w:tcBorders>
            <w:shd w:val="clear" w:color="000000" w:fill="5A8AC6"/>
            <w:vAlign w:val="center"/>
          </w:tcPr>
          <w:p w14:paraId="52B8BE32"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0.001902</w:t>
            </w:r>
          </w:p>
        </w:tc>
      </w:tr>
      <w:tr w:rsidR="001A4D72" w14:paraId="52B8BE3C" w14:textId="77777777">
        <w:trPr>
          <w:trHeight w:val="285"/>
        </w:trPr>
        <w:tc>
          <w:tcPr>
            <w:tcW w:w="1077" w:type="dxa"/>
            <w:tcBorders>
              <w:top w:val="single" w:sz="12" w:space="0" w:color="000000"/>
              <w:bottom w:val="single" w:sz="12" w:space="0" w:color="000000"/>
            </w:tcBorders>
            <w:vAlign w:val="center"/>
          </w:tcPr>
          <w:p w14:paraId="52B8BE34" w14:textId="77777777" w:rsidR="001A4D72" w:rsidRDefault="001A4D72">
            <w:pPr>
              <w:widowControl/>
              <w:jc w:val="center"/>
              <w:rPr>
                <w:rFonts w:ascii="Times New Roman" w:eastAsia="宋体" w:hAnsi="Times New Roman" w:cs="宋体"/>
                <w:color w:val="000000"/>
                <w:kern w:val="0"/>
                <w:sz w:val="21"/>
              </w:rPr>
            </w:pPr>
          </w:p>
        </w:tc>
        <w:tc>
          <w:tcPr>
            <w:tcW w:w="1983" w:type="dxa"/>
            <w:tcBorders>
              <w:top w:val="single" w:sz="12" w:space="0" w:color="000000"/>
              <w:bottom w:val="single" w:sz="12" w:space="0" w:color="000000"/>
            </w:tcBorders>
            <w:vAlign w:val="center"/>
          </w:tcPr>
          <w:p w14:paraId="52B8BE35"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3-</w:t>
            </w:r>
            <w:r>
              <w:rPr>
                <w:rFonts w:ascii="Times New Roman" w:eastAsia="宋体" w:hAnsi="Times New Roman" w:cs="宋体"/>
                <w:color w:val="000000"/>
                <w:kern w:val="0"/>
                <w:sz w:val="21"/>
              </w:rPr>
              <w:t>乙基</w:t>
            </w:r>
            <w:r>
              <w:rPr>
                <w:rFonts w:ascii="Times New Roman" w:eastAsia="宋体" w:hAnsi="Times New Roman" w:cs="宋体"/>
                <w:color w:val="000000"/>
                <w:kern w:val="0"/>
                <w:sz w:val="21"/>
              </w:rPr>
              <w:t>-2-</w:t>
            </w:r>
            <w:r>
              <w:rPr>
                <w:rFonts w:ascii="Times New Roman" w:eastAsia="宋体" w:hAnsi="Times New Roman" w:cs="宋体"/>
                <w:color w:val="000000"/>
                <w:kern w:val="0"/>
                <w:sz w:val="21"/>
              </w:rPr>
              <w:t>环戊烯酮</w:t>
            </w:r>
          </w:p>
        </w:tc>
        <w:tc>
          <w:tcPr>
            <w:tcW w:w="1080" w:type="dxa"/>
            <w:tcBorders>
              <w:top w:val="single" w:sz="12" w:space="0" w:color="000000"/>
              <w:bottom w:val="single" w:sz="12" w:space="0" w:color="000000"/>
            </w:tcBorders>
            <w:shd w:val="clear" w:color="000000" w:fill="F97476"/>
            <w:vAlign w:val="center"/>
          </w:tcPr>
          <w:p w14:paraId="52B8BE36"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0.001564</w:t>
            </w:r>
          </w:p>
        </w:tc>
        <w:tc>
          <w:tcPr>
            <w:tcW w:w="1080" w:type="dxa"/>
            <w:tcBorders>
              <w:top w:val="single" w:sz="12" w:space="0" w:color="000000"/>
              <w:bottom w:val="single" w:sz="12" w:space="0" w:color="000000"/>
            </w:tcBorders>
            <w:shd w:val="clear" w:color="000000" w:fill="E5ECF7"/>
            <w:vAlign w:val="center"/>
          </w:tcPr>
          <w:p w14:paraId="52B8BE37"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0.000917</w:t>
            </w:r>
          </w:p>
        </w:tc>
        <w:tc>
          <w:tcPr>
            <w:tcW w:w="1080" w:type="dxa"/>
            <w:tcBorders>
              <w:top w:val="single" w:sz="12" w:space="0" w:color="000000"/>
              <w:bottom w:val="single" w:sz="12" w:space="0" w:color="000000"/>
            </w:tcBorders>
            <w:shd w:val="clear" w:color="000000" w:fill="5A8AC6"/>
            <w:vAlign w:val="center"/>
          </w:tcPr>
          <w:p w14:paraId="52B8BE38"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0.000788</w:t>
            </w:r>
          </w:p>
        </w:tc>
        <w:tc>
          <w:tcPr>
            <w:tcW w:w="1082" w:type="dxa"/>
            <w:tcBorders>
              <w:top w:val="single" w:sz="12" w:space="0" w:color="000000"/>
              <w:bottom w:val="single" w:sz="12" w:space="0" w:color="000000"/>
            </w:tcBorders>
            <w:shd w:val="clear" w:color="000000" w:fill="F8696B"/>
            <w:vAlign w:val="center"/>
          </w:tcPr>
          <w:p w14:paraId="52B8BE39"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0.001613</w:t>
            </w:r>
          </w:p>
        </w:tc>
        <w:tc>
          <w:tcPr>
            <w:tcW w:w="1080" w:type="dxa"/>
            <w:tcBorders>
              <w:top w:val="single" w:sz="12" w:space="0" w:color="000000"/>
              <w:bottom w:val="single" w:sz="12" w:space="0" w:color="000000"/>
            </w:tcBorders>
            <w:shd w:val="clear" w:color="000000" w:fill="6B96CC"/>
            <w:vAlign w:val="center"/>
          </w:tcPr>
          <w:p w14:paraId="52B8BE3A"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0.000804</w:t>
            </w:r>
          </w:p>
        </w:tc>
        <w:tc>
          <w:tcPr>
            <w:tcW w:w="1077" w:type="dxa"/>
            <w:tcBorders>
              <w:top w:val="single" w:sz="12" w:space="0" w:color="000000"/>
              <w:bottom w:val="single" w:sz="12" w:space="0" w:color="000000"/>
            </w:tcBorders>
            <w:shd w:val="clear" w:color="000000" w:fill="FCF8FB"/>
            <w:vAlign w:val="center"/>
          </w:tcPr>
          <w:p w14:paraId="52B8BE3B"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0.000957</w:t>
            </w:r>
          </w:p>
        </w:tc>
      </w:tr>
      <w:tr w:rsidR="001A4D72" w14:paraId="52B8BE45" w14:textId="77777777">
        <w:trPr>
          <w:trHeight w:val="285"/>
        </w:trPr>
        <w:tc>
          <w:tcPr>
            <w:tcW w:w="1077" w:type="dxa"/>
            <w:tcBorders>
              <w:top w:val="single" w:sz="12" w:space="0" w:color="000000"/>
              <w:bottom w:val="single" w:sz="12" w:space="0" w:color="000000"/>
            </w:tcBorders>
            <w:vAlign w:val="center"/>
          </w:tcPr>
          <w:p w14:paraId="52B8BE3D"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抑酸物质</w:t>
            </w:r>
          </w:p>
        </w:tc>
        <w:tc>
          <w:tcPr>
            <w:tcW w:w="1983" w:type="dxa"/>
            <w:tcBorders>
              <w:top w:val="single" w:sz="12" w:space="0" w:color="000000"/>
              <w:bottom w:val="single" w:sz="12" w:space="0" w:color="000000"/>
            </w:tcBorders>
            <w:vAlign w:val="center"/>
          </w:tcPr>
          <w:p w14:paraId="52B8BE3E"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草酸</w:t>
            </w:r>
          </w:p>
        </w:tc>
        <w:tc>
          <w:tcPr>
            <w:tcW w:w="1080" w:type="dxa"/>
            <w:tcBorders>
              <w:top w:val="single" w:sz="12" w:space="0" w:color="000000"/>
              <w:bottom w:val="single" w:sz="12" w:space="0" w:color="000000"/>
            </w:tcBorders>
            <w:shd w:val="clear" w:color="000000" w:fill="5A8AC6"/>
            <w:vAlign w:val="center"/>
          </w:tcPr>
          <w:p w14:paraId="52B8BE3F"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9.080709</w:t>
            </w:r>
          </w:p>
        </w:tc>
        <w:tc>
          <w:tcPr>
            <w:tcW w:w="1080" w:type="dxa"/>
            <w:tcBorders>
              <w:top w:val="single" w:sz="12" w:space="0" w:color="000000"/>
              <w:bottom w:val="single" w:sz="12" w:space="0" w:color="000000"/>
            </w:tcBorders>
            <w:shd w:val="clear" w:color="000000" w:fill="6B96CC"/>
            <w:vAlign w:val="center"/>
          </w:tcPr>
          <w:p w14:paraId="52B8BE40"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9.771325</w:t>
            </w:r>
          </w:p>
        </w:tc>
        <w:tc>
          <w:tcPr>
            <w:tcW w:w="1080" w:type="dxa"/>
            <w:tcBorders>
              <w:top w:val="single" w:sz="12" w:space="0" w:color="000000"/>
              <w:bottom w:val="single" w:sz="12" w:space="0" w:color="000000"/>
            </w:tcBorders>
            <w:shd w:val="clear" w:color="000000" w:fill="F8696B"/>
            <w:vAlign w:val="center"/>
          </w:tcPr>
          <w:p w14:paraId="52B8BE41"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21.04904</w:t>
            </w:r>
          </w:p>
        </w:tc>
        <w:tc>
          <w:tcPr>
            <w:tcW w:w="1082" w:type="dxa"/>
            <w:tcBorders>
              <w:top w:val="single" w:sz="12" w:space="0" w:color="000000"/>
              <w:bottom w:val="single" w:sz="12" w:space="0" w:color="000000"/>
            </w:tcBorders>
            <w:shd w:val="clear" w:color="000000" w:fill="D1DEF0"/>
            <w:vAlign w:val="center"/>
          </w:tcPr>
          <w:p w14:paraId="52B8BE42"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13.74825</w:t>
            </w:r>
          </w:p>
        </w:tc>
        <w:tc>
          <w:tcPr>
            <w:tcW w:w="1080" w:type="dxa"/>
            <w:tcBorders>
              <w:top w:val="single" w:sz="12" w:space="0" w:color="000000"/>
              <w:bottom w:val="single" w:sz="12" w:space="0" w:color="000000"/>
            </w:tcBorders>
            <w:shd w:val="clear" w:color="000000" w:fill="FBD1D3"/>
            <w:vAlign w:val="center"/>
          </w:tcPr>
          <w:p w14:paraId="52B8BE43"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17.08912</w:t>
            </w:r>
          </w:p>
        </w:tc>
        <w:tc>
          <w:tcPr>
            <w:tcW w:w="1077" w:type="dxa"/>
            <w:tcBorders>
              <w:top w:val="single" w:sz="12" w:space="0" w:color="000000"/>
              <w:bottom w:val="single" w:sz="12" w:space="0" w:color="000000"/>
            </w:tcBorders>
            <w:shd w:val="clear" w:color="000000" w:fill="FBD1D4"/>
            <w:vAlign w:val="center"/>
          </w:tcPr>
          <w:p w14:paraId="52B8BE44"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17.07805</w:t>
            </w:r>
          </w:p>
        </w:tc>
      </w:tr>
      <w:tr w:rsidR="001A4D72" w14:paraId="52B8BE4E" w14:textId="77777777">
        <w:trPr>
          <w:trHeight w:val="285"/>
        </w:trPr>
        <w:tc>
          <w:tcPr>
            <w:tcW w:w="1077" w:type="dxa"/>
            <w:tcBorders>
              <w:top w:val="single" w:sz="12" w:space="0" w:color="000000"/>
              <w:bottom w:val="single" w:sz="12" w:space="0" w:color="000000"/>
            </w:tcBorders>
            <w:vAlign w:val="center"/>
          </w:tcPr>
          <w:p w14:paraId="52B8BE46" w14:textId="77777777" w:rsidR="001A4D72" w:rsidRDefault="001A4D72">
            <w:pPr>
              <w:widowControl/>
              <w:jc w:val="center"/>
              <w:rPr>
                <w:rFonts w:ascii="Times New Roman" w:eastAsia="宋体" w:hAnsi="Times New Roman" w:cs="宋体"/>
                <w:color w:val="000000"/>
                <w:kern w:val="0"/>
                <w:sz w:val="21"/>
              </w:rPr>
            </w:pPr>
          </w:p>
        </w:tc>
        <w:tc>
          <w:tcPr>
            <w:tcW w:w="1983" w:type="dxa"/>
            <w:tcBorders>
              <w:top w:val="single" w:sz="12" w:space="0" w:color="000000"/>
              <w:bottom w:val="single" w:sz="12" w:space="0" w:color="000000"/>
            </w:tcBorders>
            <w:vAlign w:val="center"/>
          </w:tcPr>
          <w:p w14:paraId="52B8BE47"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丙二酸</w:t>
            </w:r>
          </w:p>
        </w:tc>
        <w:tc>
          <w:tcPr>
            <w:tcW w:w="1080" w:type="dxa"/>
            <w:tcBorders>
              <w:top w:val="single" w:sz="12" w:space="0" w:color="000000"/>
              <w:bottom w:val="single" w:sz="12" w:space="0" w:color="000000"/>
            </w:tcBorders>
            <w:shd w:val="clear" w:color="000000" w:fill="A5BFE0"/>
            <w:vAlign w:val="center"/>
          </w:tcPr>
          <w:p w14:paraId="52B8BE48"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2.004136</w:t>
            </w:r>
          </w:p>
        </w:tc>
        <w:tc>
          <w:tcPr>
            <w:tcW w:w="1080" w:type="dxa"/>
            <w:tcBorders>
              <w:top w:val="single" w:sz="12" w:space="0" w:color="000000"/>
              <w:bottom w:val="single" w:sz="12" w:space="0" w:color="000000"/>
            </w:tcBorders>
            <w:shd w:val="clear" w:color="000000" w:fill="628FC8"/>
            <w:vAlign w:val="center"/>
          </w:tcPr>
          <w:p w14:paraId="52B8BE49"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1.84995</w:t>
            </w:r>
          </w:p>
        </w:tc>
        <w:tc>
          <w:tcPr>
            <w:tcW w:w="1080" w:type="dxa"/>
            <w:tcBorders>
              <w:top w:val="single" w:sz="12" w:space="0" w:color="000000"/>
              <w:bottom w:val="single" w:sz="12" w:space="0" w:color="000000"/>
            </w:tcBorders>
            <w:shd w:val="clear" w:color="000000" w:fill="F8696B"/>
            <w:vAlign w:val="center"/>
          </w:tcPr>
          <w:p w14:paraId="52B8BE4A"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3.335019</w:t>
            </w:r>
          </w:p>
        </w:tc>
        <w:tc>
          <w:tcPr>
            <w:tcW w:w="1082" w:type="dxa"/>
            <w:tcBorders>
              <w:top w:val="single" w:sz="12" w:space="0" w:color="000000"/>
              <w:bottom w:val="single" w:sz="12" w:space="0" w:color="000000"/>
            </w:tcBorders>
            <w:shd w:val="clear" w:color="000000" w:fill="FCDDE0"/>
            <w:vAlign w:val="center"/>
          </w:tcPr>
          <w:p w14:paraId="52B8BE4B"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2.440388</w:t>
            </w:r>
          </w:p>
        </w:tc>
        <w:tc>
          <w:tcPr>
            <w:tcW w:w="1080" w:type="dxa"/>
            <w:tcBorders>
              <w:top w:val="single" w:sz="12" w:space="0" w:color="000000"/>
              <w:bottom w:val="single" w:sz="12" w:space="0" w:color="000000"/>
            </w:tcBorders>
            <w:shd w:val="clear" w:color="000000" w:fill="FCE3E6"/>
            <w:vAlign w:val="center"/>
          </w:tcPr>
          <w:p w14:paraId="52B8BE4C"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2.39614</w:t>
            </w:r>
          </w:p>
        </w:tc>
        <w:tc>
          <w:tcPr>
            <w:tcW w:w="1077" w:type="dxa"/>
            <w:tcBorders>
              <w:top w:val="single" w:sz="12" w:space="0" w:color="000000"/>
              <w:bottom w:val="single" w:sz="12" w:space="0" w:color="000000"/>
            </w:tcBorders>
            <w:shd w:val="clear" w:color="000000" w:fill="5A8AC6"/>
            <w:vAlign w:val="center"/>
          </w:tcPr>
          <w:p w14:paraId="52B8BE4D"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1.8317</w:t>
            </w:r>
          </w:p>
        </w:tc>
      </w:tr>
      <w:tr w:rsidR="001A4D72" w14:paraId="52B8BE57" w14:textId="77777777">
        <w:trPr>
          <w:trHeight w:val="285"/>
        </w:trPr>
        <w:tc>
          <w:tcPr>
            <w:tcW w:w="1077" w:type="dxa"/>
            <w:tcBorders>
              <w:top w:val="single" w:sz="12" w:space="0" w:color="000000"/>
              <w:bottom w:val="single" w:sz="12" w:space="0" w:color="000000"/>
            </w:tcBorders>
            <w:vAlign w:val="center"/>
          </w:tcPr>
          <w:p w14:paraId="52B8BE4F" w14:textId="77777777" w:rsidR="001A4D72" w:rsidRDefault="001A4D72">
            <w:pPr>
              <w:widowControl/>
              <w:jc w:val="center"/>
              <w:rPr>
                <w:rFonts w:ascii="Times New Roman" w:eastAsia="宋体" w:hAnsi="Times New Roman" w:cs="宋体"/>
                <w:color w:val="000000"/>
                <w:kern w:val="0"/>
                <w:sz w:val="21"/>
              </w:rPr>
            </w:pPr>
          </w:p>
        </w:tc>
        <w:tc>
          <w:tcPr>
            <w:tcW w:w="1983" w:type="dxa"/>
            <w:tcBorders>
              <w:top w:val="single" w:sz="12" w:space="0" w:color="000000"/>
              <w:bottom w:val="single" w:sz="12" w:space="0" w:color="000000"/>
            </w:tcBorders>
            <w:vAlign w:val="center"/>
          </w:tcPr>
          <w:p w14:paraId="52B8BE50"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总氮</w:t>
            </w:r>
          </w:p>
        </w:tc>
        <w:tc>
          <w:tcPr>
            <w:tcW w:w="1080" w:type="dxa"/>
            <w:tcBorders>
              <w:top w:val="single" w:sz="12" w:space="0" w:color="000000"/>
              <w:bottom w:val="single" w:sz="12" w:space="0" w:color="000000"/>
            </w:tcBorders>
            <w:shd w:val="clear" w:color="000000" w:fill="5A8AC6"/>
            <w:vAlign w:val="center"/>
          </w:tcPr>
          <w:p w14:paraId="52B8BE51"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1.89</w:t>
            </w:r>
          </w:p>
        </w:tc>
        <w:tc>
          <w:tcPr>
            <w:tcW w:w="1080" w:type="dxa"/>
            <w:tcBorders>
              <w:top w:val="single" w:sz="12" w:space="0" w:color="000000"/>
              <w:bottom w:val="single" w:sz="12" w:space="0" w:color="000000"/>
            </w:tcBorders>
            <w:shd w:val="clear" w:color="000000" w:fill="CCDAEE"/>
            <w:vAlign w:val="center"/>
          </w:tcPr>
          <w:p w14:paraId="52B8BE52"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2.8825</w:t>
            </w:r>
          </w:p>
        </w:tc>
        <w:tc>
          <w:tcPr>
            <w:tcW w:w="1080" w:type="dxa"/>
            <w:tcBorders>
              <w:top w:val="single" w:sz="12" w:space="0" w:color="000000"/>
              <w:bottom w:val="single" w:sz="12" w:space="0" w:color="000000"/>
            </w:tcBorders>
            <w:shd w:val="clear" w:color="000000" w:fill="FBC8CB"/>
            <w:vAlign w:val="center"/>
          </w:tcPr>
          <w:p w14:paraId="52B8BE53"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4.02875</w:t>
            </w:r>
          </w:p>
        </w:tc>
        <w:tc>
          <w:tcPr>
            <w:tcW w:w="1082" w:type="dxa"/>
            <w:tcBorders>
              <w:top w:val="single" w:sz="12" w:space="0" w:color="000000"/>
              <w:bottom w:val="single" w:sz="12" w:space="0" w:color="000000"/>
            </w:tcBorders>
            <w:shd w:val="clear" w:color="000000" w:fill="5B8BC6"/>
            <w:vAlign w:val="center"/>
          </w:tcPr>
          <w:p w14:paraId="52B8BE54"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1.90375</w:t>
            </w:r>
          </w:p>
        </w:tc>
        <w:tc>
          <w:tcPr>
            <w:tcW w:w="1080" w:type="dxa"/>
            <w:tcBorders>
              <w:top w:val="single" w:sz="12" w:space="0" w:color="000000"/>
              <w:bottom w:val="single" w:sz="12" w:space="0" w:color="000000"/>
            </w:tcBorders>
            <w:shd w:val="clear" w:color="000000" w:fill="FCDFE1"/>
            <w:vAlign w:val="center"/>
          </w:tcPr>
          <w:p w14:paraId="52B8BE55"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3.716</w:t>
            </w:r>
          </w:p>
        </w:tc>
        <w:tc>
          <w:tcPr>
            <w:tcW w:w="1077" w:type="dxa"/>
            <w:tcBorders>
              <w:top w:val="single" w:sz="12" w:space="0" w:color="000000"/>
              <w:bottom w:val="single" w:sz="12" w:space="0" w:color="000000"/>
            </w:tcBorders>
            <w:shd w:val="clear" w:color="000000" w:fill="F8696B"/>
            <w:vAlign w:val="center"/>
          </w:tcPr>
          <w:p w14:paraId="52B8BE56" w14:textId="77777777" w:rsidR="001A4D72" w:rsidRDefault="00000000">
            <w:pPr>
              <w:widowControl/>
              <w:jc w:val="center"/>
              <w:rPr>
                <w:rFonts w:ascii="Times New Roman" w:eastAsia="宋体" w:hAnsi="Times New Roman" w:cs="宋体"/>
                <w:color w:val="000000"/>
                <w:kern w:val="0"/>
                <w:sz w:val="21"/>
              </w:rPr>
            </w:pPr>
            <w:r>
              <w:rPr>
                <w:rFonts w:ascii="Times New Roman" w:eastAsia="宋体" w:hAnsi="Times New Roman" w:cs="宋体"/>
                <w:color w:val="000000"/>
                <w:kern w:val="0"/>
                <w:sz w:val="21"/>
              </w:rPr>
              <w:t>5.35</w:t>
            </w:r>
          </w:p>
        </w:tc>
      </w:tr>
    </w:tbl>
    <w:p w14:paraId="52B8BE62" w14:textId="77777777" w:rsidR="001A4D72" w:rsidRDefault="00000000">
      <w:pPr>
        <w:snapToGrid w:val="0"/>
        <w:spacing w:line="360" w:lineRule="auto"/>
        <w:ind w:left="357" w:hanging="357"/>
        <w:outlineLvl w:val="0"/>
        <w:rPr>
          <w:rFonts w:ascii="宋体" w:eastAsia="宋体" w:hAnsi="宋体" w:cs="Times New Roman"/>
          <w:b/>
          <w:kern w:val="0"/>
          <w:sz w:val="28"/>
          <w:szCs w:val="24"/>
        </w:rPr>
      </w:pPr>
      <w:r>
        <w:rPr>
          <w:rFonts w:ascii="宋体" w:eastAsia="宋体" w:hAnsi="宋体" w:cs="Times New Roman"/>
          <w:b/>
          <w:kern w:val="0"/>
          <w:sz w:val="28"/>
          <w:szCs w:val="24"/>
        </w:rPr>
        <w:t>3.讨论</w:t>
      </w:r>
    </w:p>
    <w:p w14:paraId="52B8BE63" w14:textId="77777777" w:rsidR="001A4D72" w:rsidRDefault="00000000">
      <w:pPr>
        <w:pStyle w:val="af6"/>
        <w:snapToGrid w:val="0"/>
        <w:spacing w:line="360" w:lineRule="auto"/>
        <w:ind w:left="505" w:hanging="505"/>
        <w:jc w:val="left"/>
        <w:outlineLvl w:val="1"/>
        <w:rPr>
          <w:rFonts w:ascii="Times New Roman" w:eastAsia="宋体" w:hAnsi="Times New Roman" w:cs="Times New Roman"/>
          <w:b/>
          <w:bCs/>
        </w:rPr>
      </w:pPr>
      <w:r>
        <w:rPr>
          <w:rFonts w:ascii="Times New Roman" w:eastAsia="宋体" w:hAnsi="Times New Roman" w:cs="Times New Roman"/>
          <w:b/>
          <w:bCs/>
        </w:rPr>
        <w:t xml:space="preserve">3.1 </w:t>
      </w:r>
      <w:r>
        <w:rPr>
          <w:rFonts w:ascii="Times New Roman" w:eastAsia="宋体" w:hAnsi="Times New Roman" w:cs="Times New Roman"/>
          <w:b/>
          <w:bCs/>
        </w:rPr>
        <w:t>关键致酸物质的贡献与潜在机制</w:t>
      </w:r>
    </w:p>
    <w:p w14:paraId="52B8BE64"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本研究通过多模型交叉验证，最终识别出</w:t>
      </w:r>
      <w:r>
        <w:rPr>
          <w:rFonts w:ascii="Times New Roman" w:eastAsia="宋体" w:hAnsi="Times New Roman" w:cs="Times New Roman"/>
          <w:szCs w:val="21"/>
        </w:rPr>
        <w:t>18</w:t>
      </w:r>
      <w:r>
        <w:rPr>
          <w:rFonts w:ascii="Times New Roman" w:eastAsia="宋体" w:hAnsi="Times New Roman" w:cs="Times New Roman"/>
          <w:szCs w:val="21"/>
        </w:rPr>
        <w:t>种与酸感呈显著正相关的核心化学物质，它们是导致样品酸感形成的主要贡献者。分析这些物质的化学性质与转化路径，揭示了酸感形成的潜在机制。</w:t>
      </w:r>
    </w:p>
    <w:p w14:paraId="52B8BE65"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糖类及其衍生物是致酸效应最显著的类别。糖类物质本身虽不呈酸性，但作为关键前体物。在加热条件下极易通过热裂解、焦糖化或美拉德反应降解生成乙酸、丙酸等小分子挥发性有机酸，从而显著增加烟气的总酸含量并增强酸感</w:t>
      </w:r>
      <w:r>
        <w:rPr>
          <w:rFonts w:ascii="Times New Roman" w:eastAsia="宋体" w:hAnsi="Times New Roman" w:cs="Times New Roman"/>
          <w:szCs w:val="21"/>
          <w:vertAlign w:val="superscript"/>
        </w:rPr>
        <w:t>[11]</w:t>
      </w:r>
      <w:r>
        <w:rPr>
          <w:rFonts w:ascii="Times New Roman" w:eastAsia="宋体" w:hAnsi="Times New Roman" w:cs="Times New Roman"/>
          <w:szCs w:val="21"/>
        </w:rPr>
        <w:t>。</w:t>
      </w:r>
    </w:p>
    <w:p w14:paraId="52B8BE66"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多种有机酸与脂肪酸表现出强烈的正相关性。其中，棕榈酸等饱和脂肪酸主要贡献其固有酸性，而油酸等不饱和脂肪酸在加热时发生脱羧等裂解反应，生成</w:t>
      </w:r>
      <w:r>
        <w:rPr>
          <w:rFonts w:ascii="Times New Roman" w:eastAsia="宋体" w:hAnsi="Times New Roman" w:cs="Times New Roman"/>
          <w:szCs w:val="21"/>
        </w:rPr>
        <w:t xml:space="preserve"> CO₂ </w:t>
      </w:r>
      <w:r>
        <w:rPr>
          <w:rFonts w:ascii="Times New Roman" w:eastAsia="宋体" w:hAnsi="Times New Roman" w:cs="Times New Roman"/>
          <w:szCs w:val="21"/>
        </w:rPr>
        <w:t>及醛酮类化合物</w:t>
      </w:r>
      <w:r>
        <w:rPr>
          <w:rFonts w:ascii="Times New Roman" w:eastAsia="宋体" w:hAnsi="Times New Roman" w:cs="Times New Roman"/>
          <w:szCs w:val="21"/>
          <w:vertAlign w:val="superscript"/>
        </w:rPr>
        <w:t>[12]</w:t>
      </w:r>
      <w:r>
        <w:rPr>
          <w:rFonts w:ascii="Times New Roman" w:eastAsia="宋体" w:hAnsi="Times New Roman" w:cs="Times New Roman"/>
          <w:szCs w:val="21"/>
        </w:rPr>
        <w:t>。这些热解产物与脂肪酸自身的酸性共同对酸感起到协同增强作用。</w:t>
      </w:r>
    </w:p>
    <w:p w14:paraId="52B8BE67"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脯氨酸的贡献途径主要源于加热条件下的美拉德反应。</w:t>
      </w:r>
      <w:r>
        <w:rPr>
          <w:rFonts w:ascii="Times New Roman" w:eastAsia="宋体" w:hAnsi="Times New Roman" w:cs="Times New Roman"/>
          <w:szCs w:val="21"/>
        </w:rPr>
        <w:t>Blank</w:t>
      </w:r>
      <w:r>
        <w:rPr>
          <w:rFonts w:ascii="Times New Roman" w:eastAsia="宋体" w:hAnsi="Times New Roman" w:cs="Times New Roman"/>
          <w:szCs w:val="21"/>
        </w:rPr>
        <w:t>等</w:t>
      </w:r>
      <w:r>
        <w:rPr>
          <w:rFonts w:ascii="Times New Roman" w:hAnsi="Times New Roman" w:cs="Times New Roman"/>
          <w:kern w:val="0"/>
          <w:szCs w:val="24"/>
          <w:vertAlign w:val="superscript"/>
        </w:rPr>
        <w:t>[13]</w:t>
      </w:r>
      <w:r>
        <w:rPr>
          <w:rFonts w:ascii="Times New Roman" w:eastAsia="宋体" w:hAnsi="Times New Roman" w:cs="Times New Roman"/>
          <w:szCs w:val="21"/>
        </w:rPr>
        <w:t>在对葡萄糖</w:t>
      </w:r>
      <w:r>
        <w:rPr>
          <w:rFonts w:ascii="Times New Roman" w:eastAsia="宋体" w:hAnsi="Times New Roman" w:cs="Times New Roman"/>
          <w:szCs w:val="21"/>
        </w:rPr>
        <w:t>-</w:t>
      </w:r>
      <w:r>
        <w:rPr>
          <w:rFonts w:ascii="Times New Roman" w:eastAsia="宋体" w:hAnsi="Times New Roman" w:cs="Times New Roman"/>
          <w:szCs w:val="21"/>
        </w:rPr>
        <w:t>脯氨酸（</w:t>
      </w:r>
      <w:r>
        <w:rPr>
          <w:rFonts w:ascii="Times New Roman" w:eastAsia="宋体" w:hAnsi="Times New Roman" w:cs="Times New Roman"/>
          <w:szCs w:val="21"/>
        </w:rPr>
        <w:t>Glc/Pro</w:t>
      </w:r>
      <w:r>
        <w:rPr>
          <w:rFonts w:ascii="Times New Roman" w:eastAsia="宋体" w:hAnsi="Times New Roman" w:cs="Times New Roman"/>
          <w:szCs w:val="21"/>
        </w:rPr>
        <w:t>）模型体系的研究中明确指出，乙酸是该反应最主要的产物之一。本研究中观察到的脯氨酸与酸感的强正相关性，其化学基础可归结于美拉德反应中乙酸的高效生成。同时，本研究鉴定出的多种醛酮类化合物亦是该反应路径下的典型糖类降解产物，共同构成了脯氨酸对样品整体酸感与刺激感的复杂贡献。</w:t>
      </w:r>
    </w:p>
    <w:p w14:paraId="52B8BE68" w14:textId="77777777" w:rsidR="001A4D72" w:rsidRDefault="00000000">
      <w:pPr>
        <w:spacing w:line="360" w:lineRule="auto"/>
        <w:ind w:firstLine="480"/>
        <w:rPr>
          <w:rFonts w:ascii="Times New Roman" w:eastAsia="宋体" w:hAnsi="Times New Roman" w:cs="Times New Roman"/>
          <w:szCs w:val="21"/>
        </w:rPr>
      </w:pPr>
      <w:commentRangeStart w:id="29"/>
      <w:r>
        <w:rPr>
          <w:rFonts w:ascii="Times New Roman" w:eastAsia="宋体" w:hAnsi="Times New Roman" w:cs="Times New Roman"/>
          <w:szCs w:val="21"/>
        </w:rPr>
        <w:lastRenderedPageBreak/>
        <w:t>本研究观察到的烤烟型加热卷烟表现出的较强酸感与同类原料在燃烧状态下的感官差异，</w:t>
      </w:r>
      <w:commentRangeStart w:id="30"/>
      <w:commentRangeEnd w:id="29"/>
      <w:r>
        <w:rPr>
          <w:rStyle w:val="a4"/>
          <w:rFonts w:ascii="Times New Roman" w:eastAsia="宋体" w:hAnsi="Times New Roman" w:cs="Times New Roman"/>
          <w:sz w:val="24"/>
        </w:rPr>
        <w:commentReference w:id="29"/>
      </w:r>
      <w:commentRangeEnd w:id="30"/>
      <w:r>
        <w:rPr>
          <w:rStyle w:val="a4"/>
          <w:rFonts w:ascii="Times New Roman" w:eastAsia="宋体" w:hAnsi="Times New Roman" w:cs="Times New Roman"/>
          <w:sz w:val="24"/>
        </w:rPr>
        <w:commentReference w:id="30"/>
      </w:r>
      <w:r>
        <w:rPr>
          <w:rFonts w:ascii="Times New Roman" w:eastAsia="宋体" w:hAnsi="Times New Roman" w:cs="Times New Roman"/>
          <w:szCs w:val="21"/>
        </w:rPr>
        <w:t>主要归因于加热与燃烧两种热化学状态的本质不同。文献表明</w:t>
      </w:r>
      <w:r>
        <w:rPr>
          <w:rFonts w:ascii="Times New Roman" w:eastAsia="宋体" w:hAnsi="Times New Roman" w:cs="Times New Roman"/>
          <w:szCs w:val="21"/>
          <w:vertAlign w:val="superscript"/>
        </w:rPr>
        <w:t>[14,15]</w:t>
      </w:r>
      <w:r>
        <w:rPr>
          <w:rFonts w:ascii="Times New Roman" w:eastAsia="宋体" w:hAnsi="Times New Roman" w:cs="Times New Roman"/>
          <w:szCs w:val="21"/>
        </w:rPr>
        <w:t>，在加热卷烟典型的惰性或低氧热解条件下，有机酸等酸性化合物是糖类及其他前体物最主要的热解产物，得以大量保留并转移至烟气中；而在传统卷烟的富氧燃烧条件下（</w:t>
      </w:r>
      <w:r>
        <w:rPr>
          <w:rFonts w:ascii="Times New Roman" w:eastAsia="宋体" w:hAnsi="Times New Roman" w:cs="Times New Roman"/>
          <w:szCs w:val="21"/>
        </w:rPr>
        <w:t>&gt;800°C</w:t>
      </w:r>
      <w:r>
        <w:rPr>
          <w:rFonts w:ascii="Times New Roman" w:eastAsia="宋体" w:hAnsi="Times New Roman" w:cs="Times New Roman"/>
          <w:szCs w:val="21"/>
        </w:rPr>
        <w:t>），酸性中间体极易被进一步氧化深度降解为</w:t>
      </w:r>
      <w:r>
        <w:rPr>
          <w:rFonts w:ascii="Times New Roman" w:eastAsia="宋体" w:hAnsi="Times New Roman" w:cs="Times New Roman"/>
          <w:szCs w:val="21"/>
        </w:rPr>
        <w:t xml:space="preserve"> CO₂ </w:t>
      </w:r>
      <w:r>
        <w:rPr>
          <w:rFonts w:ascii="Times New Roman" w:eastAsia="宋体" w:hAnsi="Times New Roman" w:cs="Times New Roman"/>
          <w:szCs w:val="21"/>
        </w:rPr>
        <w:t>和</w:t>
      </w:r>
      <w:r>
        <w:rPr>
          <w:rFonts w:ascii="Times New Roman" w:eastAsia="宋体" w:hAnsi="Times New Roman" w:cs="Times New Roman"/>
          <w:szCs w:val="21"/>
        </w:rPr>
        <w:t xml:space="preserve"> H₂O</w:t>
      </w:r>
      <w:r>
        <w:rPr>
          <w:rFonts w:ascii="Times New Roman" w:eastAsia="宋体" w:hAnsi="Times New Roman" w:cs="Times New Roman"/>
          <w:szCs w:val="21"/>
        </w:rPr>
        <w:t>，从而导致烟气酸性显著降低。这一机理差异解释了特定原料在加热状态下酸感特征被放大的原因。</w:t>
      </w:r>
    </w:p>
    <w:p w14:paraId="52B8BE69" w14:textId="77777777" w:rsidR="001A4D72" w:rsidRDefault="00000000">
      <w:pPr>
        <w:snapToGrid w:val="0"/>
        <w:spacing w:line="360" w:lineRule="auto"/>
        <w:jc w:val="left"/>
        <w:outlineLvl w:val="1"/>
        <w:rPr>
          <w:rFonts w:ascii="Times New Roman" w:eastAsia="宋体" w:hAnsi="Times New Roman" w:cs="Times New Roman"/>
          <w:b/>
          <w:bCs/>
        </w:rPr>
      </w:pPr>
      <w:r>
        <w:rPr>
          <w:rFonts w:ascii="Times New Roman" w:eastAsia="宋体" w:hAnsi="Times New Roman" w:cs="Times New Roman"/>
          <w:b/>
          <w:bCs/>
        </w:rPr>
        <w:t xml:space="preserve">3.2 </w:t>
      </w:r>
      <w:r>
        <w:rPr>
          <w:rFonts w:ascii="Times New Roman" w:eastAsia="宋体" w:hAnsi="Times New Roman" w:cs="Times New Roman"/>
          <w:b/>
          <w:bCs/>
        </w:rPr>
        <w:t>关键抑酸物质的贡献与潜在机制</w:t>
      </w:r>
    </w:p>
    <w:p w14:paraId="52B8BE6A"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草酸、丙二酸和总氮三项核心指标与感官酸感呈显著负相关，揭示了加热卷烟体系中的</w:t>
      </w:r>
      <w:r>
        <w:rPr>
          <w:rFonts w:ascii="Times New Roman" w:eastAsia="宋体" w:hAnsi="Times New Roman" w:cs="Times New Roman"/>
          <w:szCs w:val="21"/>
        </w:rPr>
        <w:t>“</w:t>
      </w:r>
      <w:r>
        <w:rPr>
          <w:rFonts w:ascii="Times New Roman" w:eastAsia="宋体" w:hAnsi="Times New Roman" w:cs="Times New Roman"/>
          <w:szCs w:val="21"/>
        </w:rPr>
        <w:t>抑酸</w:t>
      </w:r>
      <w:r>
        <w:rPr>
          <w:rFonts w:ascii="Times New Roman" w:eastAsia="宋体" w:hAnsi="Times New Roman" w:cs="Times New Roman"/>
          <w:szCs w:val="21"/>
        </w:rPr>
        <w:t>”</w:t>
      </w:r>
      <w:r>
        <w:rPr>
          <w:rFonts w:ascii="Times New Roman" w:eastAsia="宋体" w:hAnsi="Times New Roman" w:cs="Times New Roman"/>
          <w:szCs w:val="21"/>
        </w:rPr>
        <w:t>效应涉及化学相互作用与感官调节的双重机制。</w:t>
      </w:r>
    </w:p>
    <w:p w14:paraId="52B8BE6B"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二元羧酸草酸和丙二酸的负相关性主要源于其离子络合能力与感官掩蔽效应。一方面，草酸作为典型的抗营养因子，极易与烟叶基质中富含的钙、钾等离子形成低溶解度络合物（如草酸钙）</w:t>
      </w:r>
      <w:r>
        <w:rPr>
          <w:rFonts w:ascii="Times New Roman" w:eastAsia="宋体" w:hAnsi="Times New Roman" w:cs="Times New Roman"/>
          <w:szCs w:val="21"/>
          <w:vertAlign w:val="superscript"/>
        </w:rPr>
        <w:t>[16-18]</w:t>
      </w:r>
      <w:r>
        <w:rPr>
          <w:rFonts w:ascii="Times New Roman" w:eastAsia="宋体" w:hAnsi="Times New Roman" w:cs="Times New Roman"/>
          <w:szCs w:val="21"/>
        </w:rPr>
        <w:t>，导致游离态活性酸减少。另一方面，草酸引发的收敛、干燥等涩感信号，在感官认知中可能干扰或掩蔽了对纯粹</w:t>
      </w:r>
      <w:r>
        <w:rPr>
          <w:rFonts w:ascii="Times New Roman" w:eastAsia="宋体" w:hAnsi="Times New Roman" w:cs="Times New Roman"/>
          <w:szCs w:val="21"/>
        </w:rPr>
        <w:t>“</w:t>
      </w:r>
      <w:r>
        <w:rPr>
          <w:rFonts w:ascii="Times New Roman" w:eastAsia="宋体" w:hAnsi="Times New Roman" w:cs="Times New Roman"/>
          <w:szCs w:val="21"/>
        </w:rPr>
        <w:t>酸感</w:t>
      </w:r>
      <w:r>
        <w:rPr>
          <w:rFonts w:ascii="Times New Roman" w:eastAsia="宋体" w:hAnsi="Times New Roman" w:cs="Times New Roman"/>
          <w:szCs w:val="21"/>
        </w:rPr>
        <w:t>”</w:t>
      </w:r>
      <w:r>
        <w:rPr>
          <w:rFonts w:ascii="Times New Roman" w:eastAsia="宋体" w:hAnsi="Times New Roman" w:cs="Times New Roman"/>
          <w:szCs w:val="21"/>
        </w:rPr>
        <w:t>的清晰感知</w:t>
      </w:r>
      <w:r>
        <w:rPr>
          <w:rFonts w:ascii="Times New Roman" w:eastAsia="宋体" w:hAnsi="Times New Roman" w:cs="Times New Roman"/>
          <w:szCs w:val="21"/>
          <w:vertAlign w:val="superscript"/>
        </w:rPr>
        <w:t>[19-21]</w:t>
      </w:r>
      <w:r>
        <w:rPr>
          <w:rFonts w:ascii="Times New Roman" w:eastAsia="宋体" w:hAnsi="Times New Roman" w:cs="Times New Roman"/>
          <w:szCs w:val="21"/>
        </w:rPr>
        <w:t>，导致酸感强度评价降低。</w:t>
      </w:r>
    </w:p>
    <w:p w14:paraId="52B8BE6C"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总氮的抑酸机制可归结为两个层面：化学层面，较高的总氮意味着更丰富的生物碱储备，通过酸碱中和及</w:t>
      </w:r>
      <w:r>
        <w:rPr>
          <w:rFonts w:ascii="Times New Roman" w:eastAsia="宋体" w:hAnsi="Times New Roman" w:cs="Times New Roman"/>
          <w:szCs w:val="21"/>
        </w:rPr>
        <w:t>pH</w:t>
      </w:r>
      <w:r>
        <w:rPr>
          <w:rFonts w:ascii="Times New Roman" w:eastAsia="宋体" w:hAnsi="Times New Roman" w:cs="Times New Roman"/>
          <w:szCs w:val="21"/>
        </w:rPr>
        <w:t>缓冲作用削弱酸感的物质基础；感官层面，总氮和烟碱含量与烟气的刺激性呈极显著正相关</w:t>
      </w:r>
      <w:r>
        <w:rPr>
          <w:rFonts w:ascii="Times New Roman" w:hAnsi="Times New Roman" w:cs="Times New Roman"/>
          <w:kern w:val="0"/>
          <w:szCs w:val="24"/>
          <w:vertAlign w:val="superscript"/>
        </w:rPr>
        <w:t>[22,23]</w:t>
      </w:r>
      <w:r>
        <w:rPr>
          <w:rFonts w:ascii="Times New Roman" w:eastAsia="宋体" w:hAnsi="Times New Roman" w:cs="Times New Roman"/>
          <w:szCs w:val="21"/>
        </w:rPr>
        <w:t>。高含量碱性物质引发的强烈刺激感成为产品中主导性的负面感官信号在更高维度的感知中改变了对</w:t>
      </w:r>
      <w:r>
        <w:rPr>
          <w:rFonts w:ascii="Times New Roman" w:eastAsia="宋体" w:hAnsi="Times New Roman" w:cs="Times New Roman"/>
          <w:szCs w:val="21"/>
        </w:rPr>
        <w:t>“</w:t>
      </w:r>
      <w:r>
        <w:rPr>
          <w:rFonts w:ascii="Times New Roman" w:eastAsia="宋体" w:hAnsi="Times New Roman" w:cs="Times New Roman"/>
          <w:szCs w:val="21"/>
        </w:rPr>
        <w:t>酸感</w:t>
      </w:r>
      <w:r>
        <w:rPr>
          <w:rFonts w:ascii="Times New Roman" w:eastAsia="宋体" w:hAnsi="Times New Roman" w:cs="Times New Roman"/>
          <w:szCs w:val="21"/>
        </w:rPr>
        <w:t>”</w:t>
      </w:r>
      <w:r>
        <w:rPr>
          <w:rFonts w:ascii="Times New Roman" w:eastAsia="宋体" w:hAnsi="Times New Roman" w:cs="Times New Roman"/>
          <w:szCs w:val="21"/>
        </w:rPr>
        <w:t>的清晰辨识。</w:t>
      </w:r>
    </w:p>
    <w:p w14:paraId="52B8BE6D" w14:textId="77777777" w:rsidR="001A4D72" w:rsidRDefault="00000000">
      <w:pPr>
        <w:spacing w:line="360" w:lineRule="auto"/>
        <w:ind w:firstLine="480"/>
        <w:rPr>
          <w:rFonts w:ascii="Times New Roman" w:eastAsia="宋体" w:hAnsi="Times New Roman" w:cs="Times New Roman"/>
          <w:szCs w:val="21"/>
        </w:rPr>
        <w:sectPr w:rsidR="001A4D72">
          <w:pgSz w:w="11906" w:h="16838"/>
          <w:pgMar w:top="1440" w:right="1797" w:bottom="1440" w:left="1797" w:header="0" w:footer="0" w:gutter="0"/>
          <w:cols w:space="720"/>
          <w:formProt w:val="0"/>
          <w:docGrid w:linePitch="326"/>
        </w:sectPr>
      </w:pPr>
      <w:r>
        <w:rPr>
          <w:rFonts w:ascii="Times New Roman" w:eastAsia="宋体" w:hAnsi="Times New Roman" w:cs="Times New Roman"/>
          <w:szCs w:val="21"/>
        </w:rPr>
        <w:t>综上所述，加热卷烟体系中的</w:t>
      </w:r>
      <w:r>
        <w:rPr>
          <w:rFonts w:ascii="Times New Roman" w:eastAsia="宋体" w:hAnsi="Times New Roman" w:cs="Times New Roman"/>
          <w:szCs w:val="21"/>
        </w:rPr>
        <w:t>“</w:t>
      </w:r>
      <w:r>
        <w:rPr>
          <w:rFonts w:ascii="Times New Roman" w:eastAsia="宋体" w:hAnsi="Times New Roman" w:cs="Times New Roman"/>
          <w:szCs w:val="21"/>
        </w:rPr>
        <w:t>抑酸</w:t>
      </w:r>
      <w:r>
        <w:rPr>
          <w:rFonts w:ascii="Times New Roman" w:eastAsia="宋体" w:hAnsi="Times New Roman" w:cs="Times New Roman"/>
          <w:szCs w:val="21"/>
        </w:rPr>
        <w:t>”</w:t>
      </w:r>
      <w:r>
        <w:rPr>
          <w:rFonts w:ascii="Times New Roman" w:eastAsia="宋体" w:hAnsi="Times New Roman" w:cs="Times New Roman"/>
          <w:szCs w:val="21"/>
        </w:rPr>
        <w:t>效应是离子络合、酸碱中和及感官交互作用的多机制协同结果。</w:t>
      </w:r>
    </w:p>
    <w:p w14:paraId="52B8BE6E" w14:textId="77777777" w:rsidR="001A4D72" w:rsidRDefault="00000000">
      <w:pPr>
        <w:snapToGrid w:val="0"/>
        <w:spacing w:line="360" w:lineRule="auto"/>
        <w:ind w:left="357" w:hanging="357"/>
        <w:outlineLvl w:val="0"/>
        <w:rPr>
          <w:rFonts w:ascii="宋体" w:eastAsia="宋体" w:hAnsi="宋体" w:cs="Times New Roman"/>
          <w:b/>
          <w:kern w:val="0"/>
          <w:sz w:val="28"/>
          <w:szCs w:val="24"/>
        </w:rPr>
      </w:pPr>
      <w:r>
        <w:rPr>
          <w:rFonts w:ascii="宋体" w:eastAsia="宋体" w:hAnsi="宋体" w:cs="Times New Roman"/>
          <w:b/>
          <w:kern w:val="0"/>
          <w:sz w:val="28"/>
          <w:szCs w:val="24"/>
        </w:rPr>
        <w:lastRenderedPageBreak/>
        <w:t>4.结论</w:t>
      </w:r>
    </w:p>
    <w:p w14:paraId="52B8BE6F" w14:textId="77777777" w:rsidR="001A4D72" w:rsidRDefault="00000000">
      <w:pPr>
        <w:spacing w:line="360" w:lineRule="auto"/>
        <w:ind w:firstLine="480"/>
        <w:rPr>
          <w:rFonts w:ascii="Times New Roman" w:eastAsia="宋体" w:hAnsi="Times New Roman" w:cs="Times New Roman"/>
          <w:szCs w:val="21"/>
        </w:rPr>
      </w:pPr>
      <w:commentRangeStart w:id="31"/>
      <w:r>
        <w:rPr>
          <w:rFonts w:ascii="Times New Roman" w:eastAsia="宋体" w:hAnsi="Times New Roman" w:cs="Times New Roman"/>
          <w:szCs w:val="21"/>
        </w:rPr>
        <w:t>本研究通过构建一个多阶段的化学计量学与机器学习分析框架，系统地筛选、验证并精炼出了影响加热卷烟感官酸性的核心化学因素。研究发现，芸香苷、绿原酸、油酸、脯氨酸等物质是导致酸感的主要贡献因子。与此同时，草酸、总氮等物质则对酸感表现出显著的抑制作用。这些发现不仅为加热卷烟原料的品质评价提供了明确、量化的化学指标，也为其产品风味的定向调控和品质优化，提供了重要的科学依据与理论支持。</w:t>
      </w:r>
    </w:p>
    <w:p w14:paraId="52B8BE70" w14:textId="77777777" w:rsidR="001A4D72" w:rsidRDefault="001A4D72">
      <w:pPr>
        <w:spacing w:line="360" w:lineRule="auto"/>
        <w:ind w:firstLine="480"/>
        <w:rPr>
          <w:rFonts w:ascii="Times New Roman" w:eastAsia="宋体" w:hAnsi="Times New Roman" w:cs="Times New Roman"/>
          <w:szCs w:val="21"/>
        </w:rPr>
      </w:pPr>
    </w:p>
    <w:p w14:paraId="52B8BE71"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本研究基于烟气与原料数据的融合分析策略，构建了单变量与多变量相结合的化学计量学模型，系统解析了加热卷烟感官酸感的化学物质基础。主要结论如下：</w:t>
      </w:r>
    </w:p>
    <w:p w14:paraId="52B8BE72"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核心驱动因子确证：通过严格的双重准则筛选，确证了</w:t>
      </w:r>
      <w:r>
        <w:rPr>
          <w:rFonts w:ascii="Times New Roman" w:eastAsia="宋体" w:hAnsi="Times New Roman" w:cs="Times New Roman"/>
          <w:szCs w:val="21"/>
        </w:rPr>
        <w:t xml:space="preserve"> 21 </w:t>
      </w:r>
      <w:r>
        <w:rPr>
          <w:rFonts w:ascii="Times New Roman" w:eastAsia="宋体" w:hAnsi="Times New Roman" w:cs="Times New Roman"/>
          <w:szCs w:val="21"/>
        </w:rPr>
        <w:t>种与酸感显著相关的核心化学标志物。其中，芸香苷、绿原酸、葡萄糖、果糖及油酸等</w:t>
      </w:r>
      <w:r>
        <w:rPr>
          <w:rFonts w:ascii="Times New Roman" w:eastAsia="宋体" w:hAnsi="Times New Roman" w:cs="Times New Roman"/>
          <w:szCs w:val="21"/>
        </w:rPr>
        <w:t xml:space="preserve"> 18 </w:t>
      </w:r>
      <w:r>
        <w:rPr>
          <w:rFonts w:ascii="Times New Roman" w:eastAsia="宋体" w:hAnsi="Times New Roman" w:cs="Times New Roman"/>
          <w:szCs w:val="21"/>
        </w:rPr>
        <w:t>种物质是酸感的主要正向贡献因子，其致酸机制主要源于糖类的热裂解产酸及有机酸的直接呈味；而草酸、丙二酸及总氮等</w:t>
      </w:r>
      <w:r>
        <w:rPr>
          <w:rFonts w:ascii="Times New Roman" w:eastAsia="宋体" w:hAnsi="Times New Roman" w:cs="Times New Roman"/>
          <w:szCs w:val="21"/>
        </w:rPr>
        <w:t xml:space="preserve"> 3 </w:t>
      </w:r>
      <w:r>
        <w:rPr>
          <w:rFonts w:ascii="Times New Roman" w:eastAsia="宋体" w:hAnsi="Times New Roman" w:cs="Times New Roman"/>
          <w:szCs w:val="21"/>
        </w:rPr>
        <w:t>种物质则表现出显著的负相关性，揭示了离子络合与碱性中和在体系中的抑酸作用。</w:t>
      </w:r>
    </w:p>
    <w:p w14:paraId="52B8BE73" w14:textId="77777777" w:rsidR="001A4D72" w:rsidRDefault="00000000">
      <w:pPr>
        <w:spacing w:line="360" w:lineRule="auto"/>
        <w:ind w:firstLine="480"/>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原料差异的化学诠释：核心物质在不同烟草类型中的分布规律，有效解释了感官酸感的来源差异。烤烟与香料烟因富含糖类及致酸前体物，确立了其</w:t>
      </w:r>
      <w:r>
        <w:rPr>
          <w:rFonts w:ascii="Times New Roman" w:eastAsia="宋体" w:hAnsi="Times New Roman" w:cs="Times New Roman"/>
          <w:szCs w:val="21"/>
        </w:rPr>
        <w:t>“</w:t>
      </w:r>
      <w:r>
        <w:rPr>
          <w:rFonts w:ascii="Times New Roman" w:eastAsia="宋体" w:hAnsi="Times New Roman" w:cs="Times New Roman"/>
          <w:szCs w:val="21"/>
        </w:rPr>
        <w:t>典型致酸</w:t>
      </w:r>
      <w:r>
        <w:rPr>
          <w:rFonts w:ascii="Times New Roman" w:eastAsia="宋体" w:hAnsi="Times New Roman" w:cs="Times New Roman"/>
          <w:szCs w:val="21"/>
        </w:rPr>
        <w:t>”</w:t>
      </w:r>
      <w:r>
        <w:rPr>
          <w:rFonts w:ascii="Times New Roman" w:eastAsia="宋体" w:hAnsi="Times New Roman" w:cs="Times New Roman"/>
          <w:szCs w:val="21"/>
        </w:rPr>
        <w:t>的感官风格；白肋烟与晒红烟则凭借高氮碱含量构建了</w:t>
      </w:r>
      <w:r>
        <w:rPr>
          <w:rFonts w:ascii="Times New Roman" w:eastAsia="宋体" w:hAnsi="Times New Roman" w:cs="Times New Roman"/>
          <w:szCs w:val="21"/>
        </w:rPr>
        <w:t>“</w:t>
      </w:r>
      <w:r>
        <w:rPr>
          <w:rFonts w:ascii="Times New Roman" w:eastAsia="宋体" w:hAnsi="Times New Roman" w:cs="Times New Roman"/>
          <w:szCs w:val="21"/>
        </w:rPr>
        <w:t>典型抑酸</w:t>
      </w:r>
      <w:r>
        <w:rPr>
          <w:rFonts w:ascii="Times New Roman" w:eastAsia="宋体" w:hAnsi="Times New Roman" w:cs="Times New Roman"/>
          <w:szCs w:val="21"/>
        </w:rPr>
        <w:t>”</w:t>
      </w:r>
      <w:r>
        <w:rPr>
          <w:rFonts w:ascii="Times New Roman" w:eastAsia="宋体" w:hAnsi="Times New Roman" w:cs="Times New Roman"/>
          <w:szCs w:val="21"/>
        </w:rPr>
        <w:t>缓冲体系。此外，晒黄烟呈现出的</w:t>
      </w:r>
      <w:r>
        <w:rPr>
          <w:rFonts w:ascii="Times New Roman" w:eastAsia="宋体" w:hAnsi="Times New Roman" w:cs="Times New Roman"/>
          <w:szCs w:val="21"/>
        </w:rPr>
        <w:t>“</w:t>
      </w:r>
      <w:r>
        <w:rPr>
          <w:rFonts w:ascii="Times New Roman" w:eastAsia="宋体" w:hAnsi="Times New Roman" w:cs="Times New Roman"/>
          <w:szCs w:val="21"/>
        </w:rPr>
        <w:t>高糖</w:t>
      </w:r>
      <w:r>
        <w:rPr>
          <w:rFonts w:ascii="Times New Roman" w:eastAsia="宋体" w:hAnsi="Times New Roman" w:cs="Times New Roman"/>
          <w:szCs w:val="21"/>
        </w:rPr>
        <w:t>-</w:t>
      </w:r>
      <w:r>
        <w:rPr>
          <w:rFonts w:ascii="Times New Roman" w:eastAsia="宋体" w:hAnsi="Times New Roman" w:cs="Times New Roman"/>
          <w:szCs w:val="21"/>
        </w:rPr>
        <w:t>低酸感</w:t>
      </w:r>
      <w:r>
        <w:rPr>
          <w:rFonts w:ascii="Times New Roman" w:eastAsia="宋体" w:hAnsi="Times New Roman" w:cs="Times New Roman"/>
          <w:szCs w:val="21"/>
        </w:rPr>
        <w:t>”</w:t>
      </w:r>
      <w:r>
        <w:rPr>
          <w:rFonts w:ascii="Times New Roman" w:eastAsia="宋体" w:hAnsi="Times New Roman" w:cs="Times New Roman"/>
          <w:szCs w:val="21"/>
        </w:rPr>
        <w:t>特征，进一步提示了感官掩蔽效应在酸感感知中的非线性调节作用。</w:t>
      </w:r>
    </w:p>
    <w:p w14:paraId="52B8BE74" w14:textId="77777777" w:rsidR="001A4D72" w:rsidRDefault="00000000">
      <w:pPr>
        <w:spacing w:line="360" w:lineRule="auto"/>
        <w:ind w:firstLine="480"/>
        <w:rPr>
          <w:rFonts w:ascii="Times New Roman" w:eastAsia="宋体" w:hAnsi="Times New Roman" w:cs="Times New Roman"/>
          <w:szCs w:val="21"/>
        </w:rPr>
        <w:sectPr w:rsidR="001A4D72">
          <w:pgSz w:w="11906" w:h="16838"/>
          <w:pgMar w:top="1440" w:right="1797" w:bottom="1440" w:left="1797" w:header="0" w:footer="0" w:gutter="0"/>
          <w:cols w:space="720"/>
          <w:formProt w:val="0"/>
          <w:docGrid w:linePitch="326"/>
        </w:sectPr>
      </w:pPr>
      <w:r>
        <w:rPr>
          <w:rFonts w:ascii="Times New Roman" w:eastAsia="宋体" w:hAnsi="Times New Roman" w:cs="Times New Roman"/>
          <w:szCs w:val="21"/>
        </w:rPr>
        <w:t>3.</w:t>
      </w:r>
      <w:r>
        <w:rPr>
          <w:rFonts w:ascii="Times New Roman" w:eastAsia="宋体" w:hAnsi="Times New Roman" w:cs="Times New Roman"/>
          <w:szCs w:val="21"/>
        </w:rPr>
        <w:t>研究意义：本研究不仅从物质基础层面阐明了加热卷烟</w:t>
      </w:r>
      <w:r>
        <w:rPr>
          <w:rFonts w:ascii="Times New Roman" w:eastAsia="宋体" w:hAnsi="Times New Roman" w:cs="Times New Roman"/>
          <w:szCs w:val="21"/>
        </w:rPr>
        <w:t>“</w:t>
      </w:r>
      <w:r>
        <w:rPr>
          <w:rFonts w:ascii="Times New Roman" w:eastAsia="宋体" w:hAnsi="Times New Roman" w:cs="Times New Roman"/>
          <w:szCs w:val="21"/>
        </w:rPr>
        <w:t>酸感</w:t>
      </w:r>
      <w:r>
        <w:rPr>
          <w:rFonts w:ascii="Times New Roman" w:eastAsia="宋体" w:hAnsi="Times New Roman" w:cs="Times New Roman"/>
          <w:szCs w:val="21"/>
        </w:rPr>
        <w:t>”</w:t>
      </w:r>
      <w:r>
        <w:rPr>
          <w:rFonts w:ascii="Times New Roman" w:eastAsia="宋体" w:hAnsi="Times New Roman" w:cs="Times New Roman"/>
          <w:szCs w:val="21"/>
        </w:rPr>
        <w:t>的形成与调控机制，也证实了加热状态下低氧热解环境有利于酸性物质积累的热化学特性。研究结果为加热卷烟专用原料的定向筛选、感官品质的数字化评价及产品的精准调香提供了科学依据。</w:t>
      </w:r>
    </w:p>
    <w:commentRangeEnd w:id="31"/>
    <w:p w14:paraId="52B8BE75" w14:textId="77777777" w:rsidR="001A4D72" w:rsidRDefault="00000000">
      <w:pPr>
        <w:pStyle w:val="Reference"/>
        <w:spacing w:line="360" w:lineRule="auto"/>
        <w:rPr>
          <w:rFonts w:ascii="宋体" w:eastAsia="宋体" w:hAnsi="宋体"/>
          <w:sz w:val="28"/>
          <w:szCs w:val="24"/>
        </w:rPr>
      </w:pPr>
      <w:r>
        <w:rPr>
          <w:rStyle w:val="a4"/>
          <w:rFonts w:ascii="宋体" w:eastAsia="宋体" w:hAnsi="宋体"/>
          <w:sz w:val="28"/>
          <w:szCs w:val="24"/>
        </w:rPr>
        <w:lastRenderedPageBreak/>
        <w:commentReference w:id="31"/>
      </w:r>
      <w:r>
        <w:rPr>
          <w:rFonts w:ascii="宋体" w:eastAsia="宋体" w:hAnsi="宋体"/>
          <w:sz w:val="28"/>
          <w:szCs w:val="24"/>
        </w:rPr>
        <w:t>参考文献</w:t>
      </w:r>
    </w:p>
    <w:p w14:paraId="52B8BE76"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[1]</w:t>
      </w:r>
      <w:r>
        <w:rPr>
          <w:rFonts w:ascii="Times New Roman" w:eastAsia="宋体" w:hAnsi="Times New Roman"/>
        </w:rPr>
        <w:tab/>
      </w:r>
      <w:r>
        <w:rPr>
          <w:rFonts w:ascii="Times New Roman" w:eastAsia="宋体" w:hAnsi="Times New Roman"/>
        </w:rPr>
        <w:t>徐伟</w:t>
      </w:r>
      <w:r>
        <w:rPr>
          <w:rFonts w:ascii="Times New Roman" w:eastAsia="宋体" w:hAnsi="Times New Roman"/>
        </w:rPr>
        <w:t xml:space="preserve">, </w:t>
      </w:r>
      <w:r>
        <w:rPr>
          <w:rFonts w:ascii="Times New Roman" w:eastAsia="宋体" w:hAnsi="Times New Roman"/>
        </w:rPr>
        <w:t>马婷婷</w:t>
      </w:r>
      <w:r>
        <w:rPr>
          <w:rFonts w:ascii="Times New Roman" w:eastAsia="宋体" w:hAnsi="Times New Roman"/>
        </w:rPr>
        <w:t xml:space="preserve">, </w:t>
      </w:r>
      <w:r>
        <w:rPr>
          <w:rFonts w:ascii="Times New Roman" w:eastAsia="宋体" w:hAnsi="Times New Roman"/>
        </w:rPr>
        <w:t>李佳美</w:t>
      </w:r>
      <w:r>
        <w:rPr>
          <w:rFonts w:ascii="Times New Roman" w:eastAsia="宋体" w:hAnsi="Times New Roman"/>
        </w:rPr>
        <w:t xml:space="preserve">, </w:t>
      </w:r>
      <w:r>
        <w:rPr>
          <w:rFonts w:ascii="Times New Roman" w:eastAsia="宋体" w:hAnsi="Times New Roman"/>
        </w:rPr>
        <w:t>等</w:t>
      </w:r>
      <w:r>
        <w:rPr>
          <w:rFonts w:ascii="Times New Roman" w:eastAsia="宋体" w:hAnsi="Times New Roman"/>
        </w:rPr>
        <w:t xml:space="preserve">. </w:t>
      </w:r>
      <w:r>
        <w:rPr>
          <w:rFonts w:ascii="Times New Roman" w:eastAsia="宋体" w:hAnsi="Times New Roman"/>
        </w:rPr>
        <w:t>发酵时间对俄式面包面团有机酸形成及其酸感的影响</w:t>
      </w:r>
      <w:r>
        <w:rPr>
          <w:rFonts w:ascii="Times New Roman" w:eastAsia="宋体" w:hAnsi="Times New Roman"/>
        </w:rPr>
        <w:t xml:space="preserve">[J]. </w:t>
      </w:r>
      <w:r>
        <w:rPr>
          <w:rFonts w:ascii="Times New Roman" w:eastAsia="宋体" w:hAnsi="Times New Roman"/>
        </w:rPr>
        <w:t>食品工业科技</w:t>
      </w:r>
      <w:r>
        <w:rPr>
          <w:rFonts w:ascii="Times New Roman" w:eastAsia="宋体" w:hAnsi="Times New Roman"/>
        </w:rPr>
        <w:t>,</w:t>
      </w:r>
      <w:r>
        <w:t xml:space="preserve"> </w:t>
      </w:r>
      <w:r>
        <w:rPr>
          <w:rFonts w:ascii="Times New Roman" w:eastAsia="宋体" w:hAnsi="Times New Roman"/>
        </w:rPr>
        <w:t>2019, 40(22): 82-86.</w:t>
      </w:r>
    </w:p>
    <w:p w14:paraId="52B8BE77" w14:textId="77777777" w:rsidR="001A4D72" w:rsidRDefault="00000000">
      <w:pPr>
        <w:spacing w:line="360" w:lineRule="auto"/>
        <w:ind w:left="480"/>
        <w:jc w:val="left"/>
        <w:rPr>
          <w:rFonts w:ascii="Times New Roman" w:eastAsia="宋体" w:hAnsi="Times New Roman"/>
        </w:rPr>
      </w:pPr>
      <w:r>
        <w:rPr>
          <w:rFonts w:ascii="Times New Roman" w:eastAsia="宋体" w:hAnsi="Times New Roman"/>
        </w:rPr>
        <w:t>XU Wei, MA Tingting, LI Jiamei, et al. Effect of fermentation time on formation of organic acids and sour taste in Russian-style bread dough[J]. Science and Technology of Food Industry, 2019, 40(22): 82-86.</w:t>
      </w:r>
    </w:p>
    <w:p w14:paraId="52B8BE78"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[2]</w:t>
      </w:r>
      <w:r>
        <w:rPr>
          <w:rFonts w:ascii="Times New Roman" w:eastAsia="宋体" w:hAnsi="Times New Roman"/>
        </w:rPr>
        <w:tab/>
      </w:r>
      <w:r>
        <w:rPr>
          <w:rFonts w:ascii="Times New Roman" w:eastAsia="宋体" w:hAnsi="Times New Roman"/>
        </w:rPr>
        <w:t>刘春凤</w:t>
      </w:r>
      <w:r>
        <w:rPr>
          <w:rFonts w:ascii="Times New Roman" w:eastAsia="宋体" w:hAnsi="Times New Roman"/>
        </w:rPr>
        <w:t xml:space="preserve">, </w:t>
      </w:r>
      <w:r>
        <w:rPr>
          <w:rFonts w:ascii="Times New Roman" w:eastAsia="宋体" w:hAnsi="Times New Roman"/>
        </w:rPr>
        <w:t>王威</w:t>
      </w:r>
      <w:r>
        <w:rPr>
          <w:rFonts w:ascii="Times New Roman" w:eastAsia="宋体" w:hAnsi="Times New Roman"/>
        </w:rPr>
        <w:t xml:space="preserve">, </w:t>
      </w:r>
      <w:r>
        <w:rPr>
          <w:rFonts w:ascii="Times New Roman" w:eastAsia="宋体" w:hAnsi="Times New Roman"/>
        </w:rPr>
        <w:t>李永仙</w:t>
      </w:r>
      <w:r>
        <w:rPr>
          <w:rFonts w:ascii="Times New Roman" w:eastAsia="宋体" w:hAnsi="Times New Roman"/>
        </w:rPr>
        <w:t xml:space="preserve">, </w:t>
      </w:r>
      <w:r>
        <w:rPr>
          <w:rFonts w:ascii="Times New Roman" w:eastAsia="宋体" w:hAnsi="Times New Roman"/>
        </w:rPr>
        <w:t>等</w:t>
      </w:r>
      <w:r>
        <w:rPr>
          <w:rFonts w:ascii="Times New Roman" w:eastAsia="宋体" w:hAnsi="Times New Roman"/>
        </w:rPr>
        <w:t xml:space="preserve">. </w:t>
      </w:r>
      <w:r>
        <w:rPr>
          <w:rFonts w:ascii="Times New Roman" w:eastAsia="宋体" w:hAnsi="Times New Roman"/>
        </w:rPr>
        <w:t>小麦麦芽制麦过程中酸感物质的变化</w:t>
      </w:r>
      <w:r>
        <w:rPr>
          <w:rFonts w:ascii="Times New Roman" w:eastAsia="宋体" w:hAnsi="Times New Roman"/>
        </w:rPr>
        <w:t xml:space="preserve">[J]. </w:t>
      </w:r>
      <w:r>
        <w:rPr>
          <w:rFonts w:ascii="Times New Roman" w:eastAsia="宋体" w:hAnsi="Times New Roman"/>
        </w:rPr>
        <w:t>啤酒科技</w:t>
      </w:r>
      <w:r>
        <w:rPr>
          <w:rFonts w:ascii="Times New Roman" w:eastAsia="宋体" w:hAnsi="Times New Roman"/>
        </w:rPr>
        <w:t>, 2010(3): 22-26.</w:t>
      </w:r>
    </w:p>
    <w:p w14:paraId="52B8BE79" w14:textId="77777777" w:rsidR="001A4D72" w:rsidRDefault="00000000">
      <w:pPr>
        <w:spacing w:line="360" w:lineRule="auto"/>
        <w:ind w:left="480"/>
        <w:jc w:val="left"/>
        <w:rPr>
          <w:rFonts w:ascii="Times New Roman" w:eastAsia="宋体" w:hAnsi="Times New Roman"/>
        </w:rPr>
      </w:pPr>
      <w:r>
        <w:rPr>
          <w:rFonts w:ascii="Times New Roman" w:eastAsia="宋体" w:hAnsi="Times New Roman"/>
        </w:rPr>
        <w:t>LIU Chunfeng, WANG Wei, LI Yongxian, et al. Changes of sour substances during wheat malting process[J]. Beer Science and Technology, 2010(3): 22-26.</w:t>
      </w:r>
    </w:p>
    <w:p w14:paraId="52B8BE7A"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[3]</w:t>
      </w:r>
      <w:r>
        <w:rPr>
          <w:rFonts w:ascii="Times New Roman" w:eastAsia="宋体" w:hAnsi="Times New Roman"/>
        </w:rPr>
        <w:tab/>
      </w:r>
      <w:r>
        <w:rPr>
          <w:rFonts w:ascii="Times New Roman" w:eastAsia="宋体" w:hAnsi="Times New Roman"/>
        </w:rPr>
        <w:t>马艺荧</w:t>
      </w:r>
      <w:r>
        <w:rPr>
          <w:rFonts w:ascii="Times New Roman" w:eastAsia="宋体" w:hAnsi="Times New Roman"/>
        </w:rPr>
        <w:t xml:space="preserve">, </w:t>
      </w:r>
      <w:r>
        <w:rPr>
          <w:rFonts w:ascii="Times New Roman" w:eastAsia="宋体" w:hAnsi="Times New Roman"/>
        </w:rPr>
        <w:t>孙波</w:t>
      </w:r>
      <w:r>
        <w:rPr>
          <w:rFonts w:ascii="Times New Roman" w:eastAsia="宋体" w:hAnsi="Times New Roman"/>
        </w:rPr>
        <w:t xml:space="preserve">, </w:t>
      </w:r>
      <w:r>
        <w:rPr>
          <w:rFonts w:ascii="Times New Roman" w:eastAsia="宋体" w:hAnsi="Times New Roman"/>
        </w:rPr>
        <w:t>张宇</w:t>
      </w:r>
      <w:r>
        <w:rPr>
          <w:rFonts w:ascii="Times New Roman" w:eastAsia="宋体" w:hAnsi="Times New Roman"/>
        </w:rPr>
        <w:t xml:space="preserve">, </w:t>
      </w:r>
      <w:r>
        <w:rPr>
          <w:rFonts w:ascii="Times New Roman" w:eastAsia="宋体" w:hAnsi="Times New Roman"/>
        </w:rPr>
        <w:t>等</w:t>
      </w:r>
      <w:r>
        <w:rPr>
          <w:rFonts w:ascii="Times New Roman" w:eastAsia="宋体" w:hAnsi="Times New Roman"/>
        </w:rPr>
        <w:t xml:space="preserve">. </w:t>
      </w:r>
      <w:r>
        <w:rPr>
          <w:rFonts w:ascii="Times New Roman" w:eastAsia="宋体" w:hAnsi="Times New Roman"/>
        </w:rPr>
        <w:t>东北酸菜不同发酵时间有机酸变化及其对产品酸感的影响</w:t>
      </w:r>
      <w:r>
        <w:rPr>
          <w:rFonts w:ascii="Times New Roman" w:eastAsia="宋体" w:hAnsi="Times New Roman"/>
        </w:rPr>
        <w:t xml:space="preserve">[J]. </w:t>
      </w:r>
      <w:r>
        <w:rPr>
          <w:rFonts w:ascii="Times New Roman" w:eastAsia="宋体" w:hAnsi="Times New Roman"/>
        </w:rPr>
        <w:t>食品与发酵工业</w:t>
      </w:r>
      <w:r>
        <w:rPr>
          <w:rFonts w:ascii="Times New Roman" w:eastAsia="宋体" w:hAnsi="Times New Roman"/>
        </w:rPr>
        <w:t>, 2019, 45(5): 45-50.</w:t>
      </w:r>
    </w:p>
    <w:p w14:paraId="52B8BE7B" w14:textId="77777777" w:rsidR="001A4D72" w:rsidRDefault="00000000">
      <w:pPr>
        <w:pStyle w:val="1"/>
        <w:spacing w:line="360" w:lineRule="auto"/>
        <w:ind w:left="480" w:firstLine="0"/>
        <w:jc w:val="left"/>
        <w:rPr>
          <w:rFonts w:ascii="Times New Roman" w:eastAsia="宋体" w:hAnsi="Times New Roman"/>
        </w:rPr>
      </w:pPr>
      <w:r>
        <w:rPr>
          <w:rFonts w:ascii="Times New Roman" w:eastAsia="宋体" w:hAnsi="Times New Roman"/>
        </w:rPr>
        <w:t>MA Yiying, SUN Bo, ZHANG Yu, et al. Variation of organic acids in Dongbei suancai during different fermentation time and its effect on sour taste of the product[J]. Food and Fermentation Industries, 2019, 45(5): 45-50.</w:t>
      </w:r>
    </w:p>
    <w:p w14:paraId="52B8BE7C"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[4]</w:t>
      </w:r>
      <w:r>
        <w:rPr>
          <w:rFonts w:ascii="Times New Roman" w:eastAsia="宋体" w:hAnsi="Times New Roman"/>
        </w:rPr>
        <w:tab/>
      </w:r>
      <w:r>
        <w:rPr>
          <w:rFonts w:ascii="Times New Roman" w:eastAsia="宋体" w:hAnsi="Times New Roman"/>
        </w:rPr>
        <w:t>符云鹏</w:t>
      </w:r>
      <w:r>
        <w:rPr>
          <w:rFonts w:ascii="Times New Roman" w:eastAsia="宋体" w:hAnsi="Times New Roman"/>
        </w:rPr>
        <w:t xml:space="preserve">, </w:t>
      </w:r>
      <w:r>
        <w:rPr>
          <w:rFonts w:ascii="Times New Roman" w:eastAsia="宋体" w:hAnsi="Times New Roman"/>
        </w:rPr>
        <w:t>李国芸</w:t>
      </w:r>
      <w:r>
        <w:rPr>
          <w:rFonts w:ascii="Times New Roman" w:eastAsia="宋体" w:hAnsi="Times New Roman"/>
        </w:rPr>
        <w:t xml:space="preserve">, </w:t>
      </w:r>
      <w:r>
        <w:rPr>
          <w:rFonts w:ascii="Times New Roman" w:eastAsia="宋体" w:hAnsi="Times New Roman"/>
        </w:rPr>
        <w:t>宋玉川</w:t>
      </w:r>
      <w:r>
        <w:rPr>
          <w:rFonts w:ascii="Times New Roman" w:eastAsia="宋体" w:hAnsi="Times New Roman"/>
        </w:rPr>
        <w:t xml:space="preserve">, </w:t>
      </w:r>
      <w:r>
        <w:rPr>
          <w:rFonts w:ascii="Times New Roman" w:eastAsia="宋体" w:hAnsi="Times New Roman"/>
        </w:rPr>
        <w:t>等</w:t>
      </w:r>
      <w:r>
        <w:rPr>
          <w:rFonts w:ascii="Times New Roman" w:eastAsia="宋体" w:hAnsi="Times New Roman"/>
        </w:rPr>
        <w:t xml:space="preserve">. </w:t>
      </w:r>
      <w:r>
        <w:rPr>
          <w:rFonts w:ascii="Times New Roman" w:eastAsia="宋体" w:hAnsi="Times New Roman"/>
        </w:rPr>
        <w:t>土壤水分对香料烟香味物质和感官质量的影响</w:t>
      </w:r>
      <w:r>
        <w:rPr>
          <w:rFonts w:ascii="Times New Roman" w:eastAsia="宋体" w:hAnsi="Times New Roman"/>
        </w:rPr>
        <w:t xml:space="preserve">[J]. </w:t>
      </w:r>
      <w:r>
        <w:rPr>
          <w:rFonts w:ascii="Times New Roman" w:eastAsia="宋体" w:hAnsi="Times New Roman"/>
        </w:rPr>
        <w:t>中国烟草学报</w:t>
      </w:r>
      <w:r>
        <w:rPr>
          <w:rFonts w:ascii="Times New Roman" w:eastAsia="宋体" w:hAnsi="Times New Roman"/>
        </w:rPr>
        <w:t>, 2014, 20(5): 73-79.</w:t>
      </w:r>
    </w:p>
    <w:p w14:paraId="52B8BE7D" w14:textId="77777777" w:rsidR="001A4D72" w:rsidRDefault="00000000">
      <w:pPr>
        <w:pStyle w:val="1"/>
        <w:spacing w:line="360" w:lineRule="auto"/>
        <w:ind w:left="480" w:firstLine="0"/>
        <w:jc w:val="left"/>
        <w:rPr>
          <w:rFonts w:ascii="Times New Roman" w:eastAsia="宋体" w:hAnsi="Times New Roman"/>
        </w:rPr>
      </w:pPr>
      <w:r>
        <w:rPr>
          <w:rFonts w:ascii="Times New Roman" w:eastAsia="宋体" w:hAnsi="Times New Roman"/>
        </w:rPr>
        <w:t>FU Yunpeng, LI Guoyun, SONG Yuchuan, et al. Effects of soil moisture on aroma components and sensory quality of oriental tobacco[J]. Acta Tabacaria Sinica, 2014, 20(5): 73-79.</w:t>
      </w:r>
    </w:p>
    <w:p w14:paraId="52B8BE7E"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[5]</w:t>
      </w:r>
      <w:r>
        <w:rPr>
          <w:rFonts w:ascii="Times New Roman" w:eastAsia="宋体" w:hAnsi="Times New Roman"/>
        </w:rPr>
        <w:tab/>
      </w:r>
      <w:r>
        <w:rPr>
          <w:rFonts w:ascii="Times New Roman" w:eastAsia="宋体" w:hAnsi="Times New Roman"/>
        </w:rPr>
        <w:t>吴键</w:t>
      </w:r>
      <w:r>
        <w:rPr>
          <w:rFonts w:ascii="Times New Roman" w:eastAsia="宋体" w:hAnsi="Times New Roman"/>
        </w:rPr>
        <w:t xml:space="preserve">, </w:t>
      </w:r>
      <w:r>
        <w:rPr>
          <w:rFonts w:ascii="Times New Roman" w:eastAsia="宋体" w:hAnsi="Times New Roman"/>
        </w:rPr>
        <w:t>赵路灿</w:t>
      </w:r>
      <w:r>
        <w:rPr>
          <w:rFonts w:ascii="Times New Roman" w:eastAsia="宋体" w:hAnsi="Times New Roman"/>
        </w:rPr>
        <w:t xml:space="preserve">, </w:t>
      </w:r>
      <w:r>
        <w:rPr>
          <w:rFonts w:ascii="Times New Roman" w:eastAsia="宋体" w:hAnsi="Times New Roman"/>
        </w:rPr>
        <w:t>戴路</w:t>
      </w:r>
      <w:r>
        <w:rPr>
          <w:rFonts w:ascii="Times New Roman" w:eastAsia="宋体" w:hAnsi="Times New Roman"/>
        </w:rPr>
        <w:t xml:space="preserve">, </w:t>
      </w:r>
      <w:r>
        <w:rPr>
          <w:rFonts w:ascii="Times New Roman" w:eastAsia="宋体" w:hAnsi="Times New Roman"/>
        </w:rPr>
        <w:t>等</w:t>
      </w:r>
      <w:r>
        <w:rPr>
          <w:rFonts w:ascii="Times New Roman" w:eastAsia="宋体" w:hAnsi="Times New Roman"/>
        </w:rPr>
        <w:t xml:space="preserve">. </w:t>
      </w:r>
      <w:r>
        <w:rPr>
          <w:rFonts w:ascii="Times New Roman" w:eastAsia="宋体" w:hAnsi="Times New Roman"/>
        </w:rPr>
        <w:t>蒸汽处理对上部白肋烟重要香味物质的影响研究</w:t>
      </w:r>
      <w:r>
        <w:rPr>
          <w:rFonts w:ascii="Times New Roman" w:eastAsia="宋体" w:hAnsi="Times New Roman"/>
        </w:rPr>
        <w:t xml:space="preserve">[J]. </w:t>
      </w:r>
      <w:r>
        <w:rPr>
          <w:rFonts w:ascii="Times New Roman" w:eastAsia="宋体" w:hAnsi="Times New Roman"/>
        </w:rPr>
        <w:t>中国烟草学报</w:t>
      </w:r>
      <w:r>
        <w:rPr>
          <w:rFonts w:ascii="Times New Roman" w:eastAsia="宋体" w:hAnsi="Times New Roman"/>
        </w:rPr>
        <w:t>, 2024, 30(6): 20-28.</w:t>
      </w:r>
    </w:p>
    <w:p w14:paraId="52B8BE7F" w14:textId="77777777" w:rsidR="001A4D72" w:rsidRDefault="00000000">
      <w:pPr>
        <w:pStyle w:val="1"/>
        <w:spacing w:line="360" w:lineRule="auto"/>
        <w:ind w:left="480" w:firstLine="0"/>
        <w:jc w:val="left"/>
        <w:rPr>
          <w:rFonts w:ascii="Times New Roman" w:eastAsia="宋体" w:hAnsi="Times New Roman"/>
        </w:rPr>
      </w:pPr>
      <w:r>
        <w:rPr>
          <w:rFonts w:ascii="Times New Roman" w:eastAsia="宋体" w:hAnsi="Times New Roman"/>
        </w:rPr>
        <w:t>WU Jian, ZHAO Lucan, DAI Lu, et al. Effect of steaming treatment on important aroma components of upper Burley tobacco[J]. Acta Tabacaria Sinica, 2024, 30(6): 20-28.</w:t>
      </w:r>
    </w:p>
    <w:p w14:paraId="52B8BE80"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[6]</w:t>
      </w:r>
      <w:r>
        <w:rPr>
          <w:rFonts w:ascii="Times New Roman" w:eastAsia="宋体" w:hAnsi="Times New Roman"/>
        </w:rPr>
        <w:tab/>
      </w:r>
      <w:r>
        <w:rPr>
          <w:rFonts w:ascii="Times New Roman" w:eastAsia="宋体" w:hAnsi="Times New Roman"/>
        </w:rPr>
        <w:t>张志灵</w:t>
      </w:r>
      <w:r>
        <w:rPr>
          <w:rFonts w:ascii="Times New Roman" w:eastAsia="宋体" w:hAnsi="Times New Roman"/>
        </w:rPr>
        <w:t xml:space="preserve">, </w:t>
      </w:r>
      <w:r>
        <w:rPr>
          <w:rFonts w:ascii="Times New Roman" w:eastAsia="宋体" w:hAnsi="Times New Roman"/>
        </w:rPr>
        <w:t>林隆</w:t>
      </w:r>
      <w:r>
        <w:rPr>
          <w:rFonts w:ascii="Times New Roman" w:eastAsia="宋体" w:hAnsi="Times New Roman"/>
        </w:rPr>
        <w:t xml:space="preserve">, </w:t>
      </w:r>
      <w:r>
        <w:rPr>
          <w:rFonts w:ascii="Times New Roman" w:eastAsia="宋体" w:hAnsi="Times New Roman"/>
        </w:rPr>
        <w:t>张炳辉</w:t>
      </w:r>
      <w:r>
        <w:rPr>
          <w:rFonts w:ascii="Times New Roman" w:eastAsia="宋体" w:hAnsi="Times New Roman"/>
        </w:rPr>
        <w:t xml:space="preserve">, </w:t>
      </w:r>
      <w:r>
        <w:rPr>
          <w:rFonts w:ascii="Times New Roman" w:eastAsia="宋体" w:hAnsi="Times New Roman"/>
        </w:rPr>
        <w:t>等</w:t>
      </w:r>
      <w:r>
        <w:rPr>
          <w:rFonts w:ascii="Times New Roman" w:eastAsia="宋体" w:hAnsi="Times New Roman"/>
        </w:rPr>
        <w:t xml:space="preserve">. </w:t>
      </w:r>
      <w:r>
        <w:rPr>
          <w:rFonts w:ascii="Times New Roman" w:eastAsia="宋体" w:hAnsi="Times New Roman"/>
        </w:rPr>
        <w:t>不同部位烤烟主要化学成分特征及其与感官评吸质量的关系</w:t>
      </w:r>
      <w:r>
        <w:rPr>
          <w:rFonts w:ascii="Times New Roman" w:eastAsia="宋体" w:hAnsi="Times New Roman"/>
        </w:rPr>
        <w:t xml:space="preserve">[J]. </w:t>
      </w:r>
      <w:r>
        <w:rPr>
          <w:rFonts w:ascii="Times New Roman" w:eastAsia="宋体" w:hAnsi="Times New Roman"/>
        </w:rPr>
        <w:t>江西农业学报</w:t>
      </w:r>
      <w:r>
        <w:rPr>
          <w:rFonts w:ascii="Times New Roman" w:eastAsia="宋体" w:hAnsi="Times New Roman"/>
        </w:rPr>
        <w:t>, 2022, 34(6): 28-33.</w:t>
      </w:r>
    </w:p>
    <w:p w14:paraId="52B8BE81" w14:textId="77777777" w:rsidR="001A4D72" w:rsidRDefault="00000000">
      <w:pPr>
        <w:pStyle w:val="1"/>
        <w:spacing w:line="360" w:lineRule="auto"/>
        <w:ind w:left="480" w:firstLine="0"/>
        <w:jc w:val="left"/>
        <w:rPr>
          <w:rFonts w:ascii="Times New Roman" w:eastAsia="宋体" w:hAnsi="Times New Roman"/>
        </w:rPr>
      </w:pPr>
      <w:r>
        <w:rPr>
          <w:rFonts w:ascii="Times New Roman" w:eastAsia="宋体" w:hAnsi="Times New Roman"/>
        </w:rPr>
        <w:t>ZHANG Zhiling, LIN Long, ZHANG Binghui, et al. Characteristics of main chemical components in different stalk positions of flue-cured tobacco and their relationship with sensory evaluation quality[J]. Acta Agriculturae Jiangxi, 2022, 34(6): 28-33.</w:t>
      </w:r>
    </w:p>
    <w:p w14:paraId="52B8BE82"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lastRenderedPageBreak/>
        <w:t>[7]</w:t>
      </w:r>
      <w:r>
        <w:rPr>
          <w:rFonts w:ascii="Times New Roman" w:eastAsia="宋体" w:hAnsi="Times New Roman"/>
        </w:rPr>
        <w:tab/>
      </w:r>
      <w:r>
        <w:rPr>
          <w:rFonts w:ascii="Times New Roman" w:eastAsia="宋体" w:hAnsi="Times New Roman"/>
        </w:rPr>
        <w:t>张书铭</w:t>
      </w:r>
      <w:r>
        <w:rPr>
          <w:rFonts w:ascii="Times New Roman" w:eastAsia="宋体" w:hAnsi="Times New Roman"/>
        </w:rPr>
        <w:t xml:space="preserve">, </w:t>
      </w:r>
      <w:r>
        <w:rPr>
          <w:rFonts w:ascii="Times New Roman" w:eastAsia="宋体" w:hAnsi="Times New Roman"/>
        </w:rPr>
        <w:t>窦玉青</w:t>
      </w:r>
      <w:r>
        <w:rPr>
          <w:rFonts w:ascii="Times New Roman" w:eastAsia="宋体" w:hAnsi="Times New Roman"/>
        </w:rPr>
        <w:t xml:space="preserve">. </w:t>
      </w:r>
      <w:r>
        <w:rPr>
          <w:rFonts w:ascii="Times New Roman" w:eastAsia="宋体" w:hAnsi="Times New Roman"/>
        </w:rPr>
        <w:t>基于加热卷烟的烟叶原料内在质量评价</w:t>
      </w:r>
      <w:r>
        <w:rPr>
          <w:rFonts w:ascii="Times New Roman" w:eastAsia="宋体" w:hAnsi="Times New Roman"/>
        </w:rPr>
        <w:t xml:space="preserve">[D]. </w:t>
      </w:r>
      <w:r>
        <w:rPr>
          <w:rFonts w:ascii="Times New Roman" w:eastAsia="宋体" w:hAnsi="Times New Roman"/>
        </w:rPr>
        <w:t>北京</w:t>
      </w:r>
      <w:r>
        <w:rPr>
          <w:rFonts w:ascii="Times New Roman" w:eastAsia="宋体" w:hAnsi="Times New Roman"/>
        </w:rPr>
        <w:t xml:space="preserve">: </w:t>
      </w:r>
      <w:r>
        <w:rPr>
          <w:rFonts w:ascii="Times New Roman" w:eastAsia="宋体" w:hAnsi="Times New Roman"/>
        </w:rPr>
        <w:t>中国农业科学院</w:t>
      </w:r>
      <w:r>
        <w:rPr>
          <w:rFonts w:ascii="Times New Roman" w:eastAsia="宋体" w:hAnsi="Times New Roman"/>
        </w:rPr>
        <w:t>, 2022.</w:t>
      </w:r>
    </w:p>
    <w:p w14:paraId="52B8BE83" w14:textId="77777777" w:rsidR="001A4D72" w:rsidRDefault="00000000">
      <w:pPr>
        <w:pStyle w:val="1"/>
        <w:spacing w:line="360" w:lineRule="auto"/>
        <w:ind w:left="480" w:firstLine="0"/>
        <w:jc w:val="left"/>
        <w:rPr>
          <w:rFonts w:ascii="Times New Roman" w:eastAsia="宋体" w:hAnsi="Times New Roman"/>
        </w:rPr>
      </w:pPr>
      <w:r>
        <w:rPr>
          <w:rFonts w:ascii="Times New Roman" w:eastAsia="宋体" w:hAnsi="Times New Roman"/>
        </w:rPr>
        <w:t>ZHANG Shuming, DOU Yuqing. Evaluation of inherent quality of tobacco raw materials based on heated cigarettes[D]. Beijing: Chinese Academy of Agricultural Sciences, 2022.</w:t>
      </w:r>
    </w:p>
    <w:p w14:paraId="52B8BE84"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[8]</w:t>
      </w:r>
      <w:r>
        <w:rPr>
          <w:rFonts w:ascii="Times New Roman" w:eastAsia="宋体" w:hAnsi="Times New Roman"/>
        </w:rPr>
        <w:tab/>
      </w:r>
      <w:r>
        <w:rPr>
          <w:rFonts w:ascii="Times New Roman" w:eastAsia="宋体" w:hAnsi="Times New Roman"/>
        </w:rPr>
        <w:t>邓其馨</w:t>
      </w:r>
      <w:r>
        <w:rPr>
          <w:rFonts w:ascii="Times New Roman" w:eastAsia="宋体" w:hAnsi="Times New Roman"/>
        </w:rPr>
        <w:t xml:space="preserve">, </w:t>
      </w:r>
      <w:r>
        <w:rPr>
          <w:rFonts w:ascii="Times New Roman" w:eastAsia="宋体" w:hAnsi="Times New Roman"/>
        </w:rPr>
        <w:t>陈辉</w:t>
      </w:r>
      <w:r>
        <w:rPr>
          <w:rFonts w:ascii="Times New Roman" w:eastAsia="宋体" w:hAnsi="Times New Roman"/>
        </w:rPr>
        <w:t xml:space="preserve">, </w:t>
      </w:r>
      <w:r>
        <w:rPr>
          <w:rFonts w:ascii="Times New Roman" w:eastAsia="宋体" w:hAnsi="Times New Roman"/>
        </w:rPr>
        <w:t>林艳</w:t>
      </w:r>
      <w:r>
        <w:rPr>
          <w:rFonts w:ascii="Times New Roman" w:eastAsia="宋体" w:hAnsi="Times New Roman"/>
        </w:rPr>
        <w:t xml:space="preserve">, </w:t>
      </w:r>
      <w:r>
        <w:rPr>
          <w:rFonts w:ascii="Times New Roman" w:eastAsia="宋体" w:hAnsi="Times New Roman"/>
        </w:rPr>
        <w:t>等</w:t>
      </w:r>
      <w:r>
        <w:rPr>
          <w:rFonts w:ascii="Times New Roman" w:eastAsia="宋体" w:hAnsi="Times New Roman"/>
        </w:rPr>
        <w:t xml:space="preserve">. </w:t>
      </w:r>
      <w:r>
        <w:rPr>
          <w:rFonts w:ascii="Times New Roman" w:eastAsia="宋体" w:hAnsi="Times New Roman"/>
        </w:rPr>
        <w:t>温度对加热卷烟酸性成分释放的影响</w:t>
      </w:r>
      <w:r>
        <w:rPr>
          <w:rFonts w:ascii="Times New Roman" w:eastAsia="宋体" w:hAnsi="Times New Roman"/>
        </w:rPr>
        <w:t xml:space="preserve">[J]. </w:t>
      </w:r>
      <w:r>
        <w:rPr>
          <w:rFonts w:ascii="Times New Roman" w:eastAsia="宋体" w:hAnsi="Times New Roman"/>
        </w:rPr>
        <w:t>烟草科技</w:t>
      </w:r>
      <w:r>
        <w:rPr>
          <w:rFonts w:ascii="Times New Roman" w:eastAsia="宋体" w:hAnsi="Times New Roman"/>
        </w:rPr>
        <w:t>, 2022, 55(8): 49-56.</w:t>
      </w:r>
    </w:p>
    <w:p w14:paraId="52B8BE85" w14:textId="77777777" w:rsidR="001A4D72" w:rsidRDefault="00000000">
      <w:pPr>
        <w:pStyle w:val="1"/>
        <w:spacing w:line="360" w:lineRule="auto"/>
        <w:ind w:left="480" w:firstLine="0"/>
        <w:jc w:val="left"/>
        <w:rPr>
          <w:rFonts w:ascii="Times New Roman" w:eastAsia="宋体" w:hAnsi="Times New Roman"/>
        </w:rPr>
      </w:pPr>
      <w:r>
        <w:rPr>
          <w:rFonts w:ascii="Times New Roman" w:eastAsia="宋体" w:hAnsi="Times New Roman"/>
        </w:rPr>
        <w:t>DENG Qixin, CHEN Hui, LIN Yan, et al. Effect of temperature on the release of acidic components from heated cigarettes[J]. Tobacco Science &amp; Technology, 2022, 55(8): 49-56.</w:t>
      </w:r>
    </w:p>
    <w:p w14:paraId="52B8BE86"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 xml:space="preserve">[9] </w:t>
      </w:r>
      <w:r>
        <w:rPr>
          <w:rFonts w:ascii="Times New Roman" w:eastAsia="宋体" w:hAnsi="Times New Roman"/>
        </w:rPr>
        <w:t>刘芳</w:t>
      </w:r>
      <w:r>
        <w:rPr>
          <w:rFonts w:ascii="Times New Roman" w:eastAsia="宋体" w:hAnsi="Times New Roman"/>
        </w:rPr>
        <w:t xml:space="preserve">, </w:t>
      </w:r>
      <w:r>
        <w:rPr>
          <w:rFonts w:ascii="Times New Roman" w:eastAsia="宋体" w:hAnsi="Times New Roman"/>
        </w:rPr>
        <w:t>杨柳</w:t>
      </w:r>
      <w:r>
        <w:rPr>
          <w:rFonts w:ascii="Times New Roman" w:eastAsia="宋体" w:hAnsi="Times New Roman"/>
        </w:rPr>
        <w:t xml:space="preserve">, </w:t>
      </w:r>
      <w:r>
        <w:rPr>
          <w:rFonts w:ascii="Times New Roman" w:eastAsia="宋体" w:hAnsi="Times New Roman"/>
        </w:rPr>
        <w:t>孙林</w:t>
      </w:r>
      <w:r>
        <w:rPr>
          <w:rFonts w:ascii="Times New Roman" w:eastAsia="宋体" w:hAnsi="Times New Roman"/>
        </w:rPr>
        <w:t xml:space="preserve">, </w:t>
      </w:r>
      <w:r>
        <w:rPr>
          <w:rFonts w:ascii="Times New Roman" w:eastAsia="宋体" w:hAnsi="Times New Roman"/>
        </w:rPr>
        <w:t>等</w:t>
      </w:r>
      <w:r>
        <w:rPr>
          <w:rFonts w:ascii="Times New Roman" w:eastAsia="宋体" w:hAnsi="Times New Roman"/>
        </w:rPr>
        <w:t>. ASE-</w:t>
      </w:r>
      <w:r>
        <w:rPr>
          <w:rFonts w:ascii="Times New Roman" w:eastAsia="宋体" w:hAnsi="Times New Roman"/>
        </w:rPr>
        <w:t>超高效液相色谱法快速测定烟草中的多酚类物质</w:t>
      </w:r>
      <w:r>
        <w:rPr>
          <w:rFonts w:ascii="Times New Roman" w:eastAsia="宋体" w:hAnsi="Times New Roman"/>
        </w:rPr>
        <w:t xml:space="preserve">[J]. </w:t>
      </w:r>
      <w:r>
        <w:rPr>
          <w:rFonts w:ascii="Times New Roman" w:eastAsia="宋体" w:hAnsi="Times New Roman"/>
        </w:rPr>
        <w:t>中国烟草学报</w:t>
      </w:r>
      <w:r>
        <w:rPr>
          <w:rFonts w:ascii="Times New Roman" w:eastAsia="宋体" w:hAnsi="Times New Roman"/>
        </w:rPr>
        <w:t>, 2008, 14(6): 1-5.</w:t>
      </w:r>
    </w:p>
    <w:p w14:paraId="52B8BE87" w14:textId="77777777" w:rsidR="001A4D72" w:rsidRDefault="00000000">
      <w:pPr>
        <w:pStyle w:val="1"/>
        <w:spacing w:line="360" w:lineRule="auto"/>
        <w:ind w:left="480" w:firstLine="0"/>
        <w:jc w:val="left"/>
        <w:rPr>
          <w:rFonts w:ascii="Times New Roman" w:eastAsia="宋体" w:hAnsi="Times New Roman"/>
        </w:rPr>
      </w:pPr>
      <w:r>
        <w:rPr>
          <w:rFonts w:ascii="Times New Roman" w:eastAsia="宋体" w:hAnsi="Times New Roman"/>
        </w:rPr>
        <w:t>LIU Fang, YANG Liu, SUN Lin, et al. Rapid determination of polyphenolic compounds in tobacco using ASE-ultra high performance liquid chromatography [J]. Chinese Tobacco Science, 2008, 14(6): 1-5.</w:t>
      </w:r>
    </w:p>
    <w:p w14:paraId="52B8BE88"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 xml:space="preserve">[10] </w:t>
      </w:r>
      <w:r>
        <w:rPr>
          <w:rFonts w:ascii="Times New Roman" w:eastAsia="宋体" w:hAnsi="Times New Roman"/>
        </w:rPr>
        <w:t>李小玉</w:t>
      </w:r>
      <w:r>
        <w:rPr>
          <w:rFonts w:ascii="Times New Roman" w:eastAsia="宋体" w:hAnsi="Times New Roman"/>
        </w:rPr>
        <w:t xml:space="preserve">, </w:t>
      </w:r>
      <w:r>
        <w:rPr>
          <w:rFonts w:ascii="Times New Roman" w:eastAsia="宋体" w:hAnsi="Times New Roman"/>
        </w:rPr>
        <w:t>肖丽凤</w:t>
      </w:r>
      <w:r>
        <w:rPr>
          <w:rFonts w:ascii="Times New Roman" w:eastAsia="宋体" w:hAnsi="Times New Roman"/>
        </w:rPr>
        <w:t xml:space="preserve">, </w:t>
      </w:r>
      <w:r>
        <w:rPr>
          <w:rFonts w:ascii="Times New Roman" w:eastAsia="宋体" w:hAnsi="Times New Roman"/>
        </w:rPr>
        <w:t>杨懋勋</w:t>
      </w:r>
      <w:r>
        <w:rPr>
          <w:rFonts w:ascii="Times New Roman" w:eastAsia="宋体" w:hAnsi="Times New Roman"/>
        </w:rPr>
        <w:t xml:space="preserve">. </w:t>
      </w:r>
      <w:r>
        <w:rPr>
          <w:rFonts w:ascii="Times New Roman" w:eastAsia="宋体" w:hAnsi="Times New Roman"/>
        </w:rPr>
        <w:t>超声萃取</w:t>
      </w:r>
      <w:r>
        <w:rPr>
          <w:rFonts w:ascii="Times New Roman" w:eastAsia="宋体" w:hAnsi="Times New Roman"/>
        </w:rPr>
        <w:t>-</w:t>
      </w:r>
      <w:r>
        <w:rPr>
          <w:rFonts w:ascii="Times New Roman" w:eastAsia="宋体" w:hAnsi="Times New Roman"/>
        </w:rPr>
        <w:t>超高效液相色谱法快速测定烤烟中的类胡萝卜素</w:t>
      </w:r>
      <w:r>
        <w:rPr>
          <w:rFonts w:ascii="Times New Roman" w:eastAsia="宋体" w:hAnsi="Times New Roman"/>
        </w:rPr>
        <w:t xml:space="preserve">[J]. </w:t>
      </w:r>
      <w:r>
        <w:rPr>
          <w:rFonts w:ascii="Times New Roman" w:eastAsia="宋体" w:hAnsi="Times New Roman"/>
        </w:rPr>
        <w:t>化工时刊</w:t>
      </w:r>
      <w:r>
        <w:rPr>
          <w:rFonts w:ascii="Times New Roman" w:eastAsia="宋体" w:hAnsi="Times New Roman"/>
        </w:rPr>
        <w:t>, 2019, 33(12): 10-13.</w:t>
      </w:r>
    </w:p>
    <w:p w14:paraId="52B8BE89" w14:textId="77777777" w:rsidR="001A4D72" w:rsidRDefault="00000000">
      <w:pPr>
        <w:pStyle w:val="1"/>
        <w:spacing w:line="360" w:lineRule="auto"/>
        <w:ind w:left="480" w:firstLine="0"/>
        <w:jc w:val="left"/>
        <w:rPr>
          <w:rFonts w:ascii="Times New Roman" w:eastAsia="宋体" w:hAnsi="Times New Roman"/>
        </w:rPr>
      </w:pPr>
      <w:r>
        <w:rPr>
          <w:rFonts w:ascii="Times New Roman" w:eastAsia="宋体" w:hAnsi="Times New Roman"/>
        </w:rPr>
        <w:t xml:space="preserve">LI Xiaoyu, XIAO Lifeng, YANG Maoxun. Rapid determination of carotenoids in flue-cured tobacco by ultrasonic extraction-ultra-high performance liquid chromatography [J]. Chemical Industry Times, 2019, 33(12): 10-13. </w:t>
      </w:r>
    </w:p>
    <w:p w14:paraId="52B8BE8A"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[11]</w:t>
      </w:r>
      <w:r>
        <w:rPr>
          <w:rFonts w:ascii="Times New Roman" w:eastAsia="宋体" w:hAnsi="Times New Roman"/>
        </w:rPr>
        <w:tab/>
      </w:r>
      <w:r>
        <w:rPr>
          <w:rFonts w:ascii="Times New Roman" w:eastAsia="宋体" w:hAnsi="Times New Roman"/>
        </w:rPr>
        <w:t>王林</w:t>
      </w:r>
      <w:r>
        <w:rPr>
          <w:rFonts w:ascii="Times New Roman" w:eastAsia="宋体" w:hAnsi="Times New Roman"/>
        </w:rPr>
        <w:t xml:space="preserve">, </w:t>
      </w:r>
      <w:r>
        <w:rPr>
          <w:rFonts w:ascii="Times New Roman" w:eastAsia="宋体" w:hAnsi="Times New Roman"/>
        </w:rPr>
        <w:t>周平</w:t>
      </w:r>
      <w:r>
        <w:rPr>
          <w:rFonts w:ascii="Times New Roman" w:eastAsia="宋体" w:hAnsi="Times New Roman"/>
        </w:rPr>
        <w:t xml:space="preserve">, </w:t>
      </w:r>
      <w:r>
        <w:rPr>
          <w:rFonts w:ascii="Times New Roman" w:eastAsia="宋体" w:hAnsi="Times New Roman"/>
        </w:rPr>
        <w:t>贺佩</w:t>
      </w:r>
      <w:r>
        <w:rPr>
          <w:rFonts w:ascii="Times New Roman" w:eastAsia="宋体" w:hAnsi="Times New Roman"/>
        </w:rPr>
        <w:t xml:space="preserve">, </w:t>
      </w:r>
      <w:r>
        <w:rPr>
          <w:rFonts w:ascii="Times New Roman" w:eastAsia="宋体" w:hAnsi="Times New Roman"/>
        </w:rPr>
        <w:t>等</w:t>
      </w:r>
      <w:r>
        <w:rPr>
          <w:rFonts w:ascii="Times New Roman" w:eastAsia="宋体" w:hAnsi="Times New Roman"/>
        </w:rPr>
        <w:t xml:space="preserve">. </w:t>
      </w:r>
      <w:r>
        <w:rPr>
          <w:rFonts w:ascii="Times New Roman" w:eastAsia="宋体" w:hAnsi="Times New Roman"/>
        </w:rPr>
        <w:t>糖类物质对烟草香气品质的影响研究进展</w:t>
      </w:r>
      <w:r>
        <w:rPr>
          <w:rFonts w:ascii="Times New Roman" w:eastAsia="宋体" w:hAnsi="Times New Roman"/>
        </w:rPr>
        <w:t xml:space="preserve">[J]. </w:t>
      </w:r>
      <w:r>
        <w:rPr>
          <w:rFonts w:ascii="Times New Roman" w:eastAsia="宋体" w:hAnsi="Times New Roman"/>
        </w:rPr>
        <w:t>中国烟草科学</w:t>
      </w:r>
      <w:r>
        <w:rPr>
          <w:rFonts w:ascii="Times New Roman" w:eastAsia="宋体" w:hAnsi="Times New Roman"/>
        </w:rPr>
        <w:t>, 2021, 42(6): 92-98.</w:t>
      </w:r>
    </w:p>
    <w:p w14:paraId="52B8BE8B" w14:textId="77777777" w:rsidR="001A4D72" w:rsidRDefault="00000000">
      <w:pPr>
        <w:pStyle w:val="1"/>
        <w:spacing w:line="360" w:lineRule="auto"/>
        <w:ind w:left="480" w:firstLine="0"/>
        <w:jc w:val="left"/>
        <w:rPr>
          <w:rFonts w:ascii="Times New Roman" w:eastAsia="宋体" w:hAnsi="Times New Roman"/>
        </w:rPr>
      </w:pPr>
      <w:r>
        <w:rPr>
          <w:rFonts w:ascii="Times New Roman" w:eastAsia="宋体" w:hAnsi="Times New Roman"/>
        </w:rPr>
        <w:t>WANG Lin, ZHOU Ping, HE Pei, et al. Research progress on the effect of saccharides on tobacco aroma quality[J]. Chinese Tobacco Science, 2021, 42(6): 92-98.</w:t>
      </w:r>
    </w:p>
    <w:p w14:paraId="52B8BE8C"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[12]</w:t>
      </w:r>
      <w:r>
        <w:rPr>
          <w:rFonts w:ascii="Times New Roman" w:eastAsia="宋体" w:hAnsi="Times New Roman"/>
        </w:rPr>
        <w:tab/>
      </w:r>
      <w:r>
        <w:rPr>
          <w:rFonts w:ascii="Times New Roman" w:eastAsia="宋体" w:hAnsi="Times New Roman"/>
        </w:rPr>
        <w:t>田霖</w:t>
      </w:r>
      <w:r>
        <w:rPr>
          <w:rFonts w:ascii="Times New Roman" w:eastAsia="宋体" w:hAnsi="Times New Roman"/>
        </w:rPr>
        <w:t xml:space="preserve">, </w:t>
      </w:r>
      <w:r>
        <w:rPr>
          <w:rFonts w:ascii="Times New Roman" w:eastAsia="宋体" w:hAnsi="Times New Roman"/>
        </w:rPr>
        <w:t>胡建杭</w:t>
      </w:r>
      <w:r>
        <w:rPr>
          <w:rFonts w:ascii="Times New Roman" w:eastAsia="宋体" w:hAnsi="Times New Roman"/>
        </w:rPr>
        <w:t xml:space="preserve">, </w:t>
      </w:r>
      <w:r>
        <w:rPr>
          <w:rFonts w:ascii="Times New Roman" w:eastAsia="宋体" w:hAnsi="Times New Roman"/>
        </w:rPr>
        <w:t>刘慧利</w:t>
      </w:r>
      <w:r>
        <w:rPr>
          <w:rFonts w:ascii="Times New Roman" w:eastAsia="宋体" w:hAnsi="Times New Roman"/>
        </w:rPr>
        <w:t xml:space="preserve">. </w:t>
      </w:r>
      <w:r>
        <w:rPr>
          <w:rFonts w:ascii="Times New Roman" w:eastAsia="宋体" w:hAnsi="Times New Roman"/>
        </w:rPr>
        <w:t>基于热重</w:t>
      </w:r>
      <w:r>
        <w:rPr>
          <w:rFonts w:ascii="Times New Roman" w:eastAsia="宋体" w:hAnsi="Times New Roman"/>
        </w:rPr>
        <w:t>-</w:t>
      </w:r>
      <w:r>
        <w:rPr>
          <w:rFonts w:ascii="Times New Roman" w:eastAsia="宋体" w:hAnsi="Times New Roman"/>
        </w:rPr>
        <w:t>红外联用技术分析油酸的热解特性及动力学分析</w:t>
      </w:r>
      <w:r>
        <w:rPr>
          <w:rFonts w:ascii="Times New Roman" w:eastAsia="宋体" w:hAnsi="Times New Roman"/>
        </w:rPr>
        <w:t xml:space="preserve">[J]. </w:t>
      </w:r>
      <w:r>
        <w:rPr>
          <w:rFonts w:ascii="Times New Roman" w:eastAsia="宋体" w:hAnsi="Times New Roman"/>
        </w:rPr>
        <w:t>化工进展</w:t>
      </w:r>
      <w:r>
        <w:rPr>
          <w:rFonts w:ascii="Times New Roman" w:eastAsia="宋体" w:hAnsi="Times New Roman"/>
        </w:rPr>
        <w:t>, 2020, 39(S2): 152-161.</w:t>
      </w:r>
    </w:p>
    <w:p w14:paraId="52B8BE8D" w14:textId="77777777" w:rsidR="001A4D72" w:rsidRDefault="00000000">
      <w:pPr>
        <w:pStyle w:val="1"/>
        <w:spacing w:line="360" w:lineRule="auto"/>
        <w:ind w:left="480" w:firstLine="0"/>
        <w:jc w:val="left"/>
        <w:rPr>
          <w:rFonts w:ascii="Times New Roman" w:eastAsia="宋体" w:hAnsi="Times New Roman"/>
        </w:rPr>
      </w:pPr>
      <w:r>
        <w:rPr>
          <w:rFonts w:ascii="Times New Roman" w:eastAsia="宋体" w:hAnsi="Times New Roman"/>
        </w:rPr>
        <w:t>TIAN Lin, HU Jianhang, LIU Huili. Pyrolysis characteristics and kinetics analysis of oleic acid based on TG-FTIR technology[J]. Chemical Industry and Engineering Progress, 2020, 39(S2): 152-161.</w:t>
      </w:r>
    </w:p>
    <w:p w14:paraId="52B8BE8E"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[13]</w:t>
      </w:r>
      <w:r>
        <w:rPr>
          <w:rFonts w:ascii="Times New Roman" w:eastAsia="宋体" w:hAnsi="Times New Roman"/>
        </w:rPr>
        <w:tab/>
        <w:t xml:space="preserve">BLANK I, DEVAUD S, MATTHEY-DORET W, et al. Formation of odorants in maillard model systems based on l-proline as affected by pH[J]. Journal of </w:t>
      </w:r>
      <w:r>
        <w:rPr>
          <w:rFonts w:ascii="Times New Roman" w:eastAsia="宋体" w:hAnsi="Times New Roman"/>
        </w:rPr>
        <w:lastRenderedPageBreak/>
        <w:t>Agricultural and Food Chemistry, 2003, 51(12): 3643-3650.</w:t>
      </w:r>
    </w:p>
    <w:p w14:paraId="52B8BE8F"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[14] MARCILLA A, BERENGUER D, BELTRAN I M, et al. Catalytic reduction of the compounds generated when heating Heet tobacco in presence of USY and Beta zeolites and Silica Lovel 6000 and SBA-15 silicate in oxidative and inert atmospheres: Effect of temperature and catalyst content[J]. ChemEngineering, 2024, 8(6): 125.</w:t>
      </w:r>
    </w:p>
    <w:p w14:paraId="52B8BE90"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[15] KAUR A, KAUR J, KAUR O. A review of the characteristic properties of selected tobacco chemicals and their associated etiological risks[J]. Reviews on Environmental Health, 2022, 38(3): 479-491.</w:t>
      </w:r>
    </w:p>
    <w:p w14:paraId="52B8BE91"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[16]</w:t>
      </w:r>
      <w:r>
        <w:rPr>
          <w:rFonts w:ascii="Times New Roman" w:eastAsia="宋体" w:hAnsi="Times New Roman"/>
        </w:rPr>
        <w:tab/>
        <w:t>ZAYED A, ADLY G M, FARAG M A. Management strategies for the anti-nutrient oxalic acid in foods: a comprehensive overview of its dietary sources, roles, metabolism, and processing[J]. Food and Bioprocess Technology, 2025, 18(5): 4280-4300.</w:t>
      </w:r>
    </w:p>
    <w:p w14:paraId="52B8BE92"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[17]</w:t>
      </w:r>
      <w:r>
        <w:rPr>
          <w:rFonts w:ascii="Times New Roman" w:eastAsia="宋体" w:hAnsi="Times New Roman"/>
        </w:rPr>
        <w:tab/>
        <w:t>THAKUR A, SHARMA V, THAKUR A. An overview of anti-nutritional factors in food[J]. International Journal of Chemical Studies, 2019, 7(1): 2472-2479.</w:t>
      </w:r>
    </w:p>
    <w:p w14:paraId="52B8BE93"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[18]</w:t>
      </w:r>
      <w:r>
        <w:rPr>
          <w:rFonts w:ascii="Times New Roman" w:eastAsia="宋体" w:hAnsi="Times New Roman"/>
        </w:rPr>
        <w:tab/>
        <w:t>TADELE Y. Important anti-nutritional substances and inherent toxicants of feeds[J]. Food Science and Quality Management, 2015, 36: 40-47.</w:t>
      </w:r>
    </w:p>
    <w:p w14:paraId="52B8BE94"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[19]</w:t>
      </w:r>
      <w:r>
        <w:rPr>
          <w:rFonts w:ascii="Times New Roman" w:eastAsia="宋体" w:hAnsi="Times New Roman"/>
        </w:rPr>
        <w:tab/>
        <w:t>BAJEC M R, PICKERING G J. Astringency: mechanisms and perception[J]. Critical Reviews in Food Science and Nutrition, 2008, 48(9): 858-875.</w:t>
      </w:r>
    </w:p>
    <w:p w14:paraId="52B8BE95"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[20]</w:t>
      </w:r>
      <w:r>
        <w:rPr>
          <w:rFonts w:ascii="Times New Roman" w:eastAsia="宋体" w:hAnsi="Times New Roman"/>
        </w:rPr>
        <w:tab/>
        <w:t>BRANNAN G D, SETSER C S, KEMP K E. INTERACTION OF ASTRINGENCY AND TASTE CHARACTERISTICS[J]. Journal of Sensory Studies, 2001, 16(2): 179-197.</w:t>
      </w:r>
    </w:p>
    <w:p w14:paraId="52B8BE96"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[21]</w:t>
      </w:r>
      <w:r>
        <w:rPr>
          <w:rFonts w:ascii="Times New Roman" w:eastAsia="宋体" w:hAnsi="Times New Roman"/>
        </w:rPr>
        <w:tab/>
        <w:t>LAAKSONEN O. Astringent food compounds and their interactions with taste properties[D]. Turku: University of Turku, 2011.</w:t>
      </w:r>
    </w:p>
    <w:p w14:paraId="52B8BE97" w14:textId="77777777" w:rsidR="001A4D72" w:rsidRDefault="00000000">
      <w:pPr>
        <w:pStyle w:val="1"/>
        <w:spacing w:line="360" w:lineRule="auto"/>
        <w:ind w:left="480" w:hanging="480"/>
        <w:jc w:val="left"/>
        <w:rPr>
          <w:rFonts w:ascii="Times New Roman" w:eastAsia="宋体" w:hAnsi="Times New Roman"/>
        </w:rPr>
      </w:pPr>
      <w:r>
        <w:rPr>
          <w:rFonts w:ascii="Times New Roman" w:eastAsia="宋体" w:hAnsi="Times New Roman"/>
        </w:rPr>
        <w:t>[22]</w:t>
      </w:r>
      <w:r>
        <w:rPr>
          <w:rFonts w:ascii="Times New Roman" w:eastAsia="宋体" w:hAnsi="Times New Roman"/>
        </w:rPr>
        <w:tab/>
      </w:r>
      <w:r>
        <w:rPr>
          <w:rFonts w:ascii="Times New Roman" w:eastAsia="宋体" w:hAnsi="Times New Roman"/>
        </w:rPr>
        <w:t>王鹏</w:t>
      </w:r>
      <w:r>
        <w:rPr>
          <w:rFonts w:ascii="Times New Roman" w:eastAsia="宋体" w:hAnsi="Times New Roman"/>
        </w:rPr>
        <w:t xml:space="preserve">, </w:t>
      </w:r>
      <w:r>
        <w:rPr>
          <w:rFonts w:ascii="Times New Roman" w:eastAsia="宋体" w:hAnsi="Times New Roman"/>
        </w:rPr>
        <w:t>李玉宝</w:t>
      </w:r>
      <w:r>
        <w:rPr>
          <w:rFonts w:ascii="Times New Roman" w:eastAsia="宋体" w:hAnsi="Times New Roman"/>
        </w:rPr>
        <w:t xml:space="preserve">, </w:t>
      </w:r>
      <w:r>
        <w:rPr>
          <w:rFonts w:ascii="Times New Roman" w:eastAsia="宋体" w:hAnsi="Times New Roman"/>
        </w:rPr>
        <w:t>龙飞</w:t>
      </w:r>
      <w:r>
        <w:rPr>
          <w:rFonts w:ascii="Times New Roman" w:eastAsia="宋体" w:hAnsi="Times New Roman"/>
        </w:rPr>
        <w:t xml:space="preserve">, </w:t>
      </w:r>
      <w:r>
        <w:rPr>
          <w:rFonts w:ascii="Times New Roman" w:eastAsia="宋体" w:hAnsi="Times New Roman"/>
        </w:rPr>
        <w:t>等</w:t>
      </w:r>
      <w:r>
        <w:rPr>
          <w:rFonts w:ascii="Times New Roman" w:eastAsia="宋体" w:hAnsi="Times New Roman"/>
        </w:rPr>
        <w:t xml:space="preserve">. </w:t>
      </w:r>
      <w:r>
        <w:rPr>
          <w:rFonts w:ascii="Times New Roman" w:eastAsia="宋体" w:hAnsi="Times New Roman"/>
        </w:rPr>
        <w:t>凉山烟区烤烟品种间理化特征的差异及其与感官质量的关系</w:t>
      </w:r>
      <w:r>
        <w:rPr>
          <w:rFonts w:ascii="Times New Roman" w:eastAsia="宋体" w:hAnsi="Times New Roman"/>
        </w:rPr>
        <w:t xml:space="preserve">[J]. </w:t>
      </w:r>
      <w:r>
        <w:rPr>
          <w:rFonts w:ascii="Times New Roman" w:eastAsia="宋体" w:hAnsi="Times New Roman"/>
        </w:rPr>
        <w:t>西南大学学报</w:t>
      </w:r>
      <w:r>
        <w:rPr>
          <w:rFonts w:ascii="Times New Roman" w:eastAsia="宋体" w:hAnsi="Times New Roman"/>
        </w:rPr>
        <w:t>(</w:t>
      </w:r>
      <w:r>
        <w:rPr>
          <w:rFonts w:ascii="Times New Roman" w:eastAsia="宋体" w:hAnsi="Times New Roman"/>
        </w:rPr>
        <w:t>自然科学版</w:t>
      </w:r>
      <w:r>
        <w:rPr>
          <w:rFonts w:ascii="Times New Roman" w:eastAsia="宋体" w:hAnsi="Times New Roman"/>
        </w:rPr>
        <w:t>), 2022, 44(11): 62-69.</w:t>
      </w:r>
    </w:p>
    <w:p w14:paraId="52B8BE98" w14:textId="77777777" w:rsidR="001A4D72" w:rsidRDefault="00000000">
      <w:pPr>
        <w:pStyle w:val="1"/>
        <w:spacing w:line="360" w:lineRule="auto"/>
        <w:ind w:left="480" w:firstLine="0"/>
        <w:jc w:val="left"/>
        <w:rPr>
          <w:rFonts w:ascii="Times New Roman" w:eastAsia="宋体" w:hAnsi="Times New Roman"/>
        </w:rPr>
      </w:pPr>
      <w:r>
        <w:rPr>
          <w:rFonts w:ascii="Times New Roman" w:eastAsia="宋体" w:hAnsi="Times New Roman"/>
        </w:rPr>
        <w:t>WANG Peng, LI Yubao, LONG Fei, et al. Differences in physical and chemical characteristics among flue-cured tobacco varieties in Liangshan tobacco area and their relationship with sensory quality[J]. Journal of Southwest University (Natural Science Edition), 2022, 44(11): 62-69.</w:t>
      </w:r>
    </w:p>
    <w:p w14:paraId="52B8BE99" w14:textId="77777777" w:rsidR="001A4D72" w:rsidRDefault="00000000">
      <w:pPr>
        <w:pStyle w:val="1"/>
        <w:spacing w:line="360" w:lineRule="auto"/>
        <w:ind w:left="480" w:hanging="480"/>
        <w:jc w:val="left"/>
        <w:rPr>
          <w:rFonts w:ascii="Times New Roman" w:eastAsia="宋体" w:hAnsi="Times New Roman"/>
        </w:rPr>
      </w:pPr>
      <w:bookmarkStart w:id="32" w:name="_Hlk216396198"/>
      <w:r>
        <w:rPr>
          <w:rFonts w:ascii="Times New Roman" w:eastAsia="宋体" w:hAnsi="Times New Roman"/>
        </w:rPr>
        <w:t>[23]</w:t>
      </w:r>
      <w:r>
        <w:rPr>
          <w:rFonts w:ascii="Times New Roman" w:eastAsia="宋体" w:hAnsi="Times New Roman"/>
        </w:rPr>
        <w:tab/>
        <w:t xml:space="preserve">LIU Lulu, GUO Wenlong, HU Xi, et al. The relationship between the color change of cigar tobacco leaf and the main nitrogen compounds and smoking quality during fermentation[J]. Journal of Southern Agriculture, 2022, 53(2): </w:t>
      </w:r>
      <w:r>
        <w:rPr>
          <w:rFonts w:ascii="Times New Roman" w:eastAsia="宋体" w:hAnsi="Times New Roman"/>
        </w:rPr>
        <w:lastRenderedPageBreak/>
        <w:t>497-504.</w:t>
      </w:r>
      <w:bookmarkEnd w:id="32"/>
    </w:p>
    <w:p w14:paraId="52B8BE9A" w14:textId="77777777" w:rsidR="001A4D72" w:rsidRDefault="001A4D72">
      <w:pPr>
        <w:spacing w:line="360" w:lineRule="auto"/>
        <w:ind w:left="420" w:hanging="420"/>
        <w:jc w:val="left"/>
        <w:rPr>
          <w:rFonts w:ascii="Times New Roman" w:eastAsia="宋体" w:hAnsi="Times New Roman" w:cs="Times New Roman"/>
          <w:sz w:val="21"/>
          <w:szCs w:val="21"/>
        </w:rPr>
      </w:pPr>
    </w:p>
    <w:sectPr w:rsidR="001A4D72">
      <w:pgSz w:w="11906" w:h="16838"/>
      <w:pgMar w:top="1440" w:right="1797" w:bottom="1440" w:left="1797" w:header="0" w:footer="0" w:gutter="0"/>
      <w:cols w:space="720"/>
      <w:formProt w:val="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h" w:date="2025-12-16T11:27:00Z" w:initials="">
    <w:p w14:paraId="52B8BEAD" w14:textId="77777777" w:rsidR="001A4D72" w:rsidRDefault="00FC5D28">
      <w:pPr>
        <w:overflowPunct w:val="0"/>
        <w:jc w:val="left"/>
      </w:pPr>
      <w:r>
        <w:rPr>
          <w:rStyle w:val="a4"/>
        </w:rPr>
        <w:annotationRef/>
      </w:r>
      <w:r w:rsidR="00000000">
        <w:rPr>
          <w:rFonts w:ascii="Liberation Serif" w:eastAsia="Segoe UI" w:hAnsi="Liberation Serif" w:cs="Tahoma"/>
          <w:kern w:val="0"/>
          <w:szCs w:val="24"/>
          <w:lang w:bidi="en-US"/>
        </w:rPr>
        <w:t>基础研究作为文章题目似乎不太合适</w:t>
      </w:r>
    </w:p>
  </w:comment>
  <w:comment w:id="0" w:author="LX" w:date="2025-12-21T13:48:00Z" w:initials="">
    <w:p w14:paraId="52B8BEAE" w14:textId="77777777" w:rsidR="001A4D72" w:rsidRDefault="00FC5D28">
      <w:pPr>
        <w:jc w:val="left"/>
      </w:pPr>
      <w:r>
        <w:rPr>
          <w:rStyle w:val="a4"/>
        </w:rPr>
        <w:annotationRef/>
      </w:r>
      <w:r w:rsidR="00000000">
        <w:rPr>
          <w:rFonts w:ascii="Liberation Serif" w:eastAsia="Segoe UI" w:hAnsi="Liberation Serif" w:cs="Tahoma"/>
          <w:kern w:val="0"/>
          <w:szCs w:val="24"/>
          <w:lang w:bidi="en-US"/>
        </w:rPr>
        <w:t>题目还是被质疑了，但是我感觉我的设计思路还像也不被认同，我应该修改一下我的设计思路，之后再改我的题目</w:t>
      </w:r>
    </w:p>
  </w:comment>
  <w:comment w:id="2" w:author="hh" w:date="2025-12-18T08:47:00Z" w:initials="">
    <w:p w14:paraId="52B8BEAF" w14:textId="77777777" w:rsidR="001A4D72" w:rsidRDefault="00FC5D28">
      <w:pPr>
        <w:overflowPunct w:val="0"/>
        <w:jc w:val="left"/>
      </w:pPr>
      <w:r>
        <w:rPr>
          <w:rStyle w:val="a4"/>
        </w:rPr>
        <w:annotationRef/>
      </w:r>
      <w:r w:rsidR="00000000">
        <w:rPr>
          <w:rFonts w:ascii="Liberation Serif" w:eastAsia="Segoe UI" w:hAnsi="Liberation Serif" w:cs="Tahoma"/>
          <w:kern w:val="0"/>
          <w:szCs w:val="24"/>
          <w:lang w:bidi="en-US"/>
        </w:rPr>
        <w:t>文章里看不出有机器学习的内容</w:t>
      </w:r>
    </w:p>
  </w:comment>
  <w:comment w:id="3" w:author="未知作者" w:date="2025-12-21T13:13:00Z" w:initials="">
    <w:p w14:paraId="52B8BEB0" w14:textId="77777777" w:rsidR="001A4D72" w:rsidRDefault="00FC5D28">
      <w:pPr>
        <w:overflowPunct w:val="0"/>
        <w:jc w:val="left"/>
      </w:pPr>
      <w:r>
        <w:rPr>
          <w:rStyle w:val="a4"/>
        </w:rPr>
        <w:annotationRef/>
      </w:r>
      <w:r w:rsidR="00000000">
        <w:rPr>
          <w:rFonts w:ascii="Liberation Serif" w:eastAsia="Segoe UI" w:hAnsi="Liberation Serif" w:cs="Tahoma"/>
          <w:kern w:val="0"/>
          <w:szCs w:val="24"/>
          <w:lang w:eastAsia="en-US" w:bidi="en-US"/>
        </w:rPr>
        <w:t>回答</w:t>
      </w:r>
      <w:r w:rsidR="00000000">
        <w:rPr>
          <w:rFonts w:ascii="Liberation Serif" w:eastAsia="Segoe UI" w:hAnsi="Liberation Serif" w:cs="Tahoma"/>
          <w:kern w:val="0"/>
          <w:szCs w:val="24"/>
          <w:lang w:eastAsia="en-US" w:bidi="en-US"/>
        </w:rPr>
        <w:t xml:space="preserve"> hh (2025/12/18, 08:47): "..."</w:t>
      </w:r>
    </w:p>
    <w:p w14:paraId="52B8BEB1" w14:textId="77777777" w:rsidR="001A4D72" w:rsidRDefault="00000000">
      <w:pPr>
        <w:overflowPunct w:val="0"/>
        <w:spacing w:before="741" w:after="616"/>
        <w:jc w:val="left"/>
      </w:pPr>
      <w:r>
        <w:rPr>
          <w:rFonts w:ascii="Liberation Serif" w:eastAsia="Segoe UI" w:hAnsi="Liberation Serif" w:cs="Tahoma"/>
          <w:kern w:val="0"/>
          <w:sz w:val="20"/>
          <w:szCs w:val="20"/>
          <w:lang w:eastAsia="en-US" w:bidi="en-US"/>
        </w:rPr>
        <w:t>这里，确实不该叫作机器学习，应该叫化学计量学方法</w:t>
      </w:r>
    </w:p>
  </w:comment>
  <w:comment w:id="5" w:author="hh" w:date="2025-12-16T11:28:00Z" w:initials="">
    <w:p w14:paraId="52B8BEB2" w14:textId="77777777" w:rsidR="001A4D72" w:rsidRDefault="00FC5D28">
      <w:pPr>
        <w:overflowPunct w:val="0"/>
        <w:jc w:val="left"/>
      </w:pPr>
      <w:r>
        <w:rPr>
          <w:rStyle w:val="a4"/>
        </w:rPr>
        <w:annotationRef/>
      </w:r>
      <w:r w:rsidR="00000000">
        <w:rPr>
          <w:rFonts w:ascii="Liberation Serif" w:eastAsia="Segoe UI" w:hAnsi="Liberation Serif" w:cs="Tahoma"/>
          <w:kern w:val="0"/>
          <w:szCs w:val="24"/>
          <w:lang w:bidi="en-US"/>
        </w:rPr>
        <w:t>这里要明确酸感的准确定义或范围，酸感不是卷烟或加热烟等烟草制品感官评价的标准术语，在香气评价中有酸香、口感有酸味，这里也直接影响后面感官评价的指标确定</w:t>
      </w:r>
    </w:p>
  </w:comment>
  <w:comment w:id="6" w:author="未知作者" w:date="2025-12-21T13:24:00Z" w:initials="">
    <w:p w14:paraId="52B8BEB3" w14:textId="77777777" w:rsidR="001A4D72" w:rsidRDefault="00FC5D28">
      <w:pPr>
        <w:overflowPunct w:val="0"/>
        <w:jc w:val="left"/>
      </w:pPr>
      <w:r>
        <w:rPr>
          <w:rStyle w:val="a4"/>
        </w:rPr>
        <w:annotationRef/>
      </w:r>
      <w:r w:rsidR="00000000">
        <w:rPr>
          <w:rFonts w:ascii="Liberation Serif" w:eastAsia="Segoe UI" w:hAnsi="Liberation Serif" w:cs="Tahoma"/>
          <w:kern w:val="0"/>
          <w:szCs w:val="24"/>
          <w:lang w:eastAsia="en-US" w:bidi="en-US"/>
        </w:rPr>
        <w:t>回答</w:t>
      </w:r>
      <w:r w:rsidR="00000000">
        <w:rPr>
          <w:rFonts w:ascii="Liberation Serif" w:eastAsia="Segoe UI" w:hAnsi="Liberation Serif" w:cs="Tahoma"/>
          <w:kern w:val="0"/>
          <w:szCs w:val="24"/>
          <w:lang w:eastAsia="en-US" w:bidi="en-US"/>
        </w:rPr>
        <w:t xml:space="preserve"> hh (2025/12/16, 11:28): "..."</w:t>
      </w:r>
    </w:p>
    <w:p w14:paraId="52B8BEB4" w14:textId="77777777" w:rsidR="001A4D72" w:rsidRDefault="00000000">
      <w:pPr>
        <w:jc w:val="left"/>
      </w:pPr>
      <w:r>
        <w:rPr>
          <w:rFonts w:ascii="Liberation Serif" w:eastAsia="Segoe UI" w:hAnsi="Liberation Serif" w:cs="Tahoma"/>
          <w:kern w:val="0"/>
          <w:szCs w:val="24"/>
          <w:lang w:eastAsia="en-US" w:bidi="en-US"/>
        </w:rPr>
        <w:t>酸感定义暂时还找不到很明确的，</w:t>
      </w:r>
      <w:r>
        <w:rPr>
          <w:rFonts w:ascii="Liberation Serif" w:eastAsia="宋体" w:hAnsi="Liberation Serif" w:cs="Tahoma"/>
          <w:kern w:val="0"/>
          <w:szCs w:val="24"/>
          <w:lang w:bidi="en-US"/>
        </w:rPr>
        <w:t>这个需要讨论一下</w:t>
      </w:r>
    </w:p>
  </w:comment>
  <w:comment w:id="10" w:author="hh" w:date="2025-12-16T11:43:00Z" w:initials="">
    <w:p w14:paraId="52B8BEB5" w14:textId="77777777" w:rsidR="001A4D72" w:rsidRDefault="00FC5D28">
      <w:pPr>
        <w:overflowPunct w:val="0"/>
        <w:jc w:val="left"/>
      </w:pPr>
      <w:r>
        <w:rPr>
          <w:rStyle w:val="a4"/>
        </w:rPr>
        <w:annotationRef/>
      </w:r>
      <w:r w:rsidR="00000000">
        <w:rPr>
          <w:rFonts w:ascii="Liberation Serif" w:eastAsia="Segoe UI" w:hAnsi="Liberation Serif" w:cs="Tahoma"/>
          <w:kern w:val="0"/>
          <w:szCs w:val="24"/>
          <w:lang w:bidi="en-US"/>
        </w:rPr>
        <w:t>加热卷烟样品如何制备？</w:t>
      </w:r>
    </w:p>
  </w:comment>
  <w:comment w:id="9" w:author="LX" w:date="2025-12-21T13:48:00Z" w:initials="">
    <w:p w14:paraId="52B8BEB6" w14:textId="77777777" w:rsidR="001A4D72" w:rsidRDefault="00FC5D28">
      <w:pPr>
        <w:jc w:val="left"/>
      </w:pPr>
      <w:r>
        <w:rPr>
          <w:rStyle w:val="a4"/>
        </w:rPr>
        <w:annotationRef/>
      </w:r>
      <w:r w:rsidR="00000000">
        <w:rPr>
          <w:rFonts w:ascii="Liberation Serif" w:eastAsia="Segoe UI" w:hAnsi="Liberation Serif" w:cs="Tahoma"/>
          <w:kern w:val="0"/>
          <w:szCs w:val="24"/>
          <w:lang w:bidi="en-US"/>
        </w:rPr>
        <w:t>这里我去找文章直接引用吧，我的问题</w:t>
      </w:r>
    </w:p>
  </w:comment>
  <w:comment w:id="13" w:author="hh" w:date="2025-12-16T11:34:00Z" w:initials="">
    <w:p w14:paraId="52B8BEB7" w14:textId="77777777" w:rsidR="001A4D72" w:rsidRDefault="00FC5D28">
      <w:pPr>
        <w:overflowPunct w:val="0"/>
        <w:jc w:val="left"/>
      </w:pPr>
      <w:r>
        <w:rPr>
          <w:rStyle w:val="a4"/>
        </w:rPr>
        <w:annotationRef/>
      </w:r>
      <w:r w:rsidR="00000000">
        <w:rPr>
          <w:rFonts w:ascii="Liberation Serif" w:eastAsia="Segoe UI" w:hAnsi="Liberation Serif" w:cs="Tahoma"/>
          <w:kern w:val="0"/>
          <w:szCs w:val="24"/>
          <w:lang w:bidi="en-US"/>
        </w:rPr>
        <w:t>为什么不做挥发性有机酸或半挥发性有机酸</w:t>
      </w:r>
    </w:p>
  </w:comment>
  <w:comment w:id="12" w:author="LX" w:date="2025-12-21T13:51:00Z" w:initials="">
    <w:p w14:paraId="52B8BEB8" w14:textId="77777777" w:rsidR="001A4D72" w:rsidRDefault="00FC5D28">
      <w:pPr>
        <w:jc w:val="left"/>
      </w:pPr>
      <w:r>
        <w:rPr>
          <w:rStyle w:val="a4"/>
        </w:rPr>
        <w:annotationRef/>
      </w:r>
      <w:r w:rsidR="00000000">
        <w:rPr>
          <w:rFonts w:ascii="Liberation Serif" w:eastAsia="Segoe UI" w:hAnsi="Liberation Serif" w:cs="Tahoma"/>
          <w:kern w:val="0"/>
          <w:szCs w:val="24"/>
          <w:lang w:bidi="en-US"/>
        </w:rPr>
        <w:t>？这个问题我觉得很奇怪，是在质疑我的数据全面性是吗？我觉得再投稿这部分不用理会吧，我么的试验设计就是不包括其他有机酸的吧</w:t>
      </w:r>
    </w:p>
  </w:comment>
  <w:comment w:id="15" w:author="hh" w:date="2025-12-16T11:44:00Z" w:initials="">
    <w:p w14:paraId="52B8BEB9" w14:textId="77777777" w:rsidR="001A4D72" w:rsidRDefault="00FC5D28">
      <w:pPr>
        <w:overflowPunct w:val="0"/>
        <w:jc w:val="left"/>
      </w:pPr>
      <w:r>
        <w:rPr>
          <w:rStyle w:val="a4"/>
        </w:rPr>
        <w:annotationRef/>
      </w:r>
      <w:r w:rsidR="00000000">
        <w:rPr>
          <w:rFonts w:ascii="Liberation Serif" w:eastAsia="Segoe UI" w:hAnsi="Liberation Serif" w:cs="Tahoma"/>
          <w:kern w:val="0"/>
          <w:szCs w:val="24"/>
          <w:lang w:bidi="en-US"/>
        </w:rPr>
        <w:t>行业标准？标准号？还实验室自己的方法？参考文献？</w:t>
      </w:r>
    </w:p>
  </w:comment>
  <w:comment w:id="14" w:author="LX" w:date="2025-12-21T13:53:00Z" w:initials="">
    <w:p w14:paraId="52B8BEBA" w14:textId="77777777" w:rsidR="001A4D72" w:rsidRDefault="00FC5D28">
      <w:pPr>
        <w:jc w:val="left"/>
      </w:pPr>
      <w:r>
        <w:rPr>
          <w:rStyle w:val="a4"/>
        </w:rPr>
        <w:annotationRef/>
      </w:r>
      <w:r w:rsidR="00000000">
        <w:rPr>
          <w:rFonts w:ascii="Liberation Serif" w:eastAsia="Segoe UI" w:hAnsi="Liberation Serif" w:cs="Tahoma"/>
          <w:kern w:val="0"/>
          <w:szCs w:val="24"/>
          <w:lang w:bidi="en-US"/>
        </w:rPr>
        <w:t>看来还是需要全都引用其他文献，这样才能不被质疑，暂时还是没找到合适的</w:t>
      </w:r>
    </w:p>
  </w:comment>
  <w:comment w:id="16" w:author="hh" w:date="2025-12-16T11:47:00Z" w:initials="">
    <w:p w14:paraId="52B8BEBB" w14:textId="77777777" w:rsidR="001A4D72" w:rsidRDefault="00FC5D28">
      <w:pPr>
        <w:overflowPunct w:val="0"/>
        <w:jc w:val="left"/>
      </w:pPr>
      <w:r>
        <w:rPr>
          <w:rStyle w:val="a4"/>
        </w:rPr>
        <w:annotationRef/>
      </w:r>
      <w:r w:rsidR="00000000">
        <w:rPr>
          <w:rFonts w:ascii="Liberation Serif" w:eastAsia="Segoe UI" w:hAnsi="Liberation Serif" w:cs="Tahoma"/>
          <w:kern w:val="0"/>
          <w:szCs w:val="24"/>
          <w:lang w:bidi="en-US"/>
        </w:rPr>
        <w:t>具体的检测方法？文献？</w:t>
      </w:r>
    </w:p>
    <w:p w14:paraId="52B8BEBC" w14:textId="77777777" w:rsidR="001A4D72" w:rsidRDefault="001A4D72">
      <w:pPr>
        <w:overflowPunct w:val="0"/>
        <w:jc w:val="left"/>
      </w:pPr>
    </w:p>
  </w:comment>
  <w:comment w:id="17" w:author="hh" w:date="2025-12-16T11:48:00Z" w:initials="">
    <w:p w14:paraId="52B8BEBD" w14:textId="77777777" w:rsidR="001A4D72" w:rsidRDefault="00FC5D28">
      <w:pPr>
        <w:overflowPunct w:val="0"/>
        <w:jc w:val="left"/>
      </w:pPr>
      <w:r>
        <w:rPr>
          <w:rStyle w:val="a4"/>
        </w:rPr>
        <w:annotationRef/>
      </w:r>
      <w:r w:rsidR="00000000">
        <w:rPr>
          <w:rFonts w:ascii="Liberation Serif" w:eastAsia="Segoe UI" w:hAnsi="Liberation Serif" w:cs="Tahoma"/>
          <w:kern w:val="0"/>
          <w:szCs w:val="24"/>
          <w:lang w:bidi="en-US"/>
        </w:rPr>
        <w:t>具体的检测方法？文献？</w:t>
      </w:r>
    </w:p>
  </w:comment>
  <w:comment w:id="20" w:author="hh" w:date="2025-12-16T11:39:00Z" w:initials="">
    <w:p w14:paraId="52B8BEBE" w14:textId="77777777" w:rsidR="001A4D72" w:rsidRDefault="00FC5D28">
      <w:pPr>
        <w:overflowPunct w:val="0"/>
        <w:jc w:val="left"/>
      </w:pPr>
      <w:r>
        <w:rPr>
          <w:rStyle w:val="a4"/>
        </w:rPr>
        <w:annotationRef/>
      </w:r>
      <w:r w:rsidR="00000000">
        <w:rPr>
          <w:rFonts w:ascii="Liberation Serif" w:eastAsia="Segoe UI" w:hAnsi="Liberation Serif" w:cs="Tahoma"/>
          <w:kern w:val="0"/>
          <w:szCs w:val="24"/>
          <w:lang w:bidi="en-US"/>
        </w:rPr>
        <w:t>酸感只有两个数值分级？</w:t>
      </w:r>
    </w:p>
  </w:comment>
  <w:comment w:id="19" w:author="LX" w:date="2025-12-21T13:54:00Z" w:initials="">
    <w:p w14:paraId="52B8BEBF" w14:textId="77777777" w:rsidR="001A4D72" w:rsidRDefault="00FC5D28">
      <w:pPr>
        <w:jc w:val="left"/>
      </w:pPr>
      <w:r>
        <w:rPr>
          <w:rStyle w:val="a4"/>
        </w:rPr>
        <w:annotationRef/>
      </w:r>
      <w:r w:rsidR="00000000">
        <w:rPr>
          <w:rFonts w:ascii="Liberation Serif" w:eastAsia="Segoe UI" w:hAnsi="Liberation Serif" w:cs="Tahoma"/>
          <w:kern w:val="0"/>
          <w:szCs w:val="24"/>
          <w:lang w:bidi="en-US"/>
        </w:rPr>
        <w:t>这里并没有酸感的打分情况，包括前面酸感的定义问题，这个该怎么想个办法说明一下合理性。</w:t>
      </w:r>
    </w:p>
  </w:comment>
  <w:comment w:id="23" w:author="hh" w:date="2025-12-16T11:52:00Z" w:initials="">
    <w:p w14:paraId="52B8BEC0" w14:textId="77777777" w:rsidR="001A4D72" w:rsidRDefault="00FC5D28">
      <w:pPr>
        <w:overflowPunct w:val="0"/>
        <w:jc w:val="left"/>
      </w:pPr>
      <w:r>
        <w:rPr>
          <w:rStyle w:val="a4"/>
        </w:rPr>
        <w:annotationRef/>
      </w:r>
      <w:r w:rsidR="00000000">
        <w:rPr>
          <w:rFonts w:ascii="Liberation Serif" w:eastAsia="Segoe UI" w:hAnsi="Liberation Serif" w:cs="Tahoma"/>
          <w:kern w:val="0"/>
          <w:szCs w:val="24"/>
          <w:lang w:bidi="en-US"/>
        </w:rPr>
        <w:t>这里应对几个图进行相对详细的分析与解释，而不是简单的说一下结论。</w:t>
      </w:r>
    </w:p>
    <w:p w14:paraId="52B8BEC1" w14:textId="77777777" w:rsidR="001A4D72" w:rsidRDefault="00000000">
      <w:pPr>
        <w:overflowPunct w:val="0"/>
        <w:jc w:val="left"/>
      </w:pPr>
      <w:r>
        <w:rPr>
          <w:rFonts w:ascii="Liberation Serif" w:eastAsia="Segoe UI" w:hAnsi="Liberation Serif" w:cs="Tahoma"/>
          <w:kern w:val="0"/>
          <w:szCs w:val="24"/>
          <w:lang w:bidi="en-US"/>
        </w:rPr>
        <w:t>仅仅简单的通过有无酸感进行分组聚类是否合适？正常来说酸感应该是按强弱区分，而不是有无。</w:t>
      </w:r>
    </w:p>
    <w:p w14:paraId="52B8BEC2" w14:textId="77777777" w:rsidR="001A4D72" w:rsidRDefault="00000000">
      <w:pPr>
        <w:overflowPunct w:val="0"/>
        <w:jc w:val="left"/>
      </w:pPr>
      <w:r>
        <w:rPr>
          <w:rFonts w:ascii="Liberation Serif" w:eastAsia="Segoe UI" w:hAnsi="Liberation Serif" w:cs="Tahoma"/>
          <w:kern w:val="0"/>
          <w:szCs w:val="24"/>
          <w:lang w:bidi="en-US"/>
        </w:rPr>
        <w:t>这里面的数据是把烟气分析数据和烟粉分析数据合并分析吗？这样是否科学合理？</w:t>
      </w:r>
    </w:p>
    <w:p w14:paraId="52B8BEC3" w14:textId="77777777" w:rsidR="001A4D72" w:rsidRDefault="00000000">
      <w:pPr>
        <w:overflowPunct w:val="0"/>
        <w:jc w:val="left"/>
      </w:pPr>
      <w:r>
        <w:rPr>
          <w:rFonts w:ascii="Liberation Serif" w:eastAsia="Segoe UI" w:hAnsi="Liberation Serif" w:cs="Tahoma"/>
          <w:kern w:val="0"/>
          <w:szCs w:val="24"/>
          <w:lang w:bidi="en-US"/>
        </w:rPr>
        <w:t>烟气分析结果和烟粉分析结果没有相关数据？没有这些基础数据如何评价？</w:t>
      </w:r>
    </w:p>
  </w:comment>
  <w:comment w:id="22" w:author="LX" w:date="2025-12-21T13:57:00Z" w:initials="">
    <w:p w14:paraId="52B8BEC4" w14:textId="77777777" w:rsidR="001A4D72" w:rsidRDefault="00FC5D28">
      <w:pPr>
        <w:jc w:val="left"/>
      </w:pPr>
      <w:r>
        <w:rPr>
          <w:rStyle w:val="a4"/>
        </w:rPr>
        <w:annotationRef/>
      </w:r>
      <w:r w:rsidR="00000000">
        <w:rPr>
          <w:rFonts w:ascii="Liberation Serif" w:eastAsia="Segoe UI" w:hAnsi="Liberation Serif" w:cs="Tahoma"/>
          <w:kern w:val="0"/>
          <w:szCs w:val="24"/>
          <w:lang w:bidi="en-US"/>
        </w:rPr>
        <w:t>1.</w:t>
      </w:r>
      <w:r w:rsidR="00000000">
        <w:rPr>
          <w:rFonts w:ascii="Liberation Serif" w:eastAsia="Segoe UI" w:hAnsi="Liberation Serif" w:cs="Tahoma"/>
          <w:kern w:val="0"/>
          <w:szCs w:val="24"/>
          <w:lang w:bidi="en-US"/>
        </w:rPr>
        <w:t>这里首先还是质疑了酸感为什么不分级的问题，可是没有具体数据作为根基，也没有办法分级，强行说哪个烟是几级酸感是缺乏依据的。</w:t>
      </w:r>
    </w:p>
    <w:p w14:paraId="52B8BEC5" w14:textId="77777777" w:rsidR="001A4D72" w:rsidRDefault="00000000">
      <w:pPr>
        <w:jc w:val="left"/>
      </w:pPr>
      <w:r>
        <w:rPr>
          <w:rFonts w:ascii="Liberation Serif" w:eastAsia="Segoe UI" w:hAnsi="Liberation Serif" w:cs="Tahoma"/>
          <w:kern w:val="0"/>
          <w:szCs w:val="24"/>
          <w:lang w:bidi="en-US"/>
        </w:rPr>
        <w:t>2.</w:t>
      </w:r>
      <w:r>
        <w:rPr>
          <w:rFonts w:ascii="Liberation Serif" w:eastAsia="Segoe UI" w:hAnsi="Liberation Serif" w:cs="Tahoma"/>
          <w:kern w:val="0"/>
          <w:szCs w:val="24"/>
          <w:lang w:bidi="en-US"/>
        </w:rPr>
        <w:t>烟气分析数据和烟粉分析数据合并分析，</w:t>
      </w:r>
    </w:p>
  </w:comment>
  <w:comment w:id="24" w:author="hh" w:date="2025-12-16T12:06:00Z" w:initials="">
    <w:p w14:paraId="52B8BEC6" w14:textId="77777777" w:rsidR="001A4D72" w:rsidRDefault="00FC5D28">
      <w:pPr>
        <w:overflowPunct w:val="0"/>
        <w:jc w:val="left"/>
      </w:pPr>
      <w:r>
        <w:rPr>
          <w:rStyle w:val="a4"/>
        </w:rPr>
        <w:annotationRef/>
      </w:r>
      <w:r w:rsidR="00000000">
        <w:rPr>
          <w:rFonts w:ascii="Liberation Serif" w:eastAsia="Segoe UI" w:hAnsi="Liberation Serif" w:cs="Tahoma"/>
          <w:kern w:val="0"/>
          <w:szCs w:val="24"/>
          <w:lang w:bidi="en-US"/>
        </w:rPr>
        <w:t>图一、二看不到什么有用信息的</w:t>
      </w:r>
    </w:p>
  </w:comment>
  <w:comment w:id="25" w:author="hh" w:date="2025-12-16T12:10:00Z" w:initials="">
    <w:p w14:paraId="52B8BEC7" w14:textId="77777777" w:rsidR="001A4D72" w:rsidRDefault="00FC5D28">
      <w:pPr>
        <w:overflowPunct w:val="0"/>
        <w:jc w:val="left"/>
      </w:pPr>
      <w:r>
        <w:rPr>
          <w:rStyle w:val="a4"/>
        </w:rPr>
        <w:annotationRef/>
      </w:r>
      <w:r w:rsidR="00000000">
        <w:rPr>
          <w:rFonts w:ascii="Liberation Serif" w:eastAsia="Segoe UI" w:hAnsi="Liberation Serif" w:cs="Tahoma"/>
          <w:kern w:val="0"/>
          <w:szCs w:val="24"/>
          <w:lang w:bidi="en-US"/>
        </w:rPr>
        <w:t>要对热图进行解释说明啊，</w:t>
      </w:r>
    </w:p>
  </w:comment>
  <w:comment w:id="26" w:author="hh" w:date="2025-12-17T08:44:00Z" w:initials="">
    <w:p w14:paraId="52B8BEC8" w14:textId="77777777" w:rsidR="001A4D72" w:rsidRDefault="00FC5D28">
      <w:pPr>
        <w:overflowPunct w:val="0"/>
        <w:jc w:val="left"/>
      </w:pPr>
      <w:r>
        <w:rPr>
          <w:rStyle w:val="a4"/>
        </w:rPr>
        <w:annotationRef/>
      </w:r>
      <w:r w:rsidR="00000000">
        <w:rPr>
          <w:rFonts w:ascii="Liberation Serif" w:eastAsia="Segoe UI" w:hAnsi="Liberation Serif" w:cs="Tahoma"/>
          <w:kern w:val="0"/>
          <w:szCs w:val="24"/>
          <w:lang w:bidi="en-US"/>
        </w:rPr>
        <w:t>46</w:t>
      </w:r>
      <w:r w:rsidR="00000000">
        <w:rPr>
          <w:rFonts w:ascii="Liberation Serif" w:eastAsia="Segoe UI" w:hAnsi="Liberation Serif" w:cs="Tahoma"/>
          <w:kern w:val="0"/>
          <w:szCs w:val="24"/>
          <w:lang w:bidi="en-US"/>
        </w:rPr>
        <w:t>种烟末酸感分类是怎样的？</w:t>
      </w:r>
    </w:p>
  </w:comment>
  <w:comment w:id="29" w:author="hh" w:date="2025-12-17T11:58:00Z" w:initials="">
    <w:p w14:paraId="52B8BECA" w14:textId="77777777" w:rsidR="001A4D72" w:rsidRDefault="00FC5D28">
      <w:pPr>
        <w:overflowPunct w:val="0"/>
        <w:jc w:val="left"/>
      </w:pPr>
      <w:r>
        <w:rPr>
          <w:rStyle w:val="a4"/>
        </w:rPr>
        <w:annotationRef/>
      </w:r>
      <w:r w:rsidR="00000000">
        <w:rPr>
          <w:rFonts w:ascii="Liberation Serif" w:eastAsia="Segoe UI" w:hAnsi="Liberation Serif" w:cs="Tahoma"/>
          <w:kern w:val="0"/>
          <w:szCs w:val="24"/>
          <w:lang w:bidi="en-US"/>
        </w:rPr>
        <w:t>数据？</w:t>
      </w:r>
    </w:p>
  </w:comment>
  <w:comment w:id="30" w:author="未知作者" w:date="2025-12-21T15:02:00Z" w:initials="">
    <w:p w14:paraId="52B8BECB" w14:textId="77777777" w:rsidR="001A4D72" w:rsidRDefault="00FC5D28">
      <w:pPr>
        <w:overflowPunct w:val="0"/>
        <w:jc w:val="left"/>
      </w:pPr>
      <w:r>
        <w:rPr>
          <w:rStyle w:val="a4"/>
        </w:rPr>
        <w:annotationRef/>
      </w:r>
      <w:r w:rsidR="00000000">
        <w:rPr>
          <w:rFonts w:ascii="Liberation Serif" w:eastAsia="Segoe UI" w:hAnsi="Liberation Serif" w:cs="Tahoma"/>
          <w:kern w:val="0"/>
          <w:szCs w:val="24"/>
          <w:lang w:eastAsia="en-US" w:bidi="en-US"/>
        </w:rPr>
        <w:t>回答</w:t>
      </w:r>
      <w:r w:rsidR="00000000">
        <w:rPr>
          <w:rFonts w:ascii="Liberation Serif" w:eastAsia="Segoe UI" w:hAnsi="Liberation Serif" w:cs="Tahoma"/>
          <w:kern w:val="0"/>
          <w:szCs w:val="24"/>
          <w:lang w:eastAsia="en-US" w:bidi="en-US"/>
        </w:rPr>
        <w:t xml:space="preserve"> hh (2025/12/17, 11:58): "..."</w:t>
      </w:r>
    </w:p>
    <w:p w14:paraId="52B8BECC" w14:textId="77777777" w:rsidR="001A4D72" w:rsidRDefault="00000000">
      <w:pPr>
        <w:overflowPunct w:val="0"/>
        <w:ind w:leftChars="75" w:left="180"/>
        <w:jc w:val="left"/>
      </w:pPr>
      <w:r>
        <w:rPr>
          <w:rFonts w:ascii="Liberation Serif" w:eastAsia="Segoe UI" w:hAnsi="Liberation Serif" w:cs="Tahoma"/>
          <w:kern w:val="0"/>
          <w:szCs w:val="24"/>
          <w:lang w:eastAsia="en-US" w:bidi="en-US"/>
        </w:rPr>
        <w:t>我写的有问题，本研究只观察到了烤烟原料加热卷烟表现出较强酸感，这一现象与烤烟传统卷烟在燃烧状态下的感官风格存在差异。我该把这两个事情分开来说。</w:t>
      </w:r>
    </w:p>
  </w:comment>
  <w:comment w:id="31" w:author="hh" w:date="2025-12-18T08:52:00Z" w:initials="">
    <w:p w14:paraId="52B8BECD" w14:textId="77777777" w:rsidR="001A4D72" w:rsidRDefault="00FC5D28">
      <w:pPr>
        <w:overflowPunct w:val="0"/>
        <w:jc w:val="left"/>
      </w:pPr>
      <w:r>
        <w:rPr>
          <w:rStyle w:val="a4"/>
        </w:rPr>
        <w:annotationRef/>
      </w:r>
      <w:r w:rsidR="00000000">
        <w:rPr>
          <w:rFonts w:ascii="Liberation Serif" w:eastAsia="Segoe UI" w:hAnsi="Liberation Serif" w:cs="Tahoma"/>
          <w:kern w:val="0"/>
          <w:szCs w:val="24"/>
          <w:lang w:bidi="en-US"/>
        </w:rPr>
        <w:t>结论过于简单</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B8BEAD" w15:done="0"/>
  <w15:commentEx w15:paraId="52B8BEAE" w15:done="0"/>
  <w15:commentEx w15:paraId="52B8BEAF" w15:done="0"/>
  <w15:commentEx w15:paraId="52B8BEB1" w15:done="0"/>
  <w15:commentEx w15:paraId="52B8BEB2" w15:done="0"/>
  <w15:commentEx w15:paraId="52B8BEB4" w15:done="0"/>
  <w15:commentEx w15:paraId="52B8BEB5" w15:done="0"/>
  <w15:commentEx w15:paraId="52B8BEB6" w15:done="0"/>
  <w15:commentEx w15:paraId="52B8BEB7" w15:done="0"/>
  <w15:commentEx w15:paraId="52B8BEB8" w15:done="0"/>
  <w15:commentEx w15:paraId="52B8BEB9" w15:done="0"/>
  <w15:commentEx w15:paraId="52B8BEBA" w15:done="0"/>
  <w15:commentEx w15:paraId="52B8BEBC" w15:done="0"/>
  <w15:commentEx w15:paraId="52B8BEBD" w15:done="0"/>
  <w15:commentEx w15:paraId="52B8BEBE" w15:done="0"/>
  <w15:commentEx w15:paraId="52B8BEBF" w15:done="0"/>
  <w15:commentEx w15:paraId="52B8BEC3" w15:done="0"/>
  <w15:commentEx w15:paraId="52B8BEC5" w15:done="0"/>
  <w15:commentEx w15:paraId="52B8BEC6" w15:done="0"/>
  <w15:commentEx w15:paraId="52B8BEC7" w15:done="0"/>
  <w15:commentEx w15:paraId="52B8BEC8" w15:done="0"/>
  <w15:commentEx w15:paraId="52B8BECA" w15:done="0"/>
  <w15:commentEx w15:paraId="52B8BECC" w15:done="0"/>
  <w15:commentEx w15:paraId="52B8BEC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B8BEAD" w16cid:durableId="52B8BEAD"/>
  <w16cid:commentId w16cid:paraId="52B8BEAE" w16cid:durableId="52B8BEAE"/>
  <w16cid:commentId w16cid:paraId="52B8BEAF" w16cid:durableId="52B8BEAF"/>
  <w16cid:commentId w16cid:paraId="52B8BEB1" w16cid:durableId="52B8BEB1"/>
  <w16cid:commentId w16cid:paraId="52B8BEB2" w16cid:durableId="52B8BEB2"/>
  <w16cid:commentId w16cid:paraId="52B8BEB4" w16cid:durableId="52B8BEB4"/>
  <w16cid:commentId w16cid:paraId="52B8BEB5" w16cid:durableId="52B8BEB5"/>
  <w16cid:commentId w16cid:paraId="52B8BEB6" w16cid:durableId="52B8BEB6"/>
  <w16cid:commentId w16cid:paraId="52B8BEB7" w16cid:durableId="52B8BEB7"/>
  <w16cid:commentId w16cid:paraId="52B8BEB8" w16cid:durableId="52B8BEB8"/>
  <w16cid:commentId w16cid:paraId="52B8BEB9" w16cid:durableId="52B8BEB9"/>
  <w16cid:commentId w16cid:paraId="52B8BEBA" w16cid:durableId="52B8BEBA"/>
  <w16cid:commentId w16cid:paraId="52B8BEBC" w16cid:durableId="52B8BEBC"/>
  <w16cid:commentId w16cid:paraId="52B8BEBD" w16cid:durableId="52B8BEBD"/>
  <w16cid:commentId w16cid:paraId="52B8BEBE" w16cid:durableId="52B8BEBE"/>
  <w16cid:commentId w16cid:paraId="52B8BEBF" w16cid:durableId="52B8BEBF"/>
  <w16cid:commentId w16cid:paraId="52B8BEC3" w16cid:durableId="52B8BEC3"/>
  <w16cid:commentId w16cid:paraId="52B8BEC5" w16cid:durableId="52B8BEC5"/>
  <w16cid:commentId w16cid:paraId="52B8BEC6" w16cid:durableId="52B8BEC6"/>
  <w16cid:commentId w16cid:paraId="52B8BEC7" w16cid:durableId="52B8BEC7"/>
  <w16cid:commentId w16cid:paraId="52B8BEC8" w16cid:durableId="52B8BEC8"/>
  <w16cid:commentId w16cid:paraId="52B8BECA" w16cid:durableId="52B8BECA"/>
  <w16cid:commentId w16cid:paraId="52B8BECC" w16cid:durableId="52B8BECC"/>
  <w16cid:commentId w16cid:paraId="52B8BECD" w16cid:durableId="52B8BEC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思源黑体">
    <w:altName w:val="宋体"/>
    <w:panose1 w:val="00000000000000000000"/>
    <w:charset w:val="86"/>
    <w:family w:val="roman"/>
    <w:notTrueType/>
    <w:pitch w:val="default"/>
  </w:font>
  <w:font w:name="Lucida Sans">
    <w:charset w:val="00"/>
    <w:family w:val="swiss"/>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Liberation Serif">
    <w:altName w:val="Times New Roman"/>
    <w:charset w:val="01"/>
    <w:family w:val="roman"/>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仿宋">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autoHyphenation/>
  <w:characterSpacingControl w:val="doNotCompress"/>
  <w:compat>
    <w:doNotExpandShiftReturn/>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D72"/>
    <w:rsid w:val="00055D09"/>
    <w:rsid w:val="001A4D72"/>
    <w:rsid w:val="0077485A"/>
    <w:rsid w:val="00FA7FC7"/>
    <w:rsid w:val="00FC5D28"/>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8BC3C"/>
  <w15:docId w15:val="{554BA553-5C65-408D-91CF-1CE6CCCC8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uiPriority="0"/>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2"/>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style>
  <w:style w:type="character" w:styleId="a4">
    <w:name w:val="annotation reference"/>
    <w:basedOn w:val="a0"/>
    <w:uiPriority w:val="99"/>
    <w:semiHidden/>
    <w:unhideWhenUsed/>
    <w:qFormat/>
    <w:rPr>
      <w:sz w:val="21"/>
      <w:szCs w:val="21"/>
    </w:rPr>
  </w:style>
  <w:style w:type="character" w:customStyle="1" w:styleId="a5">
    <w:name w:val="页眉 字符"/>
    <w:basedOn w:val="a0"/>
    <w:link w:val="a6"/>
    <w:uiPriority w:val="99"/>
    <w:qFormat/>
    <w:rPr>
      <w:sz w:val="18"/>
      <w:szCs w:val="18"/>
    </w:rPr>
  </w:style>
  <w:style w:type="character" w:customStyle="1" w:styleId="a7">
    <w:name w:val="页脚 字符"/>
    <w:basedOn w:val="a0"/>
    <w:link w:val="a8"/>
    <w:uiPriority w:val="99"/>
    <w:qFormat/>
    <w:rPr>
      <w:sz w:val="18"/>
      <w:szCs w:val="18"/>
    </w:rPr>
  </w:style>
  <w:style w:type="character" w:customStyle="1" w:styleId="a9">
    <w:name w:val="批注文字 字符"/>
    <w:basedOn w:val="a0"/>
    <w:link w:val="aa"/>
    <w:uiPriority w:val="99"/>
    <w:semiHidden/>
    <w:qFormat/>
    <w:rPr>
      <w:sz w:val="24"/>
    </w:rPr>
  </w:style>
  <w:style w:type="character" w:customStyle="1" w:styleId="ab">
    <w:name w:val="批注主题 字符"/>
    <w:basedOn w:val="a9"/>
    <w:link w:val="ac"/>
    <w:uiPriority w:val="99"/>
    <w:semiHidden/>
    <w:qFormat/>
    <w:rPr>
      <w:b/>
      <w:bCs/>
      <w:sz w:val="24"/>
    </w:rPr>
  </w:style>
  <w:style w:type="character" w:customStyle="1" w:styleId="ad">
    <w:name w:val="批注框文本 字符"/>
    <w:basedOn w:val="a0"/>
    <w:link w:val="ae"/>
    <w:uiPriority w:val="99"/>
    <w:semiHidden/>
    <w:qFormat/>
    <w:rPr>
      <w:sz w:val="18"/>
      <w:szCs w:val="18"/>
    </w:rPr>
  </w:style>
  <w:style w:type="character" w:customStyle="1" w:styleId="mord">
    <w:name w:val="mord"/>
    <w:basedOn w:val="a0"/>
    <w:qFormat/>
  </w:style>
  <w:style w:type="character" w:customStyle="1" w:styleId="mrel">
    <w:name w:val="mrel"/>
    <w:basedOn w:val="a0"/>
    <w:qFormat/>
  </w:style>
  <w:style w:type="paragraph" w:customStyle="1" w:styleId="af">
    <w:name w:val="标题样式"/>
    <w:basedOn w:val="a"/>
    <w:next w:val="af0"/>
    <w:qFormat/>
    <w:pPr>
      <w:keepNext/>
      <w:spacing w:before="240" w:after="120"/>
    </w:pPr>
    <w:rPr>
      <w:rFonts w:ascii="Liberation Sans" w:eastAsia="思源黑体" w:hAnsi="Liberation Sans" w:cs="Lucida Sans"/>
      <w:sz w:val="28"/>
      <w:szCs w:val="28"/>
    </w:rPr>
  </w:style>
  <w:style w:type="paragraph" w:styleId="af0">
    <w:name w:val="Body Text"/>
    <w:basedOn w:val="a"/>
    <w:pPr>
      <w:spacing w:after="140" w:line="276" w:lineRule="auto"/>
    </w:pPr>
  </w:style>
  <w:style w:type="paragraph" w:styleId="af1">
    <w:name w:val="List"/>
    <w:basedOn w:val="af0"/>
    <w:rPr>
      <w:rFonts w:cs="Lucida Sans"/>
    </w:rPr>
  </w:style>
  <w:style w:type="paragraph" w:styleId="af2">
    <w:name w:val="caption"/>
    <w:basedOn w:val="a"/>
    <w:qFormat/>
    <w:pPr>
      <w:suppressLineNumbers/>
      <w:spacing w:before="120" w:after="120"/>
    </w:pPr>
    <w:rPr>
      <w:rFonts w:cs="Lucida Sans"/>
      <w:i/>
      <w:iCs/>
      <w:szCs w:val="24"/>
    </w:rPr>
  </w:style>
  <w:style w:type="paragraph" w:customStyle="1" w:styleId="af3">
    <w:name w:val="索引"/>
    <w:basedOn w:val="a"/>
    <w:qFormat/>
    <w:pPr>
      <w:suppressLineNumbers/>
    </w:pPr>
    <w:rPr>
      <w:rFonts w:cs="Lucida Sans"/>
    </w:rPr>
  </w:style>
  <w:style w:type="paragraph" w:styleId="aa">
    <w:name w:val="annotation text"/>
    <w:basedOn w:val="a"/>
    <w:link w:val="a9"/>
    <w:uiPriority w:val="99"/>
    <w:semiHidden/>
    <w:unhideWhenUsed/>
    <w:qFormat/>
    <w:pPr>
      <w:jc w:val="left"/>
    </w:pPr>
  </w:style>
  <w:style w:type="paragraph" w:styleId="ae">
    <w:name w:val="Balloon Text"/>
    <w:basedOn w:val="a"/>
    <w:link w:val="ad"/>
    <w:uiPriority w:val="99"/>
    <w:semiHidden/>
    <w:unhideWhenUsed/>
    <w:qFormat/>
    <w:rPr>
      <w:sz w:val="18"/>
      <w:szCs w:val="18"/>
    </w:rPr>
  </w:style>
  <w:style w:type="paragraph" w:customStyle="1" w:styleId="af4">
    <w:name w:val="页眉与页脚"/>
    <w:basedOn w:val="a"/>
    <w:qFormat/>
  </w:style>
  <w:style w:type="paragraph" w:styleId="a8">
    <w:name w:val="footer"/>
    <w:basedOn w:val="a"/>
    <w:link w:val="a7"/>
    <w:uiPriority w:val="99"/>
    <w:unhideWhenUsed/>
    <w:qFormat/>
    <w:pPr>
      <w:tabs>
        <w:tab w:val="center" w:pos="4153"/>
        <w:tab w:val="right" w:pos="8306"/>
      </w:tabs>
      <w:snapToGrid w:val="0"/>
      <w:jc w:val="left"/>
    </w:pPr>
    <w:rPr>
      <w:sz w:val="18"/>
      <w:szCs w:val="18"/>
    </w:rPr>
  </w:style>
  <w:style w:type="paragraph" w:styleId="a6">
    <w:name w:val="header"/>
    <w:basedOn w:val="a"/>
    <w:link w:val="a5"/>
    <w:uiPriority w:val="99"/>
    <w:unhideWhenUsed/>
    <w:qFormat/>
    <w:pPr>
      <w:pBdr>
        <w:bottom w:val="single" w:sz="6" w:space="1" w:color="000000"/>
      </w:pBdr>
      <w:tabs>
        <w:tab w:val="center" w:pos="4153"/>
        <w:tab w:val="right" w:pos="8306"/>
      </w:tabs>
      <w:snapToGrid w:val="0"/>
      <w:jc w:val="center"/>
    </w:pPr>
    <w:rPr>
      <w:sz w:val="18"/>
      <w:szCs w:val="18"/>
    </w:rPr>
  </w:style>
  <w:style w:type="paragraph" w:styleId="af5">
    <w:name w:val="Normal (Web)"/>
    <w:basedOn w:val="a"/>
    <w:uiPriority w:val="99"/>
    <w:semiHidden/>
    <w:unhideWhenUsed/>
    <w:qFormat/>
    <w:pPr>
      <w:widowControl/>
      <w:spacing w:beforeAutospacing="1" w:afterAutospacing="1"/>
      <w:jc w:val="left"/>
    </w:pPr>
    <w:rPr>
      <w:rFonts w:ascii="宋体" w:eastAsia="宋体" w:hAnsi="宋体" w:cs="宋体"/>
      <w:kern w:val="0"/>
      <w:szCs w:val="24"/>
    </w:rPr>
  </w:style>
  <w:style w:type="paragraph" w:styleId="ac">
    <w:name w:val="annotation subject"/>
    <w:basedOn w:val="aa"/>
    <w:next w:val="aa"/>
    <w:link w:val="ab"/>
    <w:uiPriority w:val="99"/>
    <w:semiHidden/>
    <w:unhideWhenUsed/>
    <w:qFormat/>
    <w:rPr>
      <w:b/>
      <w:bCs/>
    </w:rPr>
  </w:style>
  <w:style w:type="paragraph" w:customStyle="1" w:styleId="1">
    <w:name w:val="书目1"/>
    <w:basedOn w:val="a"/>
    <w:next w:val="a"/>
    <w:uiPriority w:val="37"/>
    <w:unhideWhenUsed/>
    <w:qFormat/>
    <w:pPr>
      <w:tabs>
        <w:tab w:val="left" w:pos="504"/>
      </w:tabs>
      <w:ind w:left="504" w:hanging="504"/>
    </w:pPr>
  </w:style>
  <w:style w:type="paragraph" w:styleId="af6">
    <w:name w:val="List Paragraph"/>
    <w:basedOn w:val="a"/>
    <w:uiPriority w:val="34"/>
    <w:qFormat/>
    <w:pPr>
      <w:ind w:firstLine="420"/>
    </w:pPr>
  </w:style>
  <w:style w:type="paragraph" w:customStyle="1" w:styleId="Reference">
    <w:name w:val="Reference"/>
    <w:basedOn w:val="a"/>
    <w:next w:val="a"/>
    <w:qFormat/>
    <w:pPr>
      <w:snapToGrid w:val="0"/>
      <w:spacing w:before="280"/>
      <w:jc w:val="left"/>
      <w:outlineLvl w:val="0"/>
    </w:pPr>
    <w:rPr>
      <w:rFonts w:ascii="Times New Roman" w:eastAsia="黑体" w:hAnsi="Times New Roman" w:cs="Times New Roman"/>
      <w:b/>
      <w:sz w:val="18"/>
      <w:szCs w:val="20"/>
    </w:rPr>
  </w:style>
  <w:style w:type="paragraph" w:customStyle="1" w:styleId="10">
    <w:name w:val="修订1"/>
    <w:uiPriority w:val="99"/>
    <w:semiHidden/>
    <w:qFormat/>
    <w:pPr>
      <w:widowControl w:val="0"/>
    </w:pPr>
    <w:rPr>
      <w:kern w:val="2"/>
      <w:sz w:val="24"/>
      <w:szCs w:val="22"/>
      <w:lang w:bidi="ar-SA"/>
    </w:rPr>
  </w:style>
  <w:style w:type="paragraph" w:customStyle="1" w:styleId="af7">
    <w:name w:val="批注"/>
    <w:basedOn w:val="a"/>
    <w:qFormat/>
    <w:rPr>
      <w:sz w:val="20"/>
      <w:szCs w:val="20"/>
    </w:rPr>
  </w:style>
  <w:style w:type="table" w:styleId="af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Revision"/>
    <w:hidden/>
    <w:uiPriority w:val="99"/>
    <w:unhideWhenUsed/>
    <w:rsid w:val="00FC5D28"/>
    <w:pPr>
      <w:suppressAutoHyphens w:val="0"/>
    </w:pPr>
    <w:rPr>
      <w:kern w:val="2"/>
      <w:sz w:val="24"/>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wmf"/><Relationship Id="rId3" Type="http://schemas.openxmlformats.org/officeDocument/2006/relationships/webSettings" Target="webSettings.xml"/><Relationship Id="rId7" Type="http://schemas.openxmlformats.org/officeDocument/2006/relationships/image" Target="media/image1.wmf"/><Relationship Id="rId12" Type="http://schemas.openxmlformats.org/officeDocument/2006/relationships/image" Target="media/image6.wmf"/><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5.svg"/><Relationship Id="rId5" Type="http://schemas.microsoft.com/office/2011/relationships/commentsExtended" Target="commentsExtended.xml"/><Relationship Id="rId15" Type="http://schemas.openxmlformats.org/officeDocument/2006/relationships/image" Target="media/image9.svg"/><Relationship Id="rId10" Type="http://schemas.openxmlformats.org/officeDocument/2006/relationships/image" Target="media/image4.png"/><Relationship Id="rId4" Type="http://schemas.openxmlformats.org/officeDocument/2006/relationships/comments" Target="comments.xml"/><Relationship Id="rId9" Type="http://schemas.openxmlformats.org/officeDocument/2006/relationships/image" Target="media/image3.sv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majorFont>
      <a:minorFont>
        <a:latin typeface="等线"/>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225</TotalTime>
  <Pages>20</Pages>
  <Words>2853</Words>
  <Characters>16268</Characters>
  <Application>Microsoft Office Word</Application>
  <DocSecurity>0</DocSecurity>
  <Lines>135</Lines>
  <Paragraphs>38</Paragraphs>
  <ScaleCrop>false</ScaleCrop>
  <Company/>
  <LinksUpToDate>false</LinksUpToDate>
  <CharactersWithSpaces>19083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 Li</dc:creator>
  <dc:description/>
  <cp:lastModifiedBy>Xiang Li</cp:lastModifiedBy>
  <cp:revision>48</cp:revision>
  <dcterms:created xsi:type="dcterms:W3CDTF">2025-10-09T19:02:00Z</dcterms:created>
  <dcterms:modified xsi:type="dcterms:W3CDTF">2025-12-29T06:44:00Z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11E69863C1094F2A8CB865014ECA8D89_12</vt:lpwstr>
  </property>
  <property fmtid="{D5CDD505-2E9C-101B-9397-08002B2CF9AE}" pid="3" name="KSOProductBuildVer">
    <vt:lpwstr>2052-12.1.2.23578</vt:lpwstr>
  </property>
  <property fmtid="{D5CDD505-2E9C-101B-9397-08002B2CF9AE}" pid="4" name="KSOTemplateDocerSaveRecord">
    <vt:lpwstr>eyJoZGlkIjoiZmJjYTU0ZmJhNDY4NjNlZWMxY2JlYTJmZjYxMDYxMDMiLCJ1c2VySWQiOiIxNDYyMTMwNjcyIn0=</vt:lpwstr>
  </property>
  <property fmtid="{D5CDD505-2E9C-101B-9397-08002B2CF9AE}" pid="5" name="ZOTERO_PREF_1">
    <vt:lpwstr>&lt;data data-version="3" zotero-version="7.0.30"&gt;&lt;session id="S74b2Omk"/&gt;&lt;style id="http://www.zotero.org/styles/china-national-standard-gb-t-7714-2015-numeric" hasBibliography="1" bibliographyStyleHasBeenSet="1"/&gt;&lt;prefs&gt;&lt;pref name="fieldType" value="Field"</vt:lpwstr>
  </property>
  <property fmtid="{D5CDD505-2E9C-101B-9397-08002B2CF9AE}" pid="6" name="ZOTERO_PREF_2">
    <vt:lpwstr>/&gt;&lt;/prefs&gt;&lt;/data&gt;</vt:lpwstr>
  </property>
</Properties>
</file>