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B2545"/>
          <w:sz w:val="44"/>
        </w:rPr>
        <w:t>RQ-OPQ SID 构建与质量评估报告</w:t>
      </w:r>
    </w:p>
    <w:p>
      <w:r>
        <w:rPr>
          <w:rFonts w:ascii="Calibri" w:hAnsi="Calibri" w:eastAsia="Microsoft YaHei"/>
          <w:color w:val="536173"/>
          <w:sz w:val="22"/>
        </w:rPr>
        <w:t>基于 Shopee title embedding 的 SID 构建、特征使用方式与评估图表说明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项目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当前值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构建方法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PCA + RQ-KMeans + OPQ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SID 结构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[rq0, rq1, rq2, opq0, opq1]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RQ 参数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K=512, L=3, code_dim=32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OPQ 参数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M=2, K=256, subdim=16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Dense concat 维度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128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Dense reconstruction 维度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32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样本数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19577 items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1. 结论摘要</w:t>
      </w:r>
    </w:p>
    <w:p>
      <w:pPr>
        <w:spacing w:after="120" w:line="300" w:lineRule="auto"/>
      </w:pPr>
      <w:r>
        <w:rPr>
          <w:rFonts w:ascii="Calibri" w:hAnsi="Calibri" w:eastAsia="Microsoft YaHei"/>
          <w:color w:val="222222"/>
          <w:sz w:val="22"/>
        </w:rPr>
        <w:t>当前 RQ-OPQ SID 方案整体质量较好：码本利用充分，碰撞率较低，重构向量与原 projected embedding 的方向保持度高，近邻结构也有较好的保留。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222222"/>
          <w:sz w:val="22"/>
        </w:rPr>
        <w:t>Unique SID ratio: 0.994024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222222"/>
          <w:sz w:val="22"/>
        </w:rPr>
        <w:t>Extra collision rate: 0.005976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222222"/>
          <w:sz w:val="22"/>
        </w:rPr>
        <w:t>Mean reconstruction cosine: 0.976780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222222"/>
          <w:sz w:val="22"/>
        </w:rPr>
        <w:t>Reconstruction NN recall@20: 0.704300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222222"/>
          <w:sz w:val="22"/>
        </w:rPr>
        <w:t>Neighbor LCP mean vs random LCP mean: 0.6159 vs 0.0023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2. SID 构建逻辑</w:t>
      </w:r>
    </w:p>
    <w:p>
      <w:pPr>
        <w:spacing w:after="120" w:line="300" w:lineRule="auto"/>
      </w:pPr>
      <w:r>
        <w:rPr>
          <w:rFonts w:ascii="Calibri" w:hAnsi="Calibri" w:eastAsia="Microsoft YaHei"/>
          <w:color w:val="222222"/>
          <w:sz w:val="22"/>
        </w:rPr>
        <w:t>RQ-OPQ 不是神经网络 encoder/decoder 训练，而是经典向量量化训练。RQ 阶段逐层对 residual 做 KMeans，码字向量是分配到该 cluster 的 residual 均值；OPQ 阶段先学习正交旋转矩阵，再在旋转后的 residual 子空间里做 Product Quantization。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222222"/>
          <w:sz w:val="22"/>
        </w:rPr>
        <w:t>当前脚本先将原始 256 维 title embedding 做 L2 normalization，再 PCA 到 32 维；随后使用 3 层 RQ-KMeans 生成粗到细的语义 token，最后使用 2 个 OPQ 子空间补充 residual 中的细粒度信息。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3. Feature 使用方式</w:t>
      </w:r>
    </w:p>
    <w:p>
      <w:pPr>
        <w:spacing w:after="120" w:line="300" w:lineRule="auto"/>
      </w:pPr>
      <w:r>
        <w:rPr>
          <w:rFonts w:ascii="Calibri" w:hAnsi="Calibri" w:eastAsia="Microsoft YaHei"/>
          <w:color w:val="222222"/>
          <w:sz w:val="22"/>
        </w:rPr>
        <w:t>当前产物支持两种业务接法。第一种是直接使用 sid_codeword_concat.npy，作为固定的 128 维 dense feature；第二种是使用 sid_codes_offset.npy，将 SID token 当 categorical feature，由下游模型训练 embedding table。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项目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当前值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固定 dense feature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sid_codeword_concat.npy, shape=(19577, 128)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更轻量 dense feature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sid_reconstruction.npy, shape=(19577, 32)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离散 SID token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sid_codes.npy, shape=(19577, 5)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共享 embedding table 输入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sid_codes_offset.npy, token id 空间为 0~2047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4. 核心指标表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列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K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CUR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Entropy Ratio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Effective Ratio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rq0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512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1.000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0.985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0.913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rq1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512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1.000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0.958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0.768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rq2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512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1.000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0.950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0.731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opq0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256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1.000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0.989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0.943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opq1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256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1.000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0.988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0.935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Depth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Unique Ratio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Collision Rate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Extra Collisions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Max Group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0.0262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0.9738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19065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118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0.7980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0.2020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3955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15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0.9754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0.0246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482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6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0.9920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0.0080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157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4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0.9940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0.0060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117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4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5. 图表说明与解读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91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_01_codebook_usage_qu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91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36173"/>
          <w:sz w:val="19"/>
        </w:rPr>
        <w:t>图 1. Codebook usage quality。CUR=used_codes/K；Entropy ratio=H/log2(K)；Effective ratio=2^H/K。越接近 1，说明码本使用越充分且越均匀。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99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_02_sorted_code_usage_frequ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9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36173"/>
          <w:sz w:val="19"/>
        </w:rPr>
        <w:t>图 2. Sorted code usage frequency。对每一列 SID 的 code 使用次数降序排序，纵轴为 log scale。曲线越平，说明使用越均匀；曲线越陡，说明存在头部 code 过热。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232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_03_residual_mse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23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36173"/>
          <w:sz w:val="19"/>
        </w:rPr>
        <w:t>图 3. Residual MSE curve。每个阶段的 MSE=mean(||residual||^2)。随着 RQ 层和 OPQ 加入，MSE 应该逐步下降。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0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_04_reconstruction_cosine_histo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36173"/>
          <w:sz w:val="19"/>
        </w:rPr>
        <w:t>图 4. Reconstruction cosine histogram。逐 item 计算 projected embedding 与 SID reconstruction 的 cosine，衡量量化后是否保留语义方向。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08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_05_collision_group_size_histo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36173"/>
          <w:sz w:val="19"/>
        </w:rPr>
        <w:t>图 5. Collision group size histogram。按完整 SID tuple 分组，统计 size&gt;=2 的碰撞组大小分布。最大碰撞组越小越好。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08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_06_prefix_uniqueness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36173"/>
          <w:sz w:val="19"/>
        </w:rPr>
        <w:t>图 6. Prefix uniqueness curve。depth=d 时只看前 d 个 token，计算 unique_prefix_count/N 和 collision_rate。曲线展示层级 token 逐步提升区分力。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08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_07_neighbor_prefix_agre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36173"/>
          <w:sz w:val="19"/>
        </w:rPr>
        <w:t>图 7. Neighbor prefix agreement。在原 projected embedding 空间找 top-k 近邻，计算 anchor 与 neighbor 的 SID 最长公共前缀长度，并与 random pair 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08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_08_reconstruction_nn_recall_histo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36173"/>
          <w:sz w:val="19"/>
        </w:rPr>
        <w:t>图 8. Reconstruction NN recall histogram。对每个 sampled anchor，比较原 embedding top-k neighbor 与 reconstruction top-k neighbor 的交集比例。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094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h_09_t-sne_sid_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36173"/>
          <w:sz w:val="19"/>
        </w:rPr>
        <w:t>图 9. t-SNE SID structure。将 original projected embedding 与 SID reconstruction 做二维可视化，颜色按 rq0 上色，用于定性观察粗粒度 SID 分区和重构结构是否一致。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6. 指标计算公式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项目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349"/>
                <w:sz w:val="19"/>
              </w:rPr>
              <w:t>当前值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CUR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used_codes / total_codes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Entropy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-sum_j p_j log2(p_j), p_j=count_j/N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Effective codes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2^Entropy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Collision rate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(N - unique_sid_count) / 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Residual MSE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mean_i ||residual_i||^2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Reconstruction cosine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dot(x_i,z_i)/(||x_i|| ||z_i||)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Prefix unique ratio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unique_prefix_count(depth=d) / 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LCP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SID tuple 从第一个 token 开始连续相同的长度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NN recall@K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|NN_original@K ∩ NN_reconstruction@K| / K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7. 下一步建议</w:t>
      </w:r>
    </w:p>
    <w:p>
      <w:pPr>
        <w:spacing w:after="120" w:line="300" w:lineRule="auto"/>
      </w:pPr>
      <w:r>
        <w:rPr>
          <w:rFonts w:ascii="Calibri" w:hAnsi="Calibri" w:eastAsia="Microsoft YaHei"/>
          <w:color w:val="222222"/>
          <w:sz w:val="22"/>
        </w:rPr>
        <w:t>当前评估主要基于 embedding 空间和量化重构质量。若要判断 SID 对业务目标的真实增益，建议继续引入 title/category/brand/behavior pair，用 category purity、同类召回、点击 pair SID 距离、以及下游 CTR/CVR/召回模型 ablation 进行验证。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>RQ-OPQ SID Evaluation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