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22F2E">
      <w:pPr>
        <w:pStyle w:val="31"/>
      </w:pPr>
      <w:r>
        <w:t>基于沙盘的车路协同</w:t>
      </w:r>
      <w:r>
        <w:br w:type="textWrapping"/>
      </w:r>
      <w:r>
        <w:t>鬼探头感知预警项目方案</w:t>
      </w:r>
    </w:p>
    <w:p w14:paraId="168959BB">
      <w:pPr>
        <w:pStyle w:val="26"/>
      </w:pPr>
      <w:r>
        <w:t>智慧交通工程中心  建设方案与实施计划</w:t>
      </w:r>
    </w:p>
    <w:p w14:paraId="1090A295">
      <w:r>
        <w:rPr>
          <w:sz w:val="18"/>
        </w:rPr>
        <w:t>版本 V1.0    编制日期 2026年10月4日</w:t>
      </w:r>
    </w:p>
    <w:p w14:paraId="5DD6C8AA">
      <w:pPr>
        <w:pStyle w:val="4"/>
      </w:pPr>
      <w:r>
        <w:t>项目摘要</w:t>
      </w:r>
    </w:p>
    <w:p w14:paraId="70C37F91">
      <w:pPr>
        <w:ind w:firstLine="369"/>
      </w:pPr>
      <w:r>
        <w:t>本项目依托现有交通沙盘，在建筑转角设置行人或非机动车横穿场景。路侧摄像头观察车辆视线被建筑遮挡的区域，边缘计算节点完成目标检测、跟踪、定位和冲突预测，经通信链路向小车发送预警，由车端执行减速或停车。大屏同步呈现路侧目标、车载原始视野、预测风险和车辆响应，说明“车辆看不见，路能看见”的协同感知价值。</w:t>
      </w:r>
    </w:p>
    <w:p w14:paraId="24B6A7CA">
      <w:pPr>
        <w:ind w:firstLine="369"/>
      </w:pPr>
      <w:r>
        <w:t>首期建设重点是形成可重复演示、可量化测试的完整闭环。第一阶段复用沙盘、可控小车和显示设备，以 Wi-Fi／MQTT 完成应用层消息与车辆控制验证；第二阶段接入配套 RSU 与 OBU，验证真实 C-V2X 通信；第三阶段扩展多目标、学校路口及应急车辆等场景。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540"/>
      </w:tblGrid>
      <w:tr w14:paraId="550D7B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2CED02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20"/>
              </w:rPr>
              <w:t>建设要素</w:t>
            </w:r>
          </w:p>
        </w:tc>
        <w:tc>
          <w:tcPr>
            <w:tcW w:w="7540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CC4DC6">
            <w:pPr>
              <w:spacing w:after="0" w:line="278" w:lineRule="auto"/>
              <w:jc w:val="center"/>
            </w:pPr>
            <w:bookmarkStart w:id="0" w:name="_GoBack"/>
            <w:bookmarkEnd w:id="0"/>
            <w:r>
              <w:rPr>
                <w:b/>
                <w:color w:val="000000"/>
                <w:sz w:val="20"/>
              </w:rPr>
              <w:t>方案</w:t>
            </w:r>
          </w:p>
        </w:tc>
      </w:tr>
      <w:tr w14:paraId="7FE003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B934C7">
            <w:pPr>
              <w:spacing w:after="0" w:line="278" w:lineRule="auto"/>
            </w:pPr>
            <w:r>
              <w:rPr>
                <w:b w:val="0"/>
                <w:color w:val="000000"/>
                <w:sz w:val="20"/>
              </w:rPr>
              <w:t>首期范围</w:t>
            </w:r>
          </w:p>
        </w:tc>
        <w:tc>
          <w:tcPr>
            <w:tcW w:w="754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75A4F0">
            <w:pPr>
              <w:spacing w:after="0" w:line="278" w:lineRule="auto"/>
            </w:pPr>
            <w:r>
              <w:rPr>
                <w:b w:val="0"/>
                <w:color w:val="000000"/>
                <w:sz w:val="20"/>
              </w:rPr>
              <w:t>1 个建筑遮挡冲突区、1 辆小车、1 个移动行人模型、1—2 路路侧视频</w:t>
            </w:r>
          </w:p>
        </w:tc>
      </w:tr>
      <w:tr w14:paraId="71B57B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2E7406">
            <w:pPr>
              <w:spacing w:after="0" w:line="278" w:lineRule="auto"/>
            </w:pPr>
            <w:r>
              <w:rPr>
                <w:b w:val="0"/>
                <w:color w:val="000000"/>
                <w:sz w:val="20"/>
              </w:rPr>
              <w:t>首期周期</w:t>
            </w:r>
          </w:p>
        </w:tc>
        <w:tc>
          <w:tcPr>
            <w:tcW w:w="7540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3C4503">
            <w:pPr>
              <w:spacing w:after="0" w:line="278" w:lineRule="auto"/>
            </w:pPr>
            <w:r>
              <w:rPr>
                <w:b w:val="0"/>
                <w:color w:val="000000"/>
                <w:sz w:val="20"/>
              </w:rPr>
              <w:t>设备到位后约 8 周，依次开展接口核查、分模块开发、联调与验收</w:t>
            </w:r>
          </w:p>
        </w:tc>
      </w:tr>
      <w:tr w14:paraId="64E626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400670">
            <w:pPr>
              <w:spacing w:after="0" w:line="278" w:lineRule="auto"/>
            </w:pPr>
            <w:r>
              <w:rPr>
                <w:b w:val="0"/>
                <w:color w:val="000000"/>
                <w:sz w:val="20"/>
              </w:rPr>
              <w:t>经费规划</w:t>
            </w:r>
          </w:p>
        </w:tc>
        <w:tc>
          <w:tcPr>
            <w:tcW w:w="754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7B746D">
            <w:pPr>
              <w:spacing w:after="0" w:line="278" w:lineRule="auto"/>
            </w:pPr>
            <w:r>
              <w:rPr>
                <w:b w:val="0"/>
                <w:color w:val="000000"/>
                <w:sz w:val="20"/>
              </w:rPr>
              <w:t>增量设备额度 10,560 元，含 10% 预备费；以复用小车和显示电脑为前提</w:t>
            </w:r>
          </w:p>
        </w:tc>
      </w:tr>
      <w:tr w14:paraId="364EE5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ADE57D">
            <w:pPr>
              <w:spacing w:after="0" w:line="278" w:lineRule="auto"/>
            </w:pPr>
            <w:r>
              <w:rPr>
                <w:b w:val="0"/>
                <w:color w:val="000000"/>
                <w:sz w:val="20"/>
              </w:rPr>
              <w:t>关键证据</w:t>
            </w:r>
          </w:p>
        </w:tc>
        <w:tc>
          <w:tcPr>
            <w:tcW w:w="7540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993D40">
            <w:pPr>
              <w:spacing w:after="0" w:line="278" w:lineRule="auto"/>
            </w:pPr>
            <w:r>
              <w:rPr>
                <w:b w:val="0"/>
                <w:color w:val="000000"/>
                <w:sz w:val="20"/>
              </w:rPr>
              <w:t>车载尚不可见时已收到路侧预警，并在冲突区前完成受控停车</w:t>
            </w:r>
          </w:p>
        </w:tc>
      </w:tr>
      <w:tr w14:paraId="7ED465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874823">
            <w:pPr>
              <w:spacing w:after="0" w:line="278" w:lineRule="auto"/>
            </w:pPr>
            <w:r>
              <w:rPr>
                <w:b w:val="0"/>
                <w:color w:val="000000"/>
                <w:sz w:val="20"/>
              </w:rPr>
              <w:t>主要交付</w:t>
            </w:r>
          </w:p>
        </w:tc>
        <w:tc>
          <w:tcPr>
            <w:tcW w:w="754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708F6B">
            <w:pPr>
              <w:spacing w:after="0" w:line="278" w:lineRule="auto"/>
            </w:pPr>
            <w:r>
              <w:rPr>
                <w:b w:val="0"/>
                <w:color w:val="000000"/>
                <w:sz w:val="20"/>
              </w:rPr>
              <w:t>演示系统、源代码与配置、标定资料、测试数据、操作手册及演示视频</w:t>
            </w:r>
          </w:p>
        </w:tc>
      </w:tr>
    </w:tbl>
    <w:p w14:paraId="6D7977F8">
      <w:pPr>
        <w:spacing w:after="0"/>
      </w:pPr>
    </w:p>
    <w:p w14:paraId="3AD0B643">
      <w:r>
        <w:rPr>
          <w:sz w:val="18"/>
        </w:rPr>
        <w:t>数值口径：周期、预算、阈值和验收指标为项目设计建议，须在设备摸底和标定后冻结；TTC＝2.3 s 为场景说明值，不是既有实测结果。</w:t>
      </w:r>
    </w:p>
    <w:p w14:paraId="2B66C7B7">
      <w:pPr>
        <w:pStyle w:val="4"/>
      </w:pPr>
      <w:r>
        <w:t>阅读索引</w:t>
      </w:r>
    </w:p>
    <w:p w14:paraId="2F0B108A">
      <w:pPr>
        <w:ind w:firstLine="369"/>
      </w:pPr>
      <w:r>
        <w:t>第 2—4 页说明建设依据、场景和架构；第 5—9 页说明感知、风险、控制、通信及展示；第 10—13 页说明设备、演示与验收；第 14—17 页说明进度、经费、运维及成果；第 18—19 页提供接口样例和材料对应关系。</w:t>
      </w:r>
    </w:p>
    <w:p w14:paraId="200B6D42">
      <w:r>
        <w:br w:type="page"/>
      </w:r>
    </w:p>
    <w:p w14:paraId="259A1853">
      <w:pPr>
        <w:pStyle w:val="3"/>
      </w:pPr>
      <w:r>
        <w:t>一  建设依据与项目边界</w:t>
      </w:r>
    </w:p>
    <w:p w14:paraId="347A8918">
      <w:pPr>
        <w:pStyle w:val="4"/>
      </w:pPr>
      <w:r>
        <w:t>1  现有基础与建设必要性</w:t>
      </w:r>
    </w:p>
    <w:p w14:paraId="4580102F">
      <w:pPr>
        <w:ind w:firstLine="369"/>
      </w:pPr>
      <w:r>
        <w:t>组会汇报第 3—10 页提出以“鬼探头”遮挡风险为核心，复用现有建筑密集的沙盘，将路侧感知、边缘 AI、通信、小车响应和大屏展示串联起来。第 4 页强调非视距盲区，第 8—9 页提出设备清单与先原型后真实 V2X 的路径，第 10 页提出三阶段建设安排。[1]</w:t>
      </w:r>
    </w:p>
    <w:p w14:paraId="2D6E37E1">
      <w:pPr>
        <w:ind w:firstLine="369"/>
      </w:pPr>
      <w:r>
        <w:t>本项目选取车辆与横穿目标的空间冲突作为研究与展示对象。评价重点包括提前发现时间、预警传输时效、车辆处置效果和全链路可追溯性。原型完成后，可作为路侧感知算法、车路消息交互和风险评估方法的实验载体。</w:t>
      </w:r>
    </w:p>
    <w:p w14:paraId="706318EC">
      <w:pPr>
        <w:pStyle w:val="4"/>
      </w:pPr>
      <w:r>
        <w:t>2  建设目标</w:t>
      </w:r>
    </w:p>
    <w:p w14:paraId="11EDA0A1">
      <w:pPr>
        <w:ind w:firstLine="369"/>
      </w:pPr>
      <w:r>
        <w:t>感知目标：车辆视线被遮挡时，路侧仍能发现并连续跟踪横穿目标，输出统一坐标下的位置、速度、类别和置信度。协同目标：将风险送达指定车辆，完成消息校验、控制仲裁、减速停车及状态回传。</w:t>
      </w:r>
    </w:p>
    <w:p w14:paraId="295C30DA">
      <w:pPr>
        <w:ind w:firstLine="369"/>
      </w:pPr>
      <w:r>
        <w:t>展示与验证目标：支持单车模式与协同模式对比，记录可见性、预警、制动和停车的关键时间点，用原始视频和日志证明车辆确实获得了额外的预警时间。</w:t>
      </w:r>
    </w:p>
    <w:p w14:paraId="668C2433">
      <w:pPr>
        <w:pStyle w:val="4"/>
      </w:pPr>
      <w:r>
        <w:t>3  首期与后续阶段的范围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3969"/>
        <w:gridCol w:w="3969"/>
      </w:tblGrid>
      <w:tr w14:paraId="308206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1C5CD3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维度</w:t>
            </w:r>
          </w:p>
        </w:tc>
        <w:tc>
          <w:tcPr>
            <w:tcW w:w="3969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83B777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首期交付</w:t>
            </w:r>
          </w:p>
        </w:tc>
        <w:tc>
          <w:tcPr>
            <w:tcW w:w="3969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A9BE97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后续扩展</w:t>
            </w:r>
          </w:p>
        </w:tc>
      </w:tr>
      <w:tr w14:paraId="16492D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279649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运行场地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8BD24A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室内沙盘、固定路线、低速模型车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0D2F7A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独立评估后的封闭园区试验</w:t>
            </w:r>
          </w:p>
        </w:tc>
      </w:tr>
      <w:tr w14:paraId="35DAFC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BFA356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对象与场景</w:t>
            </w:r>
          </w:p>
        </w:tc>
        <w:tc>
          <w:tcPr>
            <w:tcW w:w="396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9E5405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单车、单横穿目标、单冲突区</w:t>
            </w:r>
          </w:p>
        </w:tc>
        <w:tc>
          <w:tcPr>
            <w:tcW w:w="396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EA26FE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多车、多目标、连续路口</w:t>
            </w:r>
          </w:p>
        </w:tc>
      </w:tr>
      <w:tr w14:paraId="76AD92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6D12FD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通信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5531DC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Wi-Fi 上的 MQTT 应用消息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5FF152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RSU＋OBU 配套 C-V2X 接入</w:t>
            </w:r>
          </w:p>
        </w:tc>
      </w:tr>
      <w:tr w14:paraId="40E5B1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55D900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感知融合</w:t>
            </w:r>
          </w:p>
        </w:tc>
        <w:tc>
          <w:tcPr>
            <w:tcW w:w="396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59B48A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路侧目标补充车辆盲区信息</w:t>
            </w:r>
          </w:p>
        </w:tc>
        <w:tc>
          <w:tcPr>
            <w:tcW w:w="396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2D8D84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多摄像头或雷达的目标级融合</w:t>
            </w:r>
          </w:p>
        </w:tc>
      </w:tr>
      <w:tr w14:paraId="5114E3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1ACAEE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展示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AEC079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二维地图与车载视野虚拟目标叠加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D6C373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完整三维场景和交互回放</w:t>
            </w:r>
          </w:p>
        </w:tc>
      </w:tr>
    </w:tbl>
    <w:p w14:paraId="0D2BF98E">
      <w:pPr>
        <w:spacing w:after="0"/>
      </w:pPr>
    </w:p>
    <w:p w14:paraId="0CE4E3E7">
      <w:pPr>
        <w:ind w:firstLine="369"/>
      </w:pPr>
      <w:r>
        <w:t>首期定位为车路协同应用原型，不以真实道路部署认证、车辆功能安全认证或商业运营为交付目标。边缘 AI 承担实时感知与风险计算；大模型可在后续承担事件讲解和报告生成，输出不进入制动控制链路。</w:t>
      </w:r>
    </w:p>
    <w:p w14:paraId="364DF65E">
      <w:r>
        <w:rPr>
          <w:sz w:val="18"/>
        </w:rPr>
        <w:t>术语：RSU 为路侧单元，OBU 为车载单元，V2X 为车与外界的信息交互，MEC 在本项目中指就近处理视频与风险的边缘计算节点。</w:t>
      </w:r>
    </w:p>
    <w:p w14:paraId="150FDDE5">
      <w:r>
        <w:br w:type="page"/>
      </w:r>
    </w:p>
    <w:p w14:paraId="378E32C1">
      <w:pPr>
        <w:pStyle w:val="3"/>
      </w:pPr>
      <w:r>
        <w:t>二  沙盘场景与现场布设</w:t>
      </w:r>
    </w:p>
    <w:p w14:paraId="42C53F9C">
      <w:pPr>
        <w:ind w:firstLine="369"/>
      </w:pPr>
      <w:r>
        <w:t>选择靠近建筑转角、道路边界清晰且可安装路侧摄像头的路段。最终点位由车载镜头高度和视场实测确定，确保路侧能观察目标预备区、横穿路径及车辆接近区。</w:t>
      </w:r>
    </w:p>
    <w:p w14:paraId="52A48E52">
      <w:pPr>
        <w:jc w:val="center"/>
      </w:pPr>
      <w:r>
        <w:drawing>
          <wp:inline distT="0" distB="0" distL="114300" distR="114300">
            <wp:extent cx="4139565" cy="3900170"/>
            <wp:effectExtent l="0" t="0" r="13335" b="5080"/>
            <wp:docPr id="1" name="Picture 1" descr="组会汇报第4页沙盘照片，包含建筑、转角、路口及横道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组会汇报第4页沙盘照片，包含建筑、转角、路口及横道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90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D42B">
      <w:pPr>
        <w:pStyle w:val="15"/>
        <w:jc w:val="center"/>
      </w:pPr>
      <w:r>
        <w:t>图 1  现有沙盘场景基础  来源为组会汇报第 4 页</w:t>
      </w:r>
    </w:p>
    <w:p w14:paraId="214F313E">
      <w:pPr>
        <w:pStyle w:val="4"/>
      </w:pPr>
      <w:r>
        <w:t>1  现场标记与运行路线</w:t>
      </w:r>
    </w:p>
    <w:p w14:paraId="63BE3290">
      <w:pPr>
        <w:ind w:firstLine="369"/>
      </w:pPr>
      <w:r>
        <w:t>在底图中标出车辆起点、路侧首次可观测区、车载首次可见线、停车参考线和冲突区。车辆 A 沿固定路线接近转角，行人模型从建筑侧后方沿导轨横穿。停车参考线设在冲突区入口前，并保留实测停车余量。</w:t>
      </w:r>
    </w:p>
    <w:p w14:paraId="050DFE99">
      <w:pPr>
        <w:pStyle w:val="4"/>
      </w:pPr>
      <w:r>
        <w:t>2  布设要求</w:t>
      </w:r>
    </w:p>
    <w:p w14:paraId="733F9D0B">
      <w:pPr>
        <w:ind w:firstLine="369"/>
      </w:pPr>
      <w:r>
        <w:t>主摄像头斜俯视横穿区域，必要时增设第二路覆盖车辆接近方向；车载摄像头固定在实际车端视点，用原始视频证明遮挡。移动模型的触发与速度须可重复控制，驱动状态仅用于试验调度和真值记录，不作为正式感知预警输入。</w:t>
      </w:r>
    </w:p>
    <w:p w14:paraId="099C0741">
      <w:pPr>
        <w:ind w:firstLine="369"/>
      </w:pPr>
      <w:r>
        <w:t>距离、速度和制动距离按沙盘实测米制记录。展示实景等效距离时另行标注缩尺系数；时间和车辆动力学不随几何缩尺自动等比例换算。</w:t>
      </w:r>
    </w:p>
    <w:p w14:paraId="2EBD77F9">
      <w:r>
        <w:br w:type="page"/>
      </w:r>
    </w:p>
    <w:p w14:paraId="7FCBD64F">
      <w:pPr>
        <w:pStyle w:val="3"/>
      </w:pPr>
      <w:r>
        <w:t>三  系统架构与功能分工</w:t>
      </w:r>
    </w:p>
    <w:p w14:paraId="4C8FF3CE">
      <w:pPr>
        <w:ind w:firstLine="369"/>
      </w:pPr>
      <w:r>
        <w:t>采用本地闭环架构，视频和风险计算在沙盘旁的边缘节点完成。车端保留独立控制与急停逻辑，展示端订阅同一事件流并接收车辆回执。大屏断开时，感知预警与车辆停车仍应正常工作。</w:t>
      </w:r>
    </w:p>
    <w:p w14:paraId="7F73F36F">
      <w:pPr>
        <w:pStyle w:val="15"/>
        <w:jc w:val="center"/>
      </w:pPr>
      <w:r>
        <w:t>表 1  系统模块与输入输出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665"/>
        <w:gridCol w:w="5159"/>
      </w:tblGrid>
      <w:tr w14:paraId="1068F1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B1EA13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模块</w:t>
            </w:r>
          </w:p>
        </w:tc>
        <w:tc>
          <w:tcPr>
            <w:tcW w:w="2665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36D10D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主要输入</w:t>
            </w:r>
          </w:p>
        </w:tc>
        <w:tc>
          <w:tcPr>
            <w:tcW w:w="5159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C55229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处理及输出</w:t>
            </w:r>
          </w:p>
        </w:tc>
      </w:tr>
      <w:tr w14:paraId="6289A7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FB96B9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路侧采集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57F441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路侧视频、采集时间戳</w:t>
            </w:r>
          </w:p>
        </w:tc>
        <w:tc>
          <w:tcPr>
            <w:tcW w:w="515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95FA86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获取盲区目标与车辆画面，标记丢帧和相机状态</w:t>
            </w:r>
          </w:p>
        </w:tc>
      </w:tr>
      <w:tr w14:paraId="5F2501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9945B0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边缘感知</w:t>
            </w:r>
          </w:p>
        </w:tc>
        <w:tc>
          <w:tcPr>
            <w:tcW w:w="266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269CC3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图像、相机参数、标定底图</w:t>
            </w:r>
          </w:p>
        </w:tc>
        <w:tc>
          <w:tcPr>
            <w:tcW w:w="515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00D96D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检测跟踪，生成编号、类别、位置、速度和质量标志</w:t>
            </w:r>
          </w:p>
        </w:tc>
      </w:tr>
      <w:tr w14:paraId="761AD5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042425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风险计算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F424BB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目标轨迹、车辆位姿、冲突区</w:t>
            </w:r>
          </w:p>
        </w:tc>
        <w:tc>
          <w:tcPr>
            <w:tcW w:w="515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9B3915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预测占用区域，输出冲突时间、等级和控制建议</w:t>
            </w:r>
          </w:p>
        </w:tc>
      </w:tr>
      <w:tr w14:paraId="3AB554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0945B3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通信适配</w:t>
            </w:r>
          </w:p>
        </w:tc>
        <w:tc>
          <w:tcPr>
            <w:tcW w:w="266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3A5025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标准化目标与风险事件</w:t>
            </w:r>
          </w:p>
        </w:tc>
        <w:tc>
          <w:tcPr>
            <w:tcW w:w="515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7F3474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首期封装 MQTT，后续映射真实设备接口</w:t>
            </w:r>
          </w:p>
        </w:tc>
      </w:tr>
      <w:tr w14:paraId="30CC01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8CDD96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车端控制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250A8F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风险消息、车速、本地状态</w:t>
            </w:r>
          </w:p>
        </w:tc>
        <w:tc>
          <w:tcPr>
            <w:tcW w:w="515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58DF14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校验并仲裁限速或停车，回传接收与执行状态</w:t>
            </w:r>
          </w:p>
        </w:tc>
      </w:tr>
      <w:tr w14:paraId="4A6DA3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97213D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解释大屏</w:t>
            </w:r>
          </w:p>
        </w:tc>
        <w:tc>
          <w:tcPr>
            <w:tcW w:w="266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48BFFE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视频、目标、风险、车辆回执</w:t>
            </w:r>
          </w:p>
        </w:tc>
        <w:tc>
          <w:tcPr>
            <w:tcW w:w="515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8E46E4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地图与虚拟目标、指标、事件日志和回放</w:t>
            </w:r>
          </w:p>
        </w:tc>
      </w:tr>
      <w:tr w14:paraId="182055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7BB0D3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测试记录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D6E3F9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全链路时间戳与试验配置</w:t>
            </w:r>
          </w:p>
        </w:tc>
        <w:tc>
          <w:tcPr>
            <w:tcW w:w="515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DD8D21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保存证据，统计时延、误报、提前量和停车效果</w:t>
            </w:r>
          </w:p>
        </w:tc>
      </w:tr>
    </w:tbl>
    <w:p w14:paraId="5FBB89BF">
      <w:pPr>
        <w:spacing w:after="0"/>
      </w:pPr>
    </w:p>
    <w:p w14:paraId="59E0BEEC">
      <w:pPr>
        <w:pStyle w:val="4"/>
      </w:pPr>
      <w:r>
        <w:t>1  数据闭环</w:t>
      </w:r>
    </w:p>
    <w:p w14:paraId="7F429950">
      <w:pPr>
        <w:ind w:firstLine="369"/>
      </w:pPr>
      <w:r>
        <w:t>主链为“路侧摄像头 → 边缘感知与风险判断 → 通信适配 → 车辆接收与控制”。车辆位姿和执行回执反向送至边缘节点与大屏。视频独立传输，风险消息只发送必要的结构化字段，减少视频流对预警链路的影响。</w:t>
      </w:r>
    </w:p>
    <w:p w14:paraId="793FBBAE">
      <w:pPr>
        <w:pStyle w:val="4"/>
      </w:pPr>
      <w:r>
        <w:t>2  软件组织</w:t>
      </w:r>
    </w:p>
    <w:p w14:paraId="0D1EDFA9">
      <w:pPr>
        <w:ind w:firstLine="369"/>
      </w:pPr>
      <w:r>
        <w:t>划分采集、检测跟踪、坐标标定、风险引擎、消息网关、车端状态机、可视化及日志回放等模块。权重、相机参数、冲突区、阈值和网络地址集中配置，发布时记录版本。小车采用 ROS 时优先复用既有节点接口；循迹车可通过控制板和串口接入。</w:t>
      </w:r>
    </w:p>
    <w:p w14:paraId="73969146">
      <w:pPr>
        <w:pStyle w:val="4"/>
      </w:pPr>
      <w:r>
        <w:t>3  功能验收前提</w:t>
      </w:r>
    </w:p>
    <w:p w14:paraId="60D328F3">
      <w:pPr>
        <w:ind w:firstLine="369"/>
      </w:pPr>
      <w:r>
        <w:t>每个风险事件都应追溯到图像帧、目标轨迹和车辆回执。系统持续显示通信模式，Wi-Fi 阶段标注“V2X 应用消息原型”；接入真实设备后，再显示实际链路名称与设备状态。</w:t>
      </w:r>
    </w:p>
    <w:p w14:paraId="238E1F68">
      <w:r>
        <w:br w:type="page"/>
      </w:r>
    </w:p>
    <w:p w14:paraId="08E923C7">
      <w:pPr>
        <w:pStyle w:val="3"/>
      </w:pPr>
      <w:r>
        <w:t>四  路侧感知与时空标定</w:t>
      </w:r>
    </w:p>
    <w:p w14:paraId="11BAA0AE">
      <w:pPr>
        <w:pStyle w:val="4"/>
      </w:pPr>
      <w:r>
        <w:t>1  数据采集与模型适配</w:t>
      </w:r>
    </w:p>
    <w:p w14:paraId="1AA2BA54">
      <w:pPr>
        <w:ind w:firstLine="369"/>
      </w:pPr>
      <w:r>
        <w:t>检测对象包括行人模型、非机动车模型和实验小车。先用通用检测模型建立基线，再采集沙盘视角数据适配。微型模型的比例、材质和俯视外观与真实道路数据差异较大，不能直接假定通用 YOLO 权重能够稳定识别。</w:t>
      </w:r>
    </w:p>
    <w:p w14:paraId="23CB06CB">
      <w:pPr>
        <w:ind w:firstLine="369"/>
      </w:pPr>
      <w:r>
        <w:t>建议首轮采集 500—1,000 张有效关键帧，覆盖位置、朝向、遮挡、光照和空场景，标注类别及边界框。按完整视频序列划分训练、验证和测试集，建议比例 70%、15%、15%，避免相邻帧跨集合导致结果偏高。补充漏检目标和建筑、树木等误检样本。</w:t>
      </w:r>
    </w:p>
    <w:p w14:paraId="240C7B87">
      <w:pPr>
        <w:ind w:firstLine="369"/>
      </w:pPr>
      <w:r>
        <w:t>跟踪器将检测结果关联为连续轨迹，利用多帧观测估计速度，保留轨迹年龄、最后观测时间和定位不确定度。编号切换时，风险事件按空间和时间重新关联，避免重复预警。</w:t>
      </w:r>
    </w:p>
    <w:p w14:paraId="7CA99DBD">
      <w:pPr>
        <w:pStyle w:val="4"/>
      </w:pPr>
      <w:r>
        <w:t>2  坐标系统与车辆状态</w:t>
      </w:r>
    </w:p>
    <w:p w14:paraId="00005B27">
      <w:pPr>
        <w:ind w:firstLine="369"/>
      </w:pPr>
      <w:r>
        <w:t>建立沙盘平面坐标系 sandbox_map，单位为米，原点与轴向固定在底图上。测量不少于 6 个均匀分布的地面控制点，估计相机到地面的映射，另用独立检查点验证误差。相机移动、焦距改变或沙盘调整后重新标定。</w:t>
      </w:r>
    </w:p>
    <w:p w14:paraId="2A3A9820">
      <w:pPr>
        <w:ind w:firstLine="369"/>
      </w:pPr>
      <w:r>
        <w:t>平面映射使用足点或底座中心等地面接触点，三维标记定位应修正标记高度。车辆位姿可由路侧视觉标记、里程计或既有定位模块获取，并统一车辆轮廓和前保险杠位置。视觉标记可辅助定位，但若替代外观识别，应在界面标明“标记辅助模式”。</w:t>
      </w:r>
    </w:p>
    <w:p w14:paraId="26226A53">
      <w:pPr>
        <w:pStyle w:val="4"/>
      </w:pPr>
      <w:r>
        <w:t>3  时间同步与质量控制</w:t>
      </w:r>
    </w:p>
    <w:p w14:paraId="11392CE1">
      <w:pPr>
        <w:ind w:firstLine="369"/>
      </w:pPr>
      <w:r>
        <w:t>边缘机、车端和展示电脑使用统一时基，定期记录时钟偏差；控制间隔同时使用单调时钟。按测量时间将目标状态外推至共同计算时刻，并限制外推时长。首期建议同步误差不超过 20 ms，超限时标记统计不可信并降级。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3515"/>
        <w:gridCol w:w="3969"/>
      </w:tblGrid>
      <w:tr w14:paraId="34B64F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5223E1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异常</w:t>
            </w:r>
          </w:p>
        </w:tc>
        <w:tc>
          <w:tcPr>
            <w:tcW w:w="3515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DABE34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感知处理</w:t>
            </w:r>
          </w:p>
        </w:tc>
        <w:tc>
          <w:tcPr>
            <w:tcW w:w="3969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ACCA6D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控制与显示</w:t>
            </w:r>
          </w:p>
        </w:tc>
      </w:tr>
      <w:tr w14:paraId="2A294C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15367B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目标短时丢失</w:t>
            </w:r>
          </w:p>
        </w:tc>
        <w:tc>
          <w:tcPr>
            <w:tcW w:w="351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B239BB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保留短轨迹并增加不确定度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A78F2B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保持高风险保护，不直接判为风险消失</w:t>
            </w:r>
          </w:p>
        </w:tc>
      </w:tr>
      <w:tr w14:paraId="420D80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A78622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相机掉线或冻结</w:t>
            </w:r>
          </w:p>
        </w:tc>
        <w:tc>
          <w:tcPr>
            <w:tcW w:w="351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D8244A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发布失效状态及最后有效时刻</w:t>
            </w:r>
          </w:p>
        </w:tc>
        <w:tc>
          <w:tcPr>
            <w:tcW w:w="396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B914AB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接近盲区时停车，显示感知不可用</w:t>
            </w:r>
          </w:p>
        </w:tc>
      </w:tr>
      <w:tr w14:paraId="5DA94F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F407C1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位置或速度跳变</w:t>
            </w:r>
          </w:p>
        </w:tc>
        <w:tc>
          <w:tcPr>
            <w:tcW w:w="351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92460B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剔除离群量测并降低置信度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478EF1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显示质量不足，限制进入冲突区</w:t>
            </w:r>
          </w:p>
        </w:tc>
      </w:tr>
    </w:tbl>
    <w:p w14:paraId="21EB15A3">
      <w:pPr>
        <w:spacing w:after="0"/>
      </w:pPr>
    </w:p>
    <w:p w14:paraId="3E045614">
      <w:r>
        <w:br w:type="page"/>
      </w:r>
    </w:p>
    <w:p w14:paraId="2821B23E">
      <w:pPr>
        <w:pStyle w:val="3"/>
      </w:pPr>
      <w:r>
        <w:t>五  横穿冲突预测与 TTC 计算</w:t>
      </w:r>
    </w:p>
    <w:p w14:paraId="12832C01">
      <w:pPr>
        <w:pStyle w:val="4"/>
      </w:pPr>
      <w:r>
        <w:t>1  风险定义</w:t>
      </w:r>
    </w:p>
    <w:p w14:paraId="7BE5BE14">
      <w:pPr>
        <w:ind w:firstLine="369"/>
      </w:pPr>
      <w:r>
        <w:t>横穿冲突取决于车辆和行人在未来同一时刻是否占用重叠空间。不能把双方直线距离除以车辆速度直接当作碰撞时间。首期按固定路径预测运动，将目标轮廓按标定误差与安全余量膨胀，搜索未来 5 s 内首次占用重叠时刻。</w:t>
      </w:r>
    </w:p>
    <w:p w14:paraId="479EB830">
      <w:pPr>
        <w:jc w:val="center"/>
      </w:pPr>
      <m:oMathPara>
        <m:oMath>
          <m:r>
            <m:rPr/>
            <m:t>TTC = min { t ≥ 0 | Bv(t) ∩ Bp(t) ≠ ∅ }</m:t>
          </m:r>
        </m:oMath>
      </m:oMathPara>
    </w:p>
    <w:p w14:paraId="7EE84D4E">
      <w:pPr>
        <w:ind w:firstLine="369"/>
      </w:pPr>
      <w:r>
        <w:t>Bv(t) 与 Bp(t) 分别表示车辆和目标在 t 时刻的预测占用区域。无重叠时返回空值并显示“当前未预测到冲突”；轨迹不足时显示“无法可靠估计”。计算步长建议 0.05 s，输出精度不能超出定位和时间误差所支持的范围。</w:t>
      </w:r>
    </w:p>
    <w:p w14:paraId="4571BADE">
      <w:pPr>
        <w:pStyle w:val="4"/>
      </w:pPr>
      <w:r>
        <w:t>2  冲突区时间窗与说明样例</w:t>
      </w:r>
    </w:p>
    <w:p w14:paraId="290D13AD">
      <w:pPr>
        <w:ind w:firstLine="369"/>
      </w:pPr>
      <w:r>
        <w:t>固定路线先用冲突区占用时间窗筛选：计算车辆进入及离开时间 [tv_in, tv_out]，以及行人占用时间 [tp_in, tp_out]。时间窗重叠后再检查空间占用。若采用保守的冲突区预约模型，界面应将其标记为“预计冲突时间”。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268"/>
        <w:gridCol w:w="4479"/>
      </w:tblGrid>
      <w:tr w14:paraId="404E62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1BD367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示例量</w:t>
            </w:r>
          </w:p>
        </w:tc>
        <w:tc>
          <w:tcPr>
            <w:tcW w:w="2268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0B9B7A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设定值</w:t>
            </w:r>
          </w:p>
        </w:tc>
        <w:tc>
          <w:tcPr>
            <w:tcW w:w="4479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7729AC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解释</w:t>
            </w:r>
          </w:p>
        </w:tc>
      </w:tr>
      <w:tr w14:paraId="0A016F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9D4596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车辆前缘到冲突区入口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35D997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0.69 m</w:t>
            </w:r>
          </w:p>
        </w:tc>
        <w:tc>
          <w:tcPr>
            <w:tcW w:w="447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4D19B1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沿实际行驶路径测量</w:t>
            </w:r>
          </w:p>
        </w:tc>
      </w:tr>
      <w:tr w14:paraId="4CFC26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E1A7AB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车辆速度</w:t>
            </w:r>
          </w:p>
        </w:tc>
        <w:tc>
          <w:tcPr>
            <w:tcW w:w="226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EF889D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0.30 m/s</w:t>
            </w:r>
          </w:p>
        </w:tc>
        <w:tc>
          <w:tcPr>
            <w:tcW w:w="447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804647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低速演示设定</w:t>
            </w:r>
          </w:p>
        </w:tc>
      </w:tr>
      <w:tr w14:paraId="47DED2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4D1274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车辆进入时间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007E0E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2.30 s</w:t>
            </w:r>
          </w:p>
        </w:tc>
        <w:tc>
          <w:tcPr>
            <w:tcW w:w="447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8843F4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0.69 ÷ 0.30</w:t>
            </w:r>
          </w:p>
        </w:tc>
      </w:tr>
      <w:tr w14:paraId="4A654A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28A1D4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车辆占用时间窗</w:t>
            </w:r>
          </w:p>
        </w:tc>
        <w:tc>
          <w:tcPr>
            <w:tcW w:w="226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CCADB5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[2.30, 3.20] s</w:t>
            </w:r>
          </w:p>
        </w:tc>
        <w:tc>
          <w:tcPr>
            <w:tcW w:w="447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721BE8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包含车长和冲突区通过距离</w:t>
            </w:r>
          </w:p>
        </w:tc>
      </w:tr>
      <w:tr w14:paraId="3F1F67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AB1F56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行人占用时间窗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E07DDC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[1.80, 2.80] s</w:t>
            </w:r>
          </w:p>
        </w:tc>
        <w:tc>
          <w:tcPr>
            <w:tcW w:w="447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F33608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按横穿路径、尺寸和速度估计</w:t>
            </w:r>
          </w:p>
        </w:tc>
      </w:tr>
      <w:tr w14:paraId="4EC9E4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DF1A31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时间窗重叠</w:t>
            </w:r>
          </w:p>
        </w:tc>
        <w:tc>
          <w:tcPr>
            <w:tcW w:w="226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0F3525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[2.30, 2.80] s</w:t>
            </w:r>
          </w:p>
        </w:tc>
        <w:tc>
          <w:tcPr>
            <w:tcW w:w="447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53A44E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若轮廓从 2.30 s 起重叠，则 TTC＝2.3 s</w:t>
            </w:r>
          </w:p>
        </w:tc>
      </w:tr>
    </w:tbl>
    <w:p w14:paraId="59D80504">
      <w:pPr>
        <w:spacing w:after="0"/>
      </w:pPr>
    </w:p>
    <w:p w14:paraId="1EEAA361">
      <w:r>
        <w:rPr>
          <w:sz w:val="18"/>
        </w:rPr>
        <w:t>算例解释 PPT 第 6—7 页的 2.3 s。实际演示须由量测动态计算；仅有时间窗重叠、尚未校验空间重叠时，不宣称已得到精确碰撞时间。</w:t>
      </w:r>
    </w:p>
    <w:p w14:paraId="089D4A4A">
      <w:pPr>
        <w:pStyle w:val="4"/>
      </w:pPr>
      <w:r>
        <w:t>3  风险输出</w:t>
      </w:r>
    </w:p>
    <w:p w14:paraId="46933F35">
      <w:pPr>
        <w:ind w:firstLine="369"/>
      </w:pPr>
      <w:r>
        <w:t>同时输出 TTC、冲突区编号、对象置信度、数据年龄、有效期和建议动作。轨迹不确定但目标已进入近端横穿区时，以停车保护优先，不能因为 TTC 无法计算而继续通行。首期采用确定性规则，阈值在验收前冻结。</w:t>
      </w:r>
    </w:p>
    <w:p w14:paraId="5A295063">
      <w:r>
        <w:br w:type="page"/>
      </w:r>
    </w:p>
    <w:p w14:paraId="74869770">
      <w:pPr>
        <w:pStyle w:val="3"/>
      </w:pPr>
      <w:r>
        <w:t>六  风险分级与车辆安全控制</w:t>
      </w:r>
    </w:p>
    <w:p w14:paraId="5851117C">
      <w:pPr>
        <w:pStyle w:val="15"/>
        <w:jc w:val="center"/>
      </w:pPr>
      <w:r>
        <w:t>表 2  首期建议风险规则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4932"/>
        <w:gridCol w:w="3005"/>
      </w:tblGrid>
      <w:tr w14:paraId="639350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BE648E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等级</w:t>
            </w:r>
          </w:p>
        </w:tc>
        <w:tc>
          <w:tcPr>
            <w:tcW w:w="4932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723C28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触发条件</w:t>
            </w:r>
          </w:p>
        </w:tc>
        <w:tc>
          <w:tcPr>
            <w:tcW w:w="3005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4BE1B0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车辆动作</w:t>
            </w:r>
          </w:p>
        </w:tc>
      </w:tr>
      <w:tr w14:paraId="75FB7C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35F58B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正常</w:t>
            </w:r>
          </w:p>
        </w:tc>
        <w:tc>
          <w:tcPr>
            <w:tcW w:w="493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4F20F1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未来 5 s 无预测冲突，感知与通信有效</w:t>
            </w:r>
          </w:p>
        </w:tc>
        <w:tc>
          <w:tcPr>
            <w:tcW w:w="300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97CB97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按标定巡航速度行驶</w:t>
            </w:r>
          </w:p>
        </w:tc>
      </w:tr>
      <w:tr w14:paraId="7D4CCE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A89A2F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关注</w:t>
            </w:r>
          </w:p>
        </w:tc>
        <w:tc>
          <w:tcPr>
            <w:tcW w:w="493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670553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存在预测冲突且 3 s＜TTC≤5 s</w:t>
            </w:r>
          </w:p>
        </w:tc>
        <w:tc>
          <w:tcPr>
            <w:tcW w:w="300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82A262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限制车速并持续跟踪</w:t>
            </w:r>
          </w:p>
        </w:tc>
      </w:tr>
      <w:tr w14:paraId="5A6CFB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4A721F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高风险</w:t>
            </w:r>
          </w:p>
        </w:tc>
        <w:tc>
          <w:tcPr>
            <w:tcW w:w="493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A40301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预测冲突且 0＜TTC≤3 s，或制动余量不足</w:t>
            </w:r>
          </w:p>
        </w:tc>
        <w:tc>
          <w:tcPr>
            <w:tcW w:w="300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227211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立即启动受控停车</w:t>
            </w:r>
          </w:p>
        </w:tc>
      </w:tr>
      <w:tr w14:paraId="1E4306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AF5CF5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保护停车</w:t>
            </w:r>
          </w:p>
        </w:tc>
        <w:tc>
          <w:tcPr>
            <w:tcW w:w="493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393AB9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目标已占据近端冲突区、关键状态失效或急停</w:t>
            </w:r>
          </w:p>
        </w:tc>
        <w:tc>
          <w:tcPr>
            <w:tcW w:w="300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12FC13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按本地安全策略停车并保持</w:t>
            </w:r>
          </w:p>
        </w:tc>
      </w:tr>
    </w:tbl>
    <w:p w14:paraId="38C945FE">
      <w:pPr>
        <w:spacing w:after="0"/>
      </w:pPr>
    </w:p>
    <w:p w14:paraId="70B789D2">
      <w:r>
        <w:rPr>
          <w:sz w:val="18"/>
        </w:rPr>
        <w:t>3 s 与 5 s 为沙盘调参起点，按道路长度、最高速度、制动能力和通信尾延迟修订，不直接套用于真实道路。</w:t>
      </w:r>
    </w:p>
    <w:p w14:paraId="4371A729">
      <w:pPr>
        <w:pStyle w:val="4"/>
      </w:pPr>
      <w:r>
        <w:t>1  制动距离约束</w:t>
      </w:r>
    </w:p>
    <w:p w14:paraId="0CFF9F8F">
      <w:pPr>
        <w:ind w:firstLine="369"/>
      </w:pPr>
      <w:r>
        <w:t>先测量车辆在不同电量、载荷和路面状态下的制动距离，取保守可重复的减速度。距冲突区的可用距离应覆盖感知通信与执行迟滞、制动距离及安全余量，再据此确定巡航速度。</w:t>
      </w:r>
    </w:p>
    <w:p w14:paraId="166C04C5">
      <w:pPr>
        <w:jc w:val="center"/>
      </w:pPr>
      <m:oMathPara>
        <m:oMath>
          <m:r>
            <m:rPr/>
            <m:t>d_stop = v · τ + v² / (2a_min) + d_margin</m:t>
          </m:r>
        </m:oMath>
      </m:oMathPara>
    </w:p>
    <w:p w14:paraId="7E57E28C">
      <w:pPr>
        <w:ind w:firstLine="369"/>
      </w:pPr>
      <w:r>
        <w:t>τ 为量测到制动开始的保守总时延，a_min 为实测保守减速度。示例取 v＝0.30 m/s、τ＝0.30 s、a_min＝0.50 m/s²、d_margin＝0.10 m，所需停车距离为 0.28 m。该值只说明正常链路的计算方法。失联保护须将看门狗超时与执行迟滞计入 τ，再校核停车距离，并取两类工况中更严格的速度与余量。</w:t>
      </w:r>
    </w:p>
    <w:p w14:paraId="149B3D5B">
      <w:pPr>
        <w:pStyle w:val="4"/>
      </w:pPr>
      <w:r>
        <w:t>2  车端状态机与仲裁</w:t>
      </w:r>
    </w:p>
    <w:p w14:paraId="6A01D81C">
      <w:pPr>
        <w:ind w:firstLine="369"/>
      </w:pPr>
      <w:r>
        <w:t>车端状态包括初始化、就绪、巡航、限速、停车保持、恢复确认和故障。初始化检查网络、定位、摄像头及急停。高风险可直接进入停车；通信确认仅说明消息到达，只有速度反馈满足停车条件才标记“已停车”。</w:t>
      </w:r>
    </w:p>
    <w:p w14:paraId="5AE8F6CD">
      <w:pPr>
        <w:ind w:firstLine="369"/>
      </w:pPr>
      <w:r>
        <w:t>优先级为物理急停、本地安全停车、协同停车、路线巡航。首期只使用减速和停车，不通过自动转向绕开行人。车端设独立看门狗和速度上限，远端指令不能覆盖急停。建议速度低于 0.02 m/s 且持续 0.5 s 作为停车确认起点，结合编码器精度标定。</w:t>
      </w:r>
    </w:p>
    <w:p w14:paraId="2E10DAD6">
      <w:pPr>
        <w:pStyle w:val="4"/>
      </w:pPr>
      <w:r>
        <w:t>3  风险解除与恢复</w:t>
      </w:r>
    </w:p>
    <w:p w14:paraId="45BF0863">
      <w:pPr>
        <w:ind w:firstLine="369"/>
      </w:pPr>
      <w:r>
        <w:t>风险降级采用滞回以避免边界抖动。建议目标离开冲突区且连续 1 s 无冲突、链路有效后提示可恢复；首期由操作员确认，再平滑加速。消息过期表示信息失效，不能当作道路安全；无有效更新时保持或进入保护停车。</w:t>
      </w:r>
    </w:p>
    <w:p w14:paraId="2FF86EF1">
      <w:r>
        <w:br w:type="page"/>
      </w:r>
    </w:p>
    <w:p w14:paraId="284393CC">
      <w:pPr>
        <w:pStyle w:val="3"/>
      </w:pPr>
      <w:r>
        <w:t>七  通信机制与真实 V2X 接入</w:t>
      </w:r>
    </w:p>
    <w:p w14:paraId="3F410A47">
      <w:pPr>
        <w:pStyle w:val="4"/>
      </w:pPr>
      <w:r>
        <w:t>1  首期 Wi-Fi 与 MQTT 原型</w:t>
      </w:r>
    </w:p>
    <w:p w14:paraId="3C549627">
      <w:pPr>
        <w:ind w:firstLine="369"/>
      </w:pPr>
      <w:r>
        <w:t>在局域网内部署 MQTT Broker，边缘节点发布目标和风险，小车订阅相关风险并回传状态。视频独立传输。MQTT 的 QoS、保留消息和消息过期机制不能替代应用层时效校验与车辆安全控制。[2]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5556"/>
      </w:tblGrid>
      <w:tr w14:paraId="6F0D4C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5FCFAC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消息类别</w:t>
            </w:r>
          </w:p>
        </w:tc>
        <w:tc>
          <w:tcPr>
            <w:tcW w:w="1984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1E180E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建议频率</w:t>
            </w:r>
          </w:p>
        </w:tc>
        <w:tc>
          <w:tcPr>
            <w:tcW w:w="5556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7351C6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关键规则</w:t>
            </w:r>
          </w:p>
        </w:tc>
      </w:tr>
      <w:tr w14:paraId="5B27C7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8419E6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目标列表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DD789D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10 Hz</w:t>
            </w:r>
          </w:p>
        </w:tc>
        <w:tc>
          <w:tcPr>
            <w:tcW w:w="555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A7A28F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最新快照更新，携带观测时间、位置、速度及质量</w:t>
            </w:r>
          </w:p>
        </w:tc>
      </w:tr>
      <w:tr w14:paraId="12A746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84741D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风险事件</w:t>
            </w:r>
          </w:p>
        </w:tc>
        <w:tc>
          <w:tcPr>
            <w:tcW w:w="198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891DDE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10 Hz＋变化立即发</w:t>
            </w:r>
          </w:p>
        </w:tc>
        <w:tc>
          <w:tcPr>
            <w:tcW w:w="5556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078E34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QoS 1，不保留旧风险，按事件和序号去重</w:t>
            </w:r>
          </w:p>
        </w:tc>
      </w:tr>
      <w:tr w14:paraId="78A27B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67E093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车辆状态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1C4E4B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10 Hz</w:t>
            </w:r>
          </w:p>
        </w:tc>
        <w:tc>
          <w:tcPr>
            <w:tcW w:w="555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26B8A6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回传位置、速度、控制状态和最近事件编号</w:t>
            </w:r>
          </w:p>
        </w:tc>
      </w:tr>
      <w:tr w14:paraId="1D34E6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7C1C81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执行回执</w:t>
            </w:r>
          </w:p>
        </w:tc>
        <w:tc>
          <w:tcPr>
            <w:tcW w:w="198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3FE637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变化立即发</w:t>
            </w:r>
          </w:p>
        </w:tc>
        <w:tc>
          <w:tcPr>
            <w:tcW w:w="5556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F75B43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区分 received、braking、stopped、released</w:t>
            </w:r>
          </w:p>
        </w:tc>
      </w:tr>
      <w:tr w14:paraId="5AEEED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CB8CBA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应用心跳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27B505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10 Hz</w:t>
            </w:r>
          </w:p>
        </w:tc>
        <w:tc>
          <w:tcPr>
            <w:tcW w:w="555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B31E22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监测最后有效业务更新，不仅判断网络连接</w:t>
            </w:r>
          </w:p>
        </w:tc>
      </w:tr>
    </w:tbl>
    <w:p w14:paraId="5F09CD62">
      <w:pPr>
        <w:spacing w:after="0"/>
      </w:pPr>
    </w:p>
    <w:p w14:paraId="23E67886">
      <w:pPr>
        <w:ind w:firstLine="369"/>
      </w:pPr>
      <w:r>
        <w:t>风险有效期建议 500 ms。接收端校验版本、发送方、车辆关联、事件编号、序号和测量时间，拒绝过期、重复、乱序及坐标系错误的指令。QoS 1 可能重复交付，因此停车动作须幂等；MQTT 5 消息过期可辅助清理，但亚秒级期限仍由应用字段执行。[2]</w:t>
      </w:r>
    </w:p>
    <w:p w14:paraId="499B78A9">
      <w:pPr>
        <w:ind w:firstLine="369"/>
      </w:pPr>
      <w:r>
        <w:t>超过 500 ms 无有效业务更新即触发通信失效处理。重连时获取最新状态，不执行缓存的恢复指令。采用专用账号、主题权限及设备白名单，禁止未认证终端发布车辆控制消息。</w:t>
      </w:r>
    </w:p>
    <w:p w14:paraId="351746A7">
      <w:pPr>
        <w:pStyle w:val="4"/>
      </w:pPr>
      <w:r>
        <w:t>2  第二阶段接入条件</w:t>
      </w:r>
    </w:p>
    <w:p w14:paraId="6F3C1310">
      <w:pPr>
        <w:ind w:firstLine="369"/>
      </w:pPr>
      <w:r>
        <w:t>真实链路需贯通边缘机与 RSU、RSU 与 OBU、OBU 与车辆控制器。采购成对验证空口模式、频段、固件、SDK、消息集、坐标和时间编码。仅接入 RSU 不等于完成真实 V2X；室内车辆定位及经纬度映射也须适配。</w:t>
      </w:r>
    </w:p>
    <w:p w14:paraId="2FAC6F77">
      <w:pPr>
        <w:ind w:firstLine="369"/>
      </w:pPr>
      <w:r>
        <w:t>参考协同感知共享目标运动状态和感知信息的思想，但首期自定义 JSON 不声明符合正式车联网消息标准。[3] 第二阶段按选定设备及项目适用标准完成字段映射、编解码和实机测试，独立报告真实链路时延、丢包与恢复性能。</w:t>
      </w:r>
    </w:p>
    <w:p w14:paraId="1E6875F0">
      <w:pPr>
        <w:pStyle w:val="4"/>
      </w:pPr>
      <w:r>
        <w:t>3  模块内通信</w:t>
      </w:r>
    </w:p>
    <w:p w14:paraId="2486B1C1">
      <w:pPr>
        <w:ind w:firstLine="369"/>
      </w:pPr>
      <w:r>
        <w:t>既有 ROS 平台按业务设置队列长度和消息时效，目标流优先保持最新状态，控制指令避免长队列积压。采集线程、推理线程和发布线程独立监测心跳，任何环节停止更新均应反映到系统质量状态。</w:t>
      </w:r>
    </w:p>
    <w:p w14:paraId="0A6E5B31">
      <w:r>
        <w:br w:type="page"/>
      </w:r>
    </w:p>
    <w:p w14:paraId="51082C77">
      <w:pPr>
        <w:pStyle w:val="3"/>
      </w:pPr>
      <w:r>
        <w:t>八  大屏展示与虚拟行人叠加</w:t>
      </w:r>
    </w:p>
    <w:p w14:paraId="786FE9F8">
      <w:pPr>
        <w:ind w:firstLine="369"/>
      </w:pPr>
      <w:r>
        <w:t>沿用 PPT 第 7 页四个核心区，以同一事件编号串起路侧发现、风险判断、预警送达和车辆处置。展示应回答目标在哪里、车辆为什么提前停车、消息是否送达，以及停车是否真实完成。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572"/>
      </w:tblGrid>
      <w:tr w14:paraId="24CA1C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967A57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区域</w:t>
            </w:r>
          </w:p>
        </w:tc>
        <w:tc>
          <w:tcPr>
            <w:tcW w:w="3969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E2C925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必备内容</w:t>
            </w:r>
          </w:p>
        </w:tc>
        <w:tc>
          <w:tcPr>
            <w:tcW w:w="3572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A82689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交互与说明</w:t>
            </w:r>
          </w:p>
        </w:tc>
      </w:tr>
      <w:tr w14:paraId="1000D8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A7A4F7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实景视频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5128B4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路侧画面、车载原始视野、检测框与轨迹</w:t>
            </w:r>
          </w:p>
        </w:tc>
        <w:tc>
          <w:tcPr>
            <w:tcW w:w="35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444121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两路对时，支持冻结对比首次发现时刻</w:t>
            </w:r>
          </w:p>
        </w:tc>
      </w:tr>
      <w:tr w14:paraId="16C1D0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7C148E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风险目标叠加</w:t>
            </w:r>
          </w:p>
        </w:tc>
        <w:tc>
          <w:tcPr>
            <w:tcW w:w="396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4CD872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车辆、行人、建筑、冲突区与预测路径</w:t>
            </w:r>
          </w:p>
        </w:tc>
        <w:tc>
          <w:tcPr>
            <w:tcW w:w="357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5EAF8E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区分路侧实测与预测，显示来源和数据年龄</w:t>
            </w:r>
          </w:p>
        </w:tc>
      </w:tr>
      <w:tr w14:paraId="688631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11612F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风险指标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45A38B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TTC、距离、速度、风险等级及链路时延</w:t>
            </w:r>
          </w:p>
        </w:tc>
        <w:tc>
          <w:tcPr>
            <w:tcW w:w="35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0ECC84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无法估计时显示原因，不继续显示旧 TTC</w:t>
            </w:r>
          </w:p>
        </w:tc>
      </w:tr>
      <w:tr w14:paraId="0B0B35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83BFB4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车辆响应</w:t>
            </w:r>
          </w:p>
        </w:tc>
        <w:tc>
          <w:tcPr>
            <w:tcW w:w="396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DA29B0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已发送、已接收、已制动、已停车、可恢复</w:t>
            </w:r>
          </w:p>
        </w:tc>
        <w:tc>
          <w:tcPr>
            <w:tcW w:w="357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86C60E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回执及速度反馈驱动，保留事件时间线</w:t>
            </w:r>
          </w:p>
        </w:tc>
      </w:tr>
    </w:tbl>
    <w:p w14:paraId="055D1607">
      <w:pPr>
        <w:spacing w:after="0"/>
      </w:pPr>
    </w:p>
    <w:p w14:paraId="22D11D7D">
      <w:pPr>
        <w:pStyle w:val="4"/>
      </w:pPr>
      <w:r>
        <w:t>1  虚拟行人的实现路径</w:t>
      </w:r>
    </w:p>
    <w:p w14:paraId="7DD03E03">
      <w:pPr>
        <w:ind w:firstLine="369"/>
      </w:pPr>
      <w:r>
        <w:t>基础视图在沙盘二维地图上叠加行人图标和不确定度范围。增强视图将路侧坐标转换到车辆坐标，再利用车载相机内外参投影到视频，用半透明轮廓或虚线标记表示“路侧感知目标”。遮挡状态下保留“建筑后方”标签。</w:t>
      </w:r>
    </w:p>
    <w:p w14:paraId="2B9A2CCB">
      <w:pPr>
        <w:ind w:firstLine="369"/>
      </w:pPr>
      <w:r>
        <w:t>原始视频与叠加视频保留独立视图，避免把合成目标当作车载检测。目标位于画面外时使用方向提示；定位误差较大或标定失效时退回地图展示。数据过期后目标置灰并显示时效告警，不凭大模型补画目标或伪造轨迹。</w:t>
      </w:r>
    </w:p>
    <w:p w14:paraId="1623C353">
      <w:pPr>
        <w:pStyle w:val="4"/>
      </w:pPr>
      <w:r>
        <w:t>2  提示语与证据展示</w:t>
      </w:r>
    </w:p>
    <w:p w14:paraId="6C906DDF">
      <w:pPr>
        <w:ind w:firstLine="369"/>
      </w:pPr>
      <w:r>
        <w:t>提示示例：“右前方建筑盲区存在横穿行人，预计冲突时间 2.3 s，已发送高风险预警，车辆正在减速。”车端回执到达后再显示“已接收”，速度反馈满足停车条件后显示“已停车”。</w:t>
      </w:r>
    </w:p>
    <w:p w14:paraId="3FBC26C5">
      <w:pPr>
        <w:ind w:firstLine="369"/>
      </w:pPr>
      <w:r>
        <w:t>提供实时演示、对比回放和设备状态入口。回放显示路侧发现、车载首次可见、预警到达、制动及停车时刻，并明确标记“历史回放”。回放与实时控制隔离，不允许历史消息触发实车。</w:t>
      </w:r>
    </w:p>
    <w:p w14:paraId="68F3ADF7">
      <w:pPr>
        <w:pStyle w:val="4"/>
      </w:pPr>
      <w:r>
        <w:t>3  可选的大模型解释</w:t>
      </w:r>
    </w:p>
    <w:p w14:paraId="149ED15C">
      <w:pPr>
        <w:ind w:firstLine="369"/>
      </w:pPr>
      <w:r>
        <w:t>后续可将确认过的结构化事件转换为讲解或试验摘要，讲解失败时回退模板文本。大模型不直接判定制动时机、生成目标坐标或修改控制参数。首期使用模板提示即可完成演示目标。</w:t>
      </w:r>
    </w:p>
    <w:p w14:paraId="158CABB9">
      <w:r>
        <w:br w:type="page"/>
      </w:r>
    </w:p>
    <w:p w14:paraId="32A1D1B7">
      <w:pPr>
        <w:pStyle w:val="3"/>
      </w:pPr>
      <w:r>
        <w:t>九  设备配置与采购核查</w:t>
      </w:r>
    </w:p>
    <w:p w14:paraId="64166ABB">
      <w:pPr>
        <w:ind w:firstLine="369"/>
      </w:pPr>
      <w:r>
        <w:t>优先复用沙盘、小车、显示大屏和电脑。下表覆盖 PPT 第 8—9 页设备清单，并补充急停。采购前先完成接口、尺寸与供电核查；示意设备图片不作为现有资产清单。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850"/>
        <w:gridCol w:w="6066"/>
      </w:tblGrid>
      <w:tr w14:paraId="3E5034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4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4262AC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8"/>
              </w:rPr>
              <w:t>设备</w:t>
            </w:r>
          </w:p>
        </w:tc>
        <w:tc>
          <w:tcPr>
            <w:tcW w:w="850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7F63F0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8"/>
              </w:rPr>
              <w:t>数量</w:t>
            </w:r>
          </w:p>
        </w:tc>
        <w:tc>
          <w:tcPr>
            <w:tcW w:w="6066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C03C1C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8"/>
              </w:rPr>
              <w:t>选择与验收要点</w:t>
            </w:r>
          </w:p>
        </w:tc>
      </w:tr>
      <w:tr w14:paraId="3D8303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86A85D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路侧网络摄像头</w:t>
            </w:r>
          </w:p>
        </w:tc>
        <w:tc>
          <w:tcPr>
            <w:tcW w:w="85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8E924E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1—2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A6D362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建议 1080p、可调曝光、稳定取流，关键目标像素尺寸足够</w:t>
            </w:r>
          </w:p>
        </w:tc>
      </w:tr>
      <w:tr w14:paraId="51BE80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0596A4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边缘计算节点</w:t>
            </w:r>
          </w:p>
        </w:tc>
        <w:tc>
          <w:tcPr>
            <w:tcW w:w="850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468EC2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w="6066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163AE2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先试现有主机，可选 Jetson Orin Nano Super 或适配主机；以实测帧率验收</w:t>
            </w:r>
          </w:p>
        </w:tc>
      </w:tr>
      <w:tr w14:paraId="2C1C1A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2310D0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无线路由器</w:t>
            </w:r>
          </w:p>
        </w:tc>
        <w:tc>
          <w:tcPr>
            <w:tcW w:w="85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F658AC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8DFA9B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专用局域网、覆盖稳定，支持固定地址或地址预留</w:t>
            </w:r>
          </w:p>
        </w:tc>
      </w:tr>
      <w:tr w14:paraId="31D15B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B4FD7E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车载控制板</w:t>
            </w:r>
          </w:p>
        </w:tc>
        <w:tc>
          <w:tcPr>
            <w:tcW w:w="850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B80753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w="6066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A5F800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能接收风险并控制速度，提供串口或既有控制接口</w:t>
            </w:r>
          </w:p>
        </w:tc>
      </w:tr>
      <w:tr w14:paraId="055B8F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7B7547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车载摄像头</w:t>
            </w:r>
          </w:p>
        </w:tc>
        <w:tc>
          <w:tcPr>
            <w:tcW w:w="85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F332DC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965768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位于实际车端视点，可与路侧对时，用于遮挡证据</w:t>
            </w:r>
          </w:p>
        </w:tc>
      </w:tr>
      <w:tr w14:paraId="2EFA19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9BEAAD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行人或非机动车模型</w:t>
            </w:r>
          </w:p>
        </w:tc>
        <w:tc>
          <w:tcPr>
            <w:tcW w:w="850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0A1A9B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 套</w:t>
            </w:r>
          </w:p>
        </w:tc>
        <w:tc>
          <w:tcPr>
            <w:tcW w:w="6066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6FEC5D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含可重复移动装置、速度设置、起点复位和停止功能</w:t>
            </w:r>
          </w:p>
        </w:tc>
      </w:tr>
      <w:tr w14:paraId="318275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B4CF6D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PoE 交换机</w:t>
            </w:r>
          </w:p>
        </w:tc>
        <w:tc>
          <w:tcPr>
            <w:tcW w:w="85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B8BDA7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B5C38C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PoE 网络相机使用，核实标准、端口数及总供电功率</w:t>
            </w:r>
          </w:p>
        </w:tc>
      </w:tr>
      <w:tr w14:paraId="6E64B2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EC16A2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显示电脑与大屏</w:t>
            </w:r>
          </w:p>
        </w:tc>
        <w:tc>
          <w:tcPr>
            <w:tcW w:w="850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B454DB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各 1</w:t>
            </w:r>
          </w:p>
        </w:tc>
        <w:tc>
          <w:tcPr>
            <w:tcW w:w="6066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178697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优先复用，检查解码能力及现有平台接入方式</w:t>
            </w:r>
          </w:p>
        </w:tc>
      </w:tr>
      <w:tr w14:paraId="6F5E96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B8D805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摄像杆与支架</w:t>
            </w:r>
          </w:p>
        </w:tc>
        <w:tc>
          <w:tcPr>
            <w:tcW w:w="85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2B0BB2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1—2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6508C4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固定可靠，记录安装高度和俯仰角</w:t>
            </w:r>
          </w:p>
        </w:tc>
      </w:tr>
      <w:tr w14:paraId="4632D5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FFB05D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线材与转换器</w:t>
            </w:r>
          </w:p>
        </w:tc>
        <w:tc>
          <w:tcPr>
            <w:tcW w:w="850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C09E7D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若干</w:t>
            </w:r>
          </w:p>
        </w:tc>
        <w:tc>
          <w:tcPr>
            <w:tcW w:w="6066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3AD1BE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网线、电源、串口转换器及备用连接件</w:t>
            </w:r>
          </w:p>
        </w:tc>
      </w:tr>
      <w:tr w14:paraId="55C951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D9141D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急停与隔离部件</w:t>
            </w:r>
          </w:p>
        </w:tc>
        <w:tc>
          <w:tcPr>
            <w:tcW w:w="85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FF87F4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 套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629037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物理按钮或独立停止链路，可直接禁止驱动输出</w:t>
            </w:r>
          </w:p>
        </w:tc>
      </w:tr>
      <w:tr w14:paraId="047FC8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E02B08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实验小车</w:t>
            </w:r>
          </w:p>
        </w:tc>
        <w:tc>
          <w:tcPr>
            <w:tcW w:w="850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F45D51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w="6066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818B71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优先复用；无速度控制和反馈接口时再增配底盘</w:t>
            </w:r>
          </w:p>
        </w:tc>
      </w:tr>
    </w:tbl>
    <w:p w14:paraId="16EAFFFB">
      <w:pPr>
        <w:spacing w:after="0"/>
      </w:pPr>
    </w:p>
    <w:p w14:paraId="0DD9823B">
      <w:pPr>
        <w:pStyle w:val="4"/>
      </w:pPr>
      <w:r>
        <w:t>到货与接入检查</w:t>
      </w:r>
    </w:p>
    <w:p w14:paraId="7B99CDC9">
      <w:pPr>
        <w:ind w:firstLine="369"/>
      </w:pPr>
      <w:r>
        <w:t>摄像头在拟安装位置采集样片；边缘设备运行实际模型，测量持续帧率、温度与稳定性；小车确认最低稳定速度、转弯能力、制动方式和反馈接口。Jetson 具体套件、电源、散热及存储需逐项核对，不能只比较芯片型号。[4]</w:t>
      </w:r>
    </w:p>
    <w:p w14:paraId="1AAED2B6">
      <w:pPr>
        <w:ind w:firstLine="369"/>
      </w:pPr>
      <w:r>
        <w:t>RSU、OBU 和配套许可列入第二阶段单独询价。供应商须提供可运行示例、接口文档、联调支持与兼容性说明，优先借测或完成联合演示后再采购。</w:t>
      </w:r>
    </w:p>
    <w:p w14:paraId="1297E2B5">
      <w:r>
        <w:br w:type="page"/>
      </w:r>
    </w:p>
    <w:p w14:paraId="6A671F1B">
      <w:pPr>
        <w:pStyle w:val="3"/>
      </w:pPr>
      <w:r>
        <w:t>十  演示脚本与对照方法</w:t>
      </w:r>
    </w:p>
    <w:p w14:paraId="4A4E8E52">
      <w:pPr>
        <w:pStyle w:val="4"/>
      </w:pPr>
      <w:r>
        <w:t>1  演示准备</w:t>
      </w:r>
    </w:p>
    <w:p w14:paraId="429AAC83">
      <w:pPr>
        <w:ind w:firstLine="369"/>
      </w:pPr>
      <w:r>
        <w:t>固定车辆起点、行人轨迹、车速与触发延时，记录脚本版本。开场前检查遮挡、相机时间、标定、通信、车辆回执和急停。一名操作员控制启停，另一名人员观察轨迹，观众不进入模型运行范围。</w:t>
      </w:r>
    </w:p>
    <w:p w14:paraId="0F6F9EE3">
      <w:pPr>
        <w:pStyle w:val="15"/>
        <w:jc w:val="center"/>
      </w:pPr>
      <w:r>
        <w:t>表 3  标准演示流程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3685"/>
        <w:gridCol w:w="4876"/>
      </w:tblGrid>
      <w:tr w14:paraId="7CC7FB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4876B7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步骤</w:t>
            </w:r>
          </w:p>
        </w:tc>
        <w:tc>
          <w:tcPr>
            <w:tcW w:w="3685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48E12F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现场动作</w:t>
            </w:r>
          </w:p>
        </w:tc>
        <w:tc>
          <w:tcPr>
            <w:tcW w:w="4876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D728D3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大屏与讲解重点</w:t>
            </w:r>
          </w:p>
        </w:tc>
      </w:tr>
      <w:tr w14:paraId="23933D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28C631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B3F0F9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小车接近建筑转角</w:t>
            </w:r>
          </w:p>
        </w:tc>
        <w:tc>
          <w:tcPr>
            <w:tcW w:w="487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1DA3AE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展示原始车载视野与路侧全景，说明遮挡</w:t>
            </w:r>
          </w:p>
        </w:tc>
      </w:tr>
      <w:tr w14:paraId="0B5AC7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12BA08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2</w:t>
            </w:r>
          </w:p>
        </w:tc>
        <w:tc>
          <w:tcPr>
            <w:tcW w:w="368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BD3C89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行人从建筑侧后方横穿</w:t>
            </w:r>
          </w:p>
        </w:tc>
        <w:tc>
          <w:tcPr>
            <w:tcW w:w="4876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F3B989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路侧出现目标，车载画面仍不可见</w:t>
            </w:r>
          </w:p>
        </w:tc>
      </w:tr>
      <w:tr w14:paraId="5ADE75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502CD8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E0118D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边缘节点建立轨迹</w:t>
            </w:r>
          </w:p>
        </w:tc>
        <w:tc>
          <w:tcPr>
            <w:tcW w:w="487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A7B03F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显示目标编号、来源、位置及观测时间</w:t>
            </w:r>
          </w:p>
        </w:tc>
      </w:tr>
      <w:tr w14:paraId="1F85F7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474726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w="368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101017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预测与车辆路径形成冲突</w:t>
            </w:r>
          </w:p>
        </w:tc>
        <w:tc>
          <w:tcPr>
            <w:tcW w:w="4876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96C1FD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显示动态 TTC 和风险等级，解释计算依据</w:t>
            </w:r>
          </w:p>
        </w:tc>
      </w:tr>
      <w:tr w14:paraId="15B86A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46A0C9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C30D83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发布风险，车端接收</w:t>
            </w:r>
          </w:p>
        </w:tc>
        <w:tc>
          <w:tcPr>
            <w:tcW w:w="487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BC74CE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分别显示发送和接收状态及消息时延</w:t>
            </w:r>
          </w:p>
        </w:tc>
      </w:tr>
      <w:tr w14:paraId="6C5061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83DF25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  <w:tc>
          <w:tcPr>
            <w:tcW w:w="368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CD0739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小车在冲突区前停车</w:t>
            </w:r>
          </w:p>
        </w:tc>
        <w:tc>
          <w:tcPr>
            <w:tcW w:w="4876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17B348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显示速度下降、停车位置和虚拟行人</w:t>
            </w:r>
          </w:p>
        </w:tc>
      </w:tr>
      <w:tr w14:paraId="13378C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2FCF3E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7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58DDF9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行人离开并确认无冲突</w:t>
            </w:r>
          </w:p>
        </w:tc>
        <w:tc>
          <w:tcPr>
            <w:tcW w:w="487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126855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提示可恢复，操作员确认后继续行驶</w:t>
            </w:r>
          </w:p>
        </w:tc>
      </w:tr>
    </w:tbl>
    <w:p w14:paraId="36131404">
      <w:pPr>
        <w:spacing w:after="0"/>
      </w:pPr>
    </w:p>
    <w:p w14:paraId="25C8E357">
      <w:pPr>
        <w:pStyle w:val="4"/>
      </w:pPr>
      <w:r>
        <w:t>2  单车与协同对照</w:t>
      </w:r>
    </w:p>
    <w:p w14:paraId="5FCDB7E7">
      <w:pPr>
        <w:ind w:firstLine="369"/>
      </w:pPr>
      <w:r>
        <w:t>A 组仅用车端既有感知控制，路侧旁路记录但不提供预警；B 组使用相同速度、路线和触发脚本，启用路侧预警。对比首次可见时刻、预警提前量、制动开始时刻、停车距离和最小间距。A 组没有足够停车余量时采用录像或影子评估，不安排实际碰撞。</w:t>
      </w:r>
    </w:p>
    <w:p w14:paraId="360CF831">
      <w:pPr>
        <w:ind w:firstLine="369"/>
      </w:pPr>
      <w:r>
        <w:t>两组都保留急停和安全接管，人工接管单独记录，不统计为系统成功。若小车没有自身目标感知能力，A 组只报告原始视频中“首次可见”的基线，不将其描述为完整单车自动驾驶方案。</w:t>
      </w:r>
    </w:p>
    <w:p w14:paraId="75CBB0F4">
      <w:pPr>
        <w:pStyle w:val="4"/>
      </w:pPr>
      <w:r>
        <w:t>3  现场讲解</w:t>
      </w:r>
    </w:p>
    <w:p w14:paraId="10D5A16D">
      <w:pPr>
        <w:ind w:firstLine="369"/>
      </w:pPr>
      <w:r>
        <w:t>建议一次完整展示控制在 3—5 分钟。先说明建筑遮挡，再观看路侧发现与车辆提前响应，最后回放时间线。讲解主线为：“路侧先看到建筑后方行人，将风险发送给车辆，车辆在自己看见行人之前已经开始减速。”</w:t>
      </w:r>
    </w:p>
    <w:p w14:paraId="67651EBB">
      <w:r>
        <w:br w:type="page"/>
      </w:r>
    </w:p>
    <w:p w14:paraId="4C7A1029">
      <w:pPr>
        <w:pStyle w:val="3"/>
      </w:pPr>
      <w:r>
        <w:t>十一  验收指标与测量口径</w:t>
      </w:r>
    </w:p>
    <w:p w14:paraId="15590A2C">
      <w:pPr>
        <w:ind w:firstLine="369"/>
      </w:pPr>
      <w:r>
        <w:t>以下是首期建议目标，适用于冻结的场景、速度及设备。第 1 周基础测量后可修订，冻结后不得以挑选成功片段代替完整测试。未达标须保留失败记录并说明限制。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2268"/>
        <w:gridCol w:w="5102"/>
      </w:tblGrid>
      <w:tr w14:paraId="1A51B8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8881AB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8"/>
              </w:rPr>
              <w:t>指标</w:t>
            </w:r>
          </w:p>
        </w:tc>
        <w:tc>
          <w:tcPr>
            <w:tcW w:w="2268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66EA09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8"/>
              </w:rPr>
              <w:t>建议目标</w:t>
            </w:r>
          </w:p>
        </w:tc>
        <w:tc>
          <w:tcPr>
            <w:tcW w:w="5102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E9F097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8"/>
              </w:rPr>
              <w:t>测量口径</w:t>
            </w:r>
          </w:p>
        </w:tc>
      </w:tr>
      <w:tr w14:paraId="057157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40AB83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感知更新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166B84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有效输出≥10 Hz</w:t>
            </w:r>
          </w:p>
        </w:tc>
        <w:tc>
          <w:tcPr>
            <w:tcW w:w="510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81B5D0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统计有效快照频率，另记录卡顿和丢帧</w:t>
            </w:r>
          </w:p>
        </w:tc>
      </w:tr>
      <w:tr w14:paraId="0A5ACE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AB6E61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事件检出率</w:t>
            </w:r>
          </w:p>
        </w:tc>
        <w:tc>
          <w:tcPr>
            <w:tcW w:w="226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A5247A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≥95%</w:t>
            </w:r>
          </w:p>
        </w:tc>
        <w:tc>
          <w:tcPr>
            <w:tcW w:w="510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EE91FD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需预警事件在最晚安全时刻前检出的比例</w:t>
            </w:r>
          </w:p>
        </w:tc>
      </w:tr>
      <w:tr w14:paraId="48B06D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EE77CF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事件误报率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1568ED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≤5%</w:t>
            </w:r>
          </w:p>
        </w:tc>
        <w:tc>
          <w:tcPr>
            <w:tcW w:w="510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B951C6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无冲突试次中高风险停车次数／无冲突试次总数</w:t>
            </w:r>
          </w:p>
        </w:tc>
      </w:tr>
      <w:tr w14:paraId="761B1F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69C9E2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平面定位误差</w:t>
            </w:r>
          </w:p>
        </w:tc>
        <w:tc>
          <w:tcPr>
            <w:tcW w:w="226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E53122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P95≤0.05 m</w:t>
            </w:r>
          </w:p>
        </w:tc>
        <w:tc>
          <w:tcPr>
            <w:tcW w:w="510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49905B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独立真值与对应时刻输出位置比较</w:t>
            </w:r>
          </w:p>
        </w:tc>
      </w:tr>
      <w:tr w14:paraId="32CEBF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9EFEC8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采集至车端接收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4D1B84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P95≤200 ms</w:t>
            </w:r>
          </w:p>
        </w:tc>
        <w:tc>
          <w:tcPr>
            <w:tcW w:w="510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0C3BE4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图像采集至对应风险被车端应用接收的时间差</w:t>
            </w:r>
          </w:p>
        </w:tc>
      </w:tr>
      <w:tr w14:paraId="4E750C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04F6DA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采集至制动开始</w:t>
            </w:r>
          </w:p>
        </w:tc>
        <w:tc>
          <w:tcPr>
            <w:tcW w:w="226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862C2C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P95≤300 ms</w:t>
            </w:r>
          </w:p>
        </w:tc>
        <w:tc>
          <w:tcPr>
            <w:tcW w:w="510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D721B1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图像采集至速度反馈确认开始下降的时间差</w:t>
            </w:r>
          </w:p>
        </w:tc>
      </w:tr>
      <w:tr w14:paraId="354123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B12D22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预警提前量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7F84DE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典型场景中位数≥0.8 s</w:t>
            </w:r>
          </w:p>
        </w:tc>
        <w:tc>
          <w:tcPr>
            <w:tcW w:w="510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7BF5FD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车载首次可见时刻减首次有效预警接收时刻</w:t>
            </w:r>
          </w:p>
        </w:tc>
      </w:tr>
      <w:tr w14:paraId="6BFB2D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E5C043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停车余量</w:t>
            </w:r>
          </w:p>
        </w:tc>
        <w:tc>
          <w:tcPr>
            <w:tcW w:w="226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DD682A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高风险试次全部≥0.10 m</w:t>
            </w:r>
          </w:p>
        </w:tc>
        <w:tc>
          <w:tcPr>
            <w:tcW w:w="510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6184CF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停车后前缘到冲突区入口的沿路径距离</w:t>
            </w:r>
          </w:p>
        </w:tc>
      </w:tr>
      <w:tr w14:paraId="224341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FE874A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连续运行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C3D1EB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60 min 无程序崩溃</w:t>
            </w:r>
          </w:p>
        </w:tc>
        <w:tc>
          <w:tcPr>
            <w:tcW w:w="510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3C3464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包括反复触发、日志保存和设备状态检查</w:t>
            </w:r>
          </w:p>
        </w:tc>
      </w:tr>
      <w:tr w14:paraId="11537F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ED75AA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降级与急停</w:t>
            </w:r>
          </w:p>
        </w:tc>
        <w:tc>
          <w:tcPr>
            <w:tcW w:w="226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523398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全部用例通过</w:t>
            </w:r>
          </w:p>
        </w:tc>
        <w:tc>
          <w:tcPr>
            <w:tcW w:w="510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5677FE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断网、冻结、旧包及急停按策略停车</w:t>
            </w:r>
          </w:p>
        </w:tc>
      </w:tr>
    </w:tbl>
    <w:p w14:paraId="7E05A6FC">
      <w:pPr>
        <w:spacing w:after="0"/>
      </w:pPr>
    </w:p>
    <w:p w14:paraId="3158E71F">
      <w:pPr>
        <w:pStyle w:val="4"/>
      </w:pPr>
      <w:r>
        <w:t>1  样本与统计</w:t>
      </w:r>
    </w:p>
    <w:p w14:paraId="2DE29036">
      <w:pPr>
        <w:ind w:firstLine="369"/>
      </w:pPr>
      <w:r>
        <w:t>至少完成 60 次有冲突和 40 次无冲突试验，按速度、遮挡及光照分组报告。图像标注集与现场事件测试分开统计。时延报告 P50、P95、最大值和有效样本数；丢包或超时记为失败，不能仅统计到达消息。</w:t>
      </w:r>
    </w:p>
    <w:p w14:paraId="3A59D64B">
      <w:pPr>
        <w:pStyle w:val="4"/>
      </w:pPr>
      <w:r>
        <w:t>2  真值与通过条件</w:t>
      </w:r>
    </w:p>
    <w:p w14:paraId="43CF3168">
      <w:pPr>
        <w:ind w:firstLine="369"/>
      </w:pPr>
      <w:r>
        <w:t>采用同步录像、导轨位置或独立标记获取真值。车载首次可见由原始视频人工复核，不用检测器首次检出替代。最晚安全预警时刻由该试次速度、保守制动距离及余量反推。车辆制动后始终未进入可见区域的试次不强行计算提前量，按无干预影子回放或配对基线评估并标注。</w:t>
      </w:r>
    </w:p>
    <w:p w14:paraId="36603989">
      <w:pPr>
        <w:ind w:firstLine="369"/>
      </w:pPr>
      <w:r>
        <w:t>安全停车相关用例必须全部通过。未达成时限制车速或重新布设，重测受影响用例后再验收。P95 时延用于性能评价，制动约束仍需按经验证的保守上界设计。以上仅证明沙盘约定工况下的性能。</w:t>
      </w:r>
    </w:p>
    <w:p w14:paraId="2591B1DC">
      <w:r>
        <w:br w:type="page"/>
      </w:r>
    </w:p>
    <w:p w14:paraId="35CDE455">
      <w:pPr>
        <w:pStyle w:val="3"/>
      </w:pPr>
      <w:r>
        <w:t>十二  测试用例与数据留存</w:t>
      </w:r>
    </w:p>
    <w:p w14:paraId="73D3347A">
      <w:pPr>
        <w:pStyle w:val="15"/>
        <w:jc w:val="center"/>
      </w:pPr>
      <w:r>
        <w:t>表 4  首期测试矩阵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891"/>
        <w:gridCol w:w="4365"/>
      </w:tblGrid>
      <w:tr w14:paraId="44E3F3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D30CBC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8"/>
              </w:rPr>
              <w:t>用例</w:t>
            </w:r>
          </w:p>
        </w:tc>
        <w:tc>
          <w:tcPr>
            <w:tcW w:w="2891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5C770C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8"/>
              </w:rPr>
              <w:t>输入变化</w:t>
            </w:r>
          </w:p>
        </w:tc>
        <w:tc>
          <w:tcPr>
            <w:tcW w:w="4365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621560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8"/>
              </w:rPr>
              <w:t>预期结果与证据</w:t>
            </w:r>
          </w:p>
        </w:tc>
      </w:tr>
      <w:tr w14:paraId="24478B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778F6B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T01 遮挡横穿</w:t>
            </w:r>
          </w:p>
        </w:tc>
        <w:tc>
          <w:tcPr>
            <w:tcW w:w="28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43CDCE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0.20、0.30 m/s 两档车速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6E11D5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提前检出并安全停车，两档各 15 次</w:t>
            </w:r>
          </w:p>
        </w:tc>
      </w:tr>
      <w:tr w14:paraId="1EC8F0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787A5C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T02 触发变化</w:t>
            </w:r>
          </w:p>
        </w:tc>
        <w:tc>
          <w:tcPr>
            <w:tcW w:w="289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C1C60C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较早、临界前两个横穿时刻</w:t>
            </w:r>
          </w:p>
        </w:tc>
        <w:tc>
          <w:tcPr>
            <w:tcW w:w="436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1BAC14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记录 TTC 和停车余量，每种 10 次</w:t>
            </w:r>
          </w:p>
        </w:tc>
      </w:tr>
      <w:tr w14:paraId="01C241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65095B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T03 可见性变化</w:t>
            </w:r>
          </w:p>
        </w:tc>
        <w:tc>
          <w:tcPr>
            <w:tcW w:w="28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A6EEFC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较暗或局部遮挡目标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7DB8C9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安全处置或明确降级，共 10 次</w:t>
            </w:r>
          </w:p>
        </w:tc>
      </w:tr>
      <w:tr w14:paraId="3F4FE9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04F48C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T04 无冲突</w:t>
            </w:r>
          </w:p>
        </w:tc>
        <w:tc>
          <w:tcPr>
            <w:tcW w:w="289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E26B16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空场景、路边静止、先通过、后通过</w:t>
            </w:r>
          </w:p>
        </w:tc>
        <w:tc>
          <w:tcPr>
            <w:tcW w:w="436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83E140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无无依据的高风险停车，每类 10 次</w:t>
            </w:r>
          </w:p>
        </w:tc>
      </w:tr>
      <w:tr w14:paraId="3F2B1B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17467B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T05 旧包与乱序</w:t>
            </w:r>
          </w:p>
        </w:tc>
        <w:tc>
          <w:tcPr>
            <w:tcW w:w="28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CDD424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重发、打乱消息序号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9B6DA1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旧包不覆盖新状态，不重复解除停车</w:t>
            </w:r>
          </w:p>
        </w:tc>
      </w:tr>
      <w:tr w14:paraId="390B0D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3411F6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T06 网络故障</w:t>
            </w:r>
          </w:p>
        </w:tc>
        <w:tc>
          <w:tcPr>
            <w:tcW w:w="289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596FA4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延迟、丢包、短时断网</w:t>
            </w:r>
          </w:p>
        </w:tc>
        <w:tc>
          <w:tcPr>
            <w:tcW w:w="436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3D6BBE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记录超时，按失效策略保护停车</w:t>
            </w:r>
          </w:p>
        </w:tc>
      </w:tr>
      <w:tr w14:paraId="0B2691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B354B4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T07 感知故障</w:t>
            </w:r>
          </w:p>
        </w:tc>
        <w:tc>
          <w:tcPr>
            <w:tcW w:w="28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CF6FEE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视频冻结、掉线、目标丢失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6F5840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报告质量异常，不将未检出判为安全</w:t>
            </w:r>
          </w:p>
        </w:tc>
      </w:tr>
      <w:tr w14:paraId="101F9F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3D65FA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T08 设备恢复</w:t>
            </w:r>
          </w:p>
        </w:tc>
        <w:tc>
          <w:tcPr>
            <w:tcW w:w="289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E7F82D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Broker 或控制进程重启</w:t>
            </w:r>
          </w:p>
        </w:tc>
        <w:tc>
          <w:tcPr>
            <w:tcW w:w="436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11B104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先进入安全状态，人工确认后恢复</w:t>
            </w:r>
          </w:p>
        </w:tc>
      </w:tr>
      <w:tr w14:paraId="517E21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7F494B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T09 标定偏移</w:t>
            </w:r>
          </w:p>
        </w:tc>
        <w:tc>
          <w:tcPr>
            <w:tcW w:w="28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BB9271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改变视角或标定参数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1908CC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提示质量问题，退回地图显示</w:t>
            </w:r>
          </w:p>
        </w:tc>
      </w:tr>
      <w:tr w14:paraId="666F5D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DFA2E0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T10 人工急停</w:t>
            </w:r>
          </w:p>
        </w:tc>
        <w:tc>
          <w:tcPr>
            <w:tcW w:w="289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D03D19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巡航、限速、恢复时触发</w:t>
            </w:r>
          </w:p>
        </w:tc>
        <w:tc>
          <w:tcPr>
            <w:tcW w:w="436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C0EC38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急停优先，远端不能自动解除</w:t>
            </w:r>
          </w:p>
        </w:tc>
      </w:tr>
      <w:tr w14:paraId="7FE02D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B425B9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T11 连续与回放</w:t>
            </w:r>
          </w:p>
        </w:tc>
        <w:tc>
          <w:tcPr>
            <w:tcW w:w="28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6CB3F3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运行 60 min 并回放日志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5B50EE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记录完整，回放不向实车发控制</w:t>
            </w:r>
          </w:p>
        </w:tc>
      </w:tr>
    </w:tbl>
    <w:p w14:paraId="45298C3E">
      <w:pPr>
        <w:spacing w:after="0"/>
      </w:pPr>
    </w:p>
    <w:p w14:paraId="10551F2D">
      <w:r>
        <w:rPr>
          <w:sz w:val="18"/>
        </w:rPr>
        <w:t>T01—T03 共 60 次有冲突，T04 共 40 次无冲突。T05—T10 每种故障至少重复 5 次并覆盖恢复；T11 另行记录。A／B 配对试验至少选取 20 组可安全重复的同条件脚本。</w:t>
      </w:r>
    </w:p>
    <w:p w14:paraId="5D90C568">
      <w:pPr>
        <w:pStyle w:val="4"/>
      </w:pPr>
      <w:r>
        <w:t>1  试验记录</w:t>
      </w:r>
    </w:p>
    <w:p w14:paraId="35121D26">
      <w:pPr>
        <w:ind w:firstLine="369"/>
      </w:pPr>
      <w:r>
        <w:t>保存 run_id、场景编号、脚本和软件版本、模型与标定版本、车速、触发参数、环境说明、原始视频、目标列表、风险消息和车辆状态。记录采集、推理完成、风险生成、发送、接收、制动开始及停车时刻。</w:t>
      </w:r>
    </w:p>
    <w:p w14:paraId="40C706A6">
      <w:pPr>
        <w:pStyle w:val="4"/>
      </w:pPr>
      <w:r>
        <w:t>2  复现与报告</w:t>
      </w:r>
    </w:p>
    <w:p w14:paraId="5BBA393A">
      <w:pPr>
        <w:ind w:firstLine="369"/>
      </w:pPr>
      <w:r>
        <w:t>每次试验生成成功、失败、降级和人工接管标签。报告包含分组统计与典型失败片段，附配置和回放步骤。日志与视频至少保留至验收和问题复核完成；人员入镜素材按实验室要求控制访问。</w:t>
      </w:r>
    </w:p>
    <w:p w14:paraId="4A022680">
      <w:r>
        <w:br w:type="page"/>
      </w:r>
    </w:p>
    <w:p w14:paraId="547005E0">
      <w:pPr>
        <w:pStyle w:val="3"/>
      </w:pPr>
      <w:r>
        <w:t>十三  实施进度与人员分工</w:t>
      </w:r>
    </w:p>
    <w:p w14:paraId="24FCF967">
      <w:pPr>
        <w:ind w:firstLine="369"/>
      </w:pPr>
      <w:r>
        <w:t>首期按设备到位后 8 周安排。第 1 周冻结场景及接口，第 4 周前分别完成感知和车控，第 6 周形成完整演示，第 8 周完成测试与交付。设备交付或改造超期时按依赖调整，不以压缩测试弥补。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4195"/>
        <w:gridCol w:w="3798"/>
      </w:tblGrid>
      <w:tr w14:paraId="0BD292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  <w:jc w:val="center"/>
        </w:trPr>
        <w:tc>
          <w:tcPr>
            <w:tcW w:w="1247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E0B695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时间</w:t>
            </w:r>
          </w:p>
        </w:tc>
        <w:tc>
          <w:tcPr>
            <w:tcW w:w="4195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87F7FC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主要工作</w:t>
            </w:r>
          </w:p>
        </w:tc>
        <w:tc>
          <w:tcPr>
            <w:tcW w:w="3798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4EA150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阶段交付与条件</w:t>
            </w:r>
          </w:p>
        </w:tc>
      </w:tr>
      <w:tr w14:paraId="5441F1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137609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第 1 周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8E041C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资产盘点、遮挡验证、速度与制动测试、协议设计</w:t>
            </w:r>
          </w:p>
        </w:tc>
        <w:tc>
          <w:tcPr>
            <w:tcW w:w="379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1FA36F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点位图、接口清单、场景和指标冻结表</w:t>
            </w:r>
          </w:p>
        </w:tc>
      </w:tr>
      <w:tr w14:paraId="267373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B3D6D1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第 2 周</w:t>
            </w:r>
          </w:p>
        </w:tc>
        <w:tc>
          <w:tcPr>
            <w:tcW w:w="419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9A980A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相机支架安装、采集标注、坐标与时钟标定</w:t>
            </w:r>
          </w:p>
        </w:tc>
        <w:tc>
          <w:tcPr>
            <w:tcW w:w="379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55F0C7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标定文件、首版数据集、设备连通报告</w:t>
            </w:r>
          </w:p>
        </w:tc>
      </w:tr>
      <w:tr w14:paraId="6B3E0F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42B583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第 3—4 周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A4138F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检测跟踪、冲突预测、消息接收及车端状态机</w:t>
            </w:r>
          </w:p>
        </w:tc>
        <w:tc>
          <w:tcPr>
            <w:tcW w:w="379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111093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离线评估通过，模拟风险可可靠停车</w:t>
            </w:r>
          </w:p>
        </w:tc>
      </w:tr>
      <w:tr w14:paraId="0DD577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AE74E4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第 5—6 周</w:t>
            </w:r>
          </w:p>
        </w:tc>
        <w:tc>
          <w:tcPr>
            <w:tcW w:w="419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4FD879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视频触发、小车闭环、大屏叠加与回执联调</w:t>
            </w:r>
          </w:p>
        </w:tc>
        <w:tc>
          <w:tcPr>
            <w:tcW w:w="379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DC4CE7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固定场景连续演示和故障注入初测</w:t>
            </w:r>
          </w:p>
        </w:tc>
      </w:tr>
      <w:tr w14:paraId="26A55D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A2FD2F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第 7 周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559946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性能优化、A／B 对照、完整测试矩阵</w:t>
            </w:r>
          </w:p>
        </w:tc>
        <w:tc>
          <w:tcPr>
            <w:tcW w:w="379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F36DD2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原始记录、问题清单与回归结果</w:t>
            </w:r>
          </w:p>
        </w:tc>
      </w:tr>
      <w:tr w14:paraId="5B1285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2DA2E8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第 8 周</w:t>
            </w:r>
          </w:p>
        </w:tc>
        <w:tc>
          <w:tcPr>
            <w:tcW w:w="419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9232E7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现场验收、培训、资料归档</w:t>
            </w:r>
          </w:p>
        </w:tc>
        <w:tc>
          <w:tcPr>
            <w:tcW w:w="379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005870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演示系统、报告、源码及操作手册</w:t>
            </w:r>
          </w:p>
        </w:tc>
      </w:tr>
    </w:tbl>
    <w:p w14:paraId="2421DFD5">
      <w:pPr>
        <w:spacing w:after="0"/>
      </w:pPr>
    </w:p>
    <w:p w14:paraId="49BB5043">
      <w:pPr>
        <w:pStyle w:val="4"/>
      </w:pPr>
      <w:r>
        <w:t>1  建议人员配置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309"/>
        <w:gridCol w:w="3005"/>
      </w:tblGrid>
      <w:tr w14:paraId="625745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D60A8F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角色</w:t>
            </w:r>
          </w:p>
        </w:tc>
        <w:tc>
          <w:tcPr>
            <w:tcW w:w="4309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161DFC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主要责任</w:t>
            </w:r>
          </w:p>
        </w:tc>
        <w:tc>
          <w:tcPr>
            <w:tcW w:w="3005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7DC7D2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协作接口</w:t>
            </w:r>
          </w:p>
        </w:tc>
      </w:tr>
      <w:tr w14:paraId="3BC421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9E897F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项目统筹与验收</w:t>
            </w:r>
          </w:p>
        </w:tc>
        <w:tc>
          <w:tcPr>
            <w:tcW w:w="430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5DC6F9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范围控制、周检查、场景定义及测试结论</w:t>
            </w:r>
          </w:p>
        </w:tc>
        <w:tc>
          <w:tcPr>
            <w:tcW w:w="300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95E4D2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组织接口冻结与阶段评审</w:t>
            </w:r>
          </w:p>
        </w:tc>
      </w:tr>
      <w:tr w14:paraId="09131C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153C10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感知与算法</w:t>
            </w:r>
          </w:p>
        </w:tc>
        <w:tc>
          <w:tcPr>
            <w:tcW w:w="430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7AAF0F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数据、标定、检测跟踪和风险计算</w:t>
            </w:r>
          </w:p>
        </w:tc>
        <w:tc>
          <w:tcPr>
            <w:tcW w:w="300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6F35E7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向车端及大屏提供目标与风险接口</w:t>
            </w:r>
          </w:p>
        </w:tc>
      </w:tr>
      <w:tr w14:paraId="3E9768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259BAE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车辆与通信</w:t>
            </w:r>
          </w:p>
        </w:tc>
        <w:tc>
          <w:tcPr>
            <w:tcW w:w="430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474398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控制板、消息网关、状态机及急停</w:t>
            </w:r>
          </w:p>
        </w:tc>
        <w:tc>
          <w:tcPr>
            <w:tcW w:w="300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9DF286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提供车速、回执和链路指标</w:t>
            </w:r>
          </w:p>
        </w:tc>
      </w:tr>
      <w:tr w14:paraId="4CA3B6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13B1C7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可视化与测试</w:t>
            </w:r>
          </w:p>
        </w:tc>
        <w:tc>
          <w:tcPr>
            <w:tcW w:w="430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A71B5D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大屏、投影、回放及用例执行</w:t>
            </w:r>
          </w:p>
        </w:tc>
        <w:tc>
          <w:tcPr>
            <w:tcW w:w="300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41B3FD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核查界面与真实消息、动作一致</w:t>
            </w:r>
          </w:p>
        </w:tc>
      </w:tr>
    </w:tbl>
    <w:p w14:paraId="61578E05">
      <w:pPr>
        <w:spacing w:after="0"/>
      </w:pPr>
    </w:p>
    <w:p w14:paraId="0EB671FA">
      <w:pPr>
        <w:ind w:firstLine="369"/>
      </w:pPr>
      <w:r>
        <w:t>建议 3—4 名成员按能力兼岗，总投入先按约 16—20 人周规划。感知和车辆模块可同步开发，但标定、时钟、事件编号及控制语义需共同确认。真实设备阶段以首期验收通过及供应商接口齐备为启动条件。</w:t>
      </w:r>
    </w:p>
    <w:p w14:paraId="390B3CE6">
      <w:pPr>
        <w:pStyle w:val="4"/>
      </w:pPr>
      <w:r>
        <w:t>2  里程碑评审</w:t>
      </w:r>
    </w:p>
    <w:p w14:paraId="627EF6F6">
      <w:pPr>
        <w:ind w:firstLine="369"/>
      </w:pPr>
      <w:r>
        <w:t>M1 检查场景可复现、底盘可停车；M2 检查目标与风险实时可用、消息能驱动车端；M3 检查提前发现与车辆响应证据完整；M4 检查验收数据、演示及交付资料一致。每次评审形成问题和关闭记录。</w:t>
      </w:r>
    </w:p>
    <w:p w14:paraId="3A50D032">
      <w:r>
        <w:br w:type="page"/>
      </w:r>
    </w:p>
    <w:p w14:paraId="06A773DA">
      <w:pPr>
        <w:pStyle w:val="3"/>
      </w:pPr>
      <w:r>
        <w:t>十四  经费规划与采购顺序</w:t>
      </w:r>
    </w:p>
    <w:p w14:paraId="61AD9050">
      <w:pPr>
        <w:ind w:firstLine="369"/>
      </w:pPr>
      <w:r>
        <w:t>下列金额为内部测算和采购控制额度，不是供应商报价或市场价格结论。以复用沙盘、小车、大屏及显示电脑为前提，先借用验证再补充缺口。最终规格、税费和运输费用在询价时统一核实。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1417"/>
        <w:gridCol w:w="1814"/>
        <w:gridCol w:w="1757"/>
      </w:tblGrid>
      <w:tr w14:paraId="6D6867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252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3CAEEA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w="1417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FE7312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8"/>
              </w:rPr>
              <w:t>数量</w:t>
            </w:r>
          </w:p>
        </w:tc>
        <w:tc>
          <w:tcPr>
            <w:tcW w:w="1814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09A3D1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8"/>
              </w:rPr>
              <w:t>单项额度 元</w:t>
            </w:r>
          </w:p>
        </w:tc>
        <w:tc>
          <w:tcPr>
            <w:tcW w:w="1757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32618E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8"/>
              </w:rPr>
              <w:t>小计 元</w:t>
            </w:r>
          </w:p>
        </w:tc>
      </w:tr>
      <w:tr w14:paraId="7B6DAD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D9BDD4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路侧摄像头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5B1008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2 台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335834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600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ED517D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1,200</w:t>
            </w:r>
          </w:p>
        </w:tc>
      </w:tr>
      <w:tr w14:paraId="688A5D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961A4A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边缘计算节点及必要配件</w:t>
            </w:r>
          </w:p>
        </w:tc>
        <w:tc>
          <w:tcPr>
            <w:tcW w:w="141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5B702F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 套</w:t>
            </w:r>
          </w:p>
        </w:tc>
        <w:tc>
          <w:tcPr>
            <w:tcW w:w="181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E89794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3,500</w:t>
            </w:r>
          </w:p>
        </w:tc>
        <w:tc>
          <w:tcPr>
            <w:tcW w:w="175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60774D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3,500</w:t>
            </w:r>
          </w:p>
        </w:tc>
      </w:tr>
      <w:tr w14:paraId="0BAF65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184AAC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无线路由器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63C7A8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 台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485A21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F2123D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</w:tr>
      <w:tr w14:paraId="2AA15F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65C75E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车载控制与接口适配</w:t>
            </w:r>
          </w:p>
        </w:tc>
        <w:tc>
          <w:tcPr>
            <w:tcW w:w="141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D773D3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 套</w:t>
            </w:r>
          </w:p>
        </w:tc>
        <w:tc>
          <w:tcPr>
            <w:tcW w:w="181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7C3EA7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800</w:t>
            </w:r>
          </w:p>
        </w:tc>
        <w:tc>
          <w:tcPr>
            <w:tcW w:w="175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DA90E1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800</w:t>
            </w:r>
          </w:p>
        </w:tc>
      </w:tr>
      <w:tr w14:paraId="705E6A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2D5CEA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车载摄像头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0CB2A3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 台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8D07AA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300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2A75DE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300</w:t>
            </w:r>
          </w:p>
        </w:tc>
      </w:tr>
      <w:tr w14:paraId="547BAB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D81F78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行人模型及移动机构</w:t>
            </w:r>
          </w:p>
        </w:tc>
        <w:tc>
          <w:tcPr>
            <w:tcW w:w="141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D37A52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 套</w:t>
            </w:r>
          </w:p>
        </w:tc>
        <w:tc>
          <w:tcPr>
            <w:tcW w:w="181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B1D221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1,200</w:t>
            </w:r>
          </w:p>
        </w:tc>
        <w:tc>
          <w:tcPr>
            <w:tcW w:w="175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E93CF9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1,200</w:t>
            </w:r>
          </w:p>
        </w:tc>
      </w:tr>
      <w:tr w14:paraId="1835BB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969E2A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PoE 交换机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538198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 台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19A611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500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5605F0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500</w:t>
            </w:r>
          </w:p>
        </w:tc>
      </w:tr>
      <w:tr w14:paraId="5A8A5C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DE495F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支架与补光</w:t>
            </w:r>
          </w:p>
        </w:tc>
        <w:tc>
          <w:tcPr>
            <w:tcW w:w="141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FDC630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 批</w:t>
            </w:r>
          </w:p>
        </w:tc>
        <w:tc>
          <w:tcPr>
            <w:tcW w:w="181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7E9195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w="175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066DDC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</w:tr>
      <w:tr w14:paraId="15D32A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79B512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线材 电源 转换器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EE5FE0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 批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91A2E1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4E0196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</w:tr>
      <w:tr w14:paraId="0DE302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69333B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急停与隔离部件</w:t>
            </w:r>
          </w:p>
        </w:tc>
        <w:tc>
          <w:tcPr>
            <w:tcW w:w="141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0482A4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 套</w:t>
            </w:r>
          </w:p>
        </w:tc>
        <w:tc>
          <w:tcPr>
            <w:tcW w:w="181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8F403B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w="175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CF5034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</w:tr>
      <w:tr w14:paraId="0BF6E1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B928F3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存储与备用耗材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E8F094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 批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2CE746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500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0EA7F5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500</w:t>
            </w:r>
          </w:p>
        </w:tc>
      </w:tr>
      <w:tr w14:paraId="5D4A6C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9247F0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设备小计</w:t>
            </w:r>
          </w:p>
        </w:tc>
        <w:tc>
          <w:tcPr>
            <w:tcW w:w="141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C3F817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EDF12D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175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E5E46A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9,600</w:t>
            </w:r>
          </w:p>
        </w:tc>
      </w:tr>
      <w:tr w14:paraId="469928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3E6BB9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预备费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EEFFAB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小计 10%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5979F7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0F9890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960</w:t>
            </w:r>
          </w:p>
        </w:tc>
      </w:tr>
      <w:tr w14:paraId="76B0AF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A5CF01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首期合计</w:t>
            </w:r>
          </w:p>
        </w:tc>
        <w:tc>
          <w:tcPr>
            <w:tcW w:w="141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779345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3AD3AA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175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14D307">
            <w:pPr>
              <w:spacing w:after="0" w:line="278" w:lineRule="auto"/>
            </w:pPr>
            <w:r>
              <w:rPr>
                <w:b w:val="0"/>
                <w:color w:val="000000"/>
                <w:sz w:val="18"/>
              </w:rPr>
              <w:t>10,560</w:t>
            </w:r>
          </w:p>
        </w:tc>
      </w:tr>
    </w:tbl>
    <w:p w14:paraId="3E05ED98">
      <w:pPr>
        <w:spacing w:after="0"/>
      </w:pPr>
    </w:p>
    <w:p w14:paraId="750D39C0">
      <w:pPr>
        <w:pStyle w:val="4"/>
      </w:pPr>
      <w:r>
        <w:t>1  可选增配与未计入事项</w:t>
      </w:r>
    </w:p>
    <w:p w14:paraId="17A8947B">
      <w:pPr>
        <w:ind w:firstLine="369"/>
      </w:pPr>
      <w:r>
        <w:t>若底盘缺少速度控制与反馈，另预留小车或底盘改造额度 6,000 元；显示电脑无法承担视频及大屏时，另预留主机额度 4,000 元。两项均需增配时，按相同 10% 预备费口径，硬件规划合计 21,560 元。</w:t>
      </w:r>
    </w:p>
    <w:p w14:paraId="1B927724">
      <w:pPr>
        <w:ind w:firstLine="369"/>
      </w:pPr>
      <w:r>
        <w:t>未计入劳务、管理费、知识产权、真实 RSU／OBU、供应商定制开发及真实道路试验费用。现有主机满足需求可减少边缘节点采购；使用非 PoE 相机时相应调整供电清单。</w:t>
      </w:r>
    </w:p>
    <w:p w14:paraId="617A7F99">
      <w:pPr>
        <w:pStyle w:val="4"/>
      </w:pPr>
      <w:r>
        <w:t>2  采购顺序</w:t>
      </w:r>
    </w:p>
    <w:p w14:paraId="7E7F5C7D">
      <w:pPr>
        <w:ind w:firstLine="369"/>
      </w:pPr>
      <w:r>
        <w:t>优先解决采集、定位和停车缺口，其次补齐移动模型与展示接入，最后考虑真实 V2X。第二阶段须另行取得成对设备、软件许可、联调支持及交期报价，确认后纳入总预算。</w:t>
      </w:r>
    </w:p>
    <w:p w14:paraId="36AFF866">
      <w:r>
        <w:br w:type="page"/>
      </w:r>
    </w:p>
    <w:p w14:paraId="723F641B">
      <w:pPr>
        <w:pStyle w:val="3"/>
      </w:pPr>
      <w:r>
        <w:t>十五  风险管理与运行维护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3005"/>
        <w:gridCol w:w="4479"/>
      </w:tblGrid>
      <w:tr w14:paraId="1A0B19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C8D0C9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主要风险</w:t>
            </w:r>
          </w:p>
        </w:tc>
        <w:tc>
          <w:tcPr>
            <w:tcW w:w="3005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0FDA95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可观察表现</w:t>
            </w:r>
          </w:p>
        </w:tc>
        <w:tc>
          <w:tcPr>
            <w:tcW w:w="4479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753D38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应对与责任</w:t>
            </w:r>
          </w:p>
        </w:tc>
      </w:tr>
      <w:tr w14:paraId="24481E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EFFE98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模型域差异</w:t>
            </w:r>
          </w:p>
        </w:tc>
        <w:tc>
          <w:tcPr>
            <w:tcW w:w="300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4F7765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行人漏检、建筑纹理误检</w:t>
            </w:r>
          </w:p>
        </w:tc>
        <w:tc>
          <w:tcPr>
            <w:tcW w:w="447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46989E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补充沙盘数据与负样本，维护独立测试集；感知负责人</w:t>
            </w:r>
          </w:p>
        </w:tc>
      </w:tr>
      <w:tr w14:paraId="7B69F0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BDFE9A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车辆接口受限</w:t>
            </w:r>
          </w:p>
        </w:tc>
        <w:tc>
          <w:tcPr>
            <w:tcW w:w="300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42425D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只能遥控或无速度反馈</w:t>
            </w:r>
          </w:p>
        </w:tc>
        <w:tc>
          <w:tcPr>
            <w:tcW w:w="447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D3555C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先核查 SDK 与控制板，必要时更换底盘；车辆负责人</w:t>
            </w:r>
          </w:p>
        </w:tc>
      </w:tr>
      <w:tr w14:paraId="5CEFC3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65B59D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标定漂移</w:t>
            </w:r>
          </w:p>
        </w:tc>
        <w:tc>
          <w:tcPr>
            <w:tcW w:w="300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C817A1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目标与地图或视频投影错位</w:t>
            </w:r>
          </w:p>
        </w:tc>
        <w:tc>
          <w:tcPr>
            <w:tcW w:w="447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0A80E5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固定支架、设置检查点，每次演示前核对；感知负责人</w:t>
            </w:r>
          </w:p>
        </w:tc>
      </w:tr>
      <w:tr w14:paraId="676096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4F0B21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时钟或网络异常</w:t>
            </w:r>
          </w:p>
        </w:tc>
        <w:tc>
          <w:tcPr>
            <w:tcW w:w="300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0BA93F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消息年龄异常、旧包重放</w:t>
            </w:r>
          </w:p>
        </w:tc>
        <w:tc>
          <w:tcPr>
            <w:tcW w:w="447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420F5C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同步监测、限流、期限和序号校验；通信负责人</w:t>
            </w:r>
          </w:p>
        </w:tc>
      </w:tr>
      <w:tr w14:paraId="02F345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91AF13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制动波动</w:t>
            </w:r>
          </w:p>
        </w:tc>
        <w:tc>
          <w:tcPr>
            <w:tcW w:w="300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0FFFC0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低电量或转弯时停车位置漂移</w:t>
            </w:r>
          </w:p>
        </w:tc>
        <w:tc>
          <w:tcPr>
            <w:tcW w:w="447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70E01A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多工况标定、限速、增加余量；车辆负责人</w:t>
            </w:r>
          </w:p>
        </w:tc>
      </w:tr>
      <w:tr w14:paraId="2B4045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816D04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合成目标混淆</w:t>
            </w:r>
          </w:p>
        </w:tc>
        <w:tc>
          <w:tcPr>
            <w:tcW w:w="300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AFE0D8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虚拟行人被当作车载检测</w:t>
            </w:r>
          </w:p>
        </w:tc>
        <w:tc>
          <w:tcPr>
            <w:tcW w:w="447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F46344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保留原始视图，标注路侧来源和时效；可视化负责人</w:t>
            </w:r>
          </w:p>
        </w:tc>
      </w:tr>
      <w:tr w14:paraId="738D9D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E045C2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V2X 不兼容</w:t>
            </w:r>
          </w:p>
        </w:tc>
        <w:tc>
          <w:tcPr>
            <w:tcW w:w="300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433698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接口或消息编码不互通</w:t>
            </w:r>
          </w:p>
        </w:tc>
        <w:tc>
          <w:tcPr>
            <w:tcW w:w="447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B508C4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成对借测，确认 SDK、协议和支持；统筹及通信负责人</w:t>
            </w:r>
          </w:p>
        </w:tc>
      </w:tr>
      <w:tr w14:paraId="44B72B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597173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范围扩张</w:t>
            </w:r>
          </w:p>
        </w:tc>
        <w:tc>
          <w:tcPr>
            <w:tcW w:w="300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517515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三维效果或新场景挤占开发</w:t>
            </w:r>
          </w:p>
        </w:tc>
        <w:tc>
          <w:tcPr>
            <w:tcW w:w="4479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EF618B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按阶段验收，扩展单独估时；项目统筹</w:t>
            </w:r>
          </w:p>
        </w:tc>
      </w:tr>
    </w:tbl>
    <w:p w14:paraId="6A2B9988">
      <w:pPr>
        <w:spacing w:after="0"/>
      </w:pPr>
    </w:p>
    <w:p w14:paraId="69F5CD59">
      <w:pPr>
        <w:pStyle w:val="4"/>
      </w:pPr>
      <w:r>
        <w:t>1  每次运行检查</w:t>
      </w:r>
    </w:p>
    <w:p w14:paraId="1DB07290">
      <w:pPr>
        <w:ind w:firstLine="369"/>
      </w:pPr>
      <w:r>
        <w:t>检查场地、车辆电量、导轨、摄像头固定、标定点、设备时间和急停。系统先进入静止就绪，完成低速测试再正式演示。将供电、设备接入及程序启动顺序写入操作手册。</w:t>
      </w:r>
    </w:p>
    <w:p w14:paraId="0E3B7C71">
      <w:pPr>
        <w:pStyle w:val="4"/>
      </w:pPr>
      <w:r>
        <w:t>2  配置与版本管理</w:t>
      </w:r>
    </w:p>
    <w:p w14:paraId="323C16F1">
      <w:pPr>
        <w:ind w:firstLine="369"/>
      </w:pPr>
      <w:r>
        <w:t>每次发布保存代码、权重、标定、阈值、固件及网络配置。演示使用冻结版本，调参使用独立副本。修改相机、底盘、模型或阈值后，重跑受影响用例并记录原因。视频和日志定期备份，设置访问权限。</w:t>
      </w:r>
    </w:p>
    <w:p w14:paraId="1199803F">
      <w:pPr>
        <w:pStyle w:val="4"/>
      </w:pPr>
      <w:r>
        <w:t>3  故障恢复</w:t>
      </w:r>
    </w:p>
    <w:p w14:paraId="187AD8FA">
      <w:pPr>
        <w:ind w:firstLine="369"/>
      </w:pPr>
      <w:r>
        <w:t>车辆失联、图像冻结、目标异常或控制进程退出时进入安全停车，并显示故障来源。排障后先检查静态通信和制动，再经人工确认恢复。保留故障前后的日志与视频，不直接清空记录后重演。</w:t>
      </w:r>
    </w:p>
    <w:p w14:paraId="7E3DD33C">
      <w:r>
        <w:br w:type="page"/>
      </w:r>
    </w:p>
    <w:p w14:paraId="12D68B4E">
      <w:pPr>
        <w:pStyle w:val="3"/>
      </w:pPr>
      <w:r>
        <w:t>十六  成果交付与后续建设</w:t>
      </w:r>
    </w:p>
    <w:p w14:paraId="3047E213">
      <w:pPr>
        <w:pStyle w:val="4"/>
      </w:pPr>
      <w:r>
        <w:t>1  首期交付清单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082"/>
        <w:gridCol w:w="3175"/>
      </w:tblGrid>
      <w:tr w14:paraId="7231F4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3B6081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交付物</w:t>
            </w:r>
          </w:p>
        </w:tc>
        <w:tc>
          <w:tcPr>
            <w:tcW w:w="4082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D02493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内容</w:t>
            </w:r>
          </w:p>
        </w:tc>
        <w:tc>
          <w:tcPr>
            <w:tcW w:w="3175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EC487D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完成依据</w:t>
            </w:r>
          </w:p>
        </w:tc>
      </w:tr>
      <w:tr w14:paraId="372647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174A49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沙盘演示系统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DB7F43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感知、风险、通信、控制及大屏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5487C3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按标准脚本完成连续展示</w:t>
            </w:r>
          </w:p>
        </w:tc>
      </w:tr>
      <w:tr w14:paraId="310307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795C55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软件与配置</w:t>
            </w:r>
          </w:p>
        </w:tc>
        <w:tc>
          <w:tcPr>
            <w:tcW w:w="408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D7D118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源码、依赖、启动脚本、模型与参数</w:t>
            </w:r>
          </w:p>
        </w:tc>
        <w:tc>
          <w:tcPr>
            <w:tcW w:w="317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17EF99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指定电脑可按手册重新部署</w:t>
            </w:r>
          </w:p>
        </w:tc>
      </w:tr>
      <w:tr w14:paraId="32B330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1E1612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数据与标定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FD8546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数据集、底图、内外参及坐标时间说明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6EE205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版本和独立检查点误差可追溯</w:t>
            </w:r>
          </w:p>
        </w:tc>
      </w:tr>
      <w:tr w14:paraId="63193E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98CD1F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接口文档</w:t>
            </w:r>
          </w:p>
        </w:tc>
        <w:tc>
          <w:tcPr>
            <w:tcW w:w="408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4A091D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主题、字段、单位、有效期和异常语义</w:t>
            </w:r>
          </w:p>
        </w:tc>
        <w:tc>
          <w:tcPr>
            <w:tcW w:w="317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D423DF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与实际消息及日志一致</w:t>
            </w:r>
          </w:p>
        </w:tc>
      </w:tr>
      <w:tr w14:paraId="5D0CC4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78E54D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测试报告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982A66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完整用例、分组指标、失败和接管记录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DBB964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指标和原始证据逐项对应</w:t>
            </w:r>
          </w:p>
        </w:tc>
      </w:tr>
      <w:tr w14:paraId="739388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E240B4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操作维护手册</w:t>
            </w:r>
          </w:p>
        </w:tc>
        <w:tc>
          <w:tcPr>
            <w:tcW w:w="408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8F6750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启停、演示、急停、恢复及日常检查</w:t>
            </w:r>
          </w:p>
        </w:tc>
        <w:tc>
          <w:tcPr>
            <w:tcW w:w="3175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3751E3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非开发成员可按手册操作</w:t>
            </w:r>
          </w:p>
        </w:tc>
      </w:tr>
      <w:tr w14:paraId="1114AD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6D428F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成果展示材料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AA0BBE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3—5 分钟视频、截图与技术说明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3DA133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区分实时、回放及通信模式</w:t>
            </w:r>
          </w:p>
        </w:tc>
      </w:tr>
    </w:tbl>
    <w:p w14:paraId="1A47ED4B">
      <w:pPr>
        <w:spacing w:after="0"/>
      </w:pPr>
    </w:p>
    <w:p w14:paraId="163C732A">
      <w:pPr>
        <w:pStyle w:val="4"/>
      </w:pPr>
      <w:r>
        <w:t>2  第二阶段真实设备增强</w:t>
      </w:r>
    </w:p>
    <w:p w14:paraId="73D774C1">
      <w:pPr>
        <w:ind w:firstLine="369"/>
      </w:pPr>
      <w:r>
        <w:t>接入配套 RSU 与 OBU，完成真实空口消息映射和可靠性评估。增加第二路相机后处理去重、跨视角关联和多目标风险排序。原型网络与真实 V2X 的时延、丢包及恢复性能分别报告，避免将原型结果外推为真实设备性能。</w:t>
      </w:r>
    </w:p>
    <w:p w14:paraId="00BDBD5D">
      <w:pPr>
        <w:pStyle w:val="4"/>
      </w:pPr>
      <w:r>
        <w:t>3  第三阶段场景扩展</w:t>
      </w:r>
    </w:p>
    <w:p w14:paraId="04DD4D59">
      <w:pPr>
        <w:ind w:firstLine="369"/>
      </w:pPr>
      <w:r>
        <w:t>优先扩展学校或医院出入口横穿、非机动车与右转车辆冲突等可复用感知及预测能力的场景。救护车优先通行和绿波涉及信号控制、优先请求与路口协调，应新增子系统设计。真实场地应用另行评估环境、设备和运行要求。</w:t>
      </w:r>
    </w:p>
    <w:p w14:paraId="54611EF3">
      <w:pPr>
        <w:pStyle w:val="4"/>
      </w:pPr>
      <w:r>
        <w:t>4  科研与教学方向</w:t>
      </w:r>
    </w:p>
    <w:p w14:paraId="366B80B2">
      <w:pPr>
        <w:ind w:firstLine="369"/>
      </w:pPr>
      <w:r>
        <w:t>围绕遮挡条件下增加多少有效预警时间，比较路侧布设、时延补偿、跟踪和风险规则对提前量及停车余量的影响。消融试验至少区分单车视野基线、仅目标广播和包含时效校验的风险预警。</w:t>
      </w:r>
    </w:p>
    <w:p w14:paraId="79C7AB68">
      <w:pPr>
        <w:ind w:firstLine="369"/>
      </w:pPr>
      <w:r>
        <w:t>形成实验课程、可复现数据与算法研究基础。论文、专利或竞赛成果以实际创新和试验结论为依据，不将预期产出等同于已完成成果。</w:t>
      </w:r>
    </w:p>
    <w:p w14:paraId="530EA26E">
      <w:r>
        <w:br w:type="page"/>
      </w:r>
    </w:p>
    <w:p w14:paraId="512B9C4B">
      <w:pPr>
        <w:pStyle w:val="3"/>
      </w:pPr>
      <w:r>
        <w:t>附录一  应用消息与日志样例</w:t>
      </w:r>
    </w:p>
    <w:p w14:paraId="4EC093D2">
      <w:pPr>
        <w:ind w:firstLine="369"/>
      </w:pPr>
      <w:r>
        <w:t>以下为首期自定义接口示例，数字仅用于联调说明。主题建议为 sandbox/risk/car_A；坐标为沙盘米制，时间为统一时基毫秒值。正式协议还需明确必填项、空值、范围和错误码。</w:t>
      </w:r>
    </w:p>
    <w:p w14:paraId="7C148B3D">
      <w:pPr>
        <w:spacing w:after="0" w:line="269" w:lineRule="auto"/>
      </w:pPr>
      <w:r>
        <w:rPr>
          <w:rFonts w:ascii="Consolas" w:hAnsi="Consolas"/>
          <w:sz w:val="18"/>
        </w:rPr>
        <w:t>{</w:t>
      </w:r>
    </w:p>
    <w:p w14:paraId="4F7241B3">
      <w:pPr>
        <w:spacing w:after="0" w:line="269" w:lineRule="auto"/>
      </w:pPr>
      <w:r>
        <w:rPr>
          <w:rFonts w:ascii="Consolas" w:hAnsi="Consolas"/>
          <w:sz w:val="18"/>
        </w:rPr>
        <w:t xml:space="preserve">  "schema_version": "1.0",</w:t>
      </w:r>
    </w:p>
    <w:p w14:paraId="4F47CD1A">
      <w:pPr>
        <w:spacing w:after="0" w:line="269" w:lineRule="auto"/>
      </w:pPr>
      <w:r>
        <w:rPr>
          <w:rFonts w:ascii="Consolas" w:hAnsi="Consolas"/>
          <w:sz w:val="18"/>
        </w:rPr>
        <w:t xml:space="preserve">  "run_id": "demo_001", "source_id": "edge_01",</w:t>
      </w:r>
    </w:p>
    <w:p w14:paraId="08507323">
      <w:pPr>
        <w:spacing w:after="0" w:line="269" w:lineRule="auto"/>
      </w:pPr>
      <w:r>
        <w:rPr>
          <w:rFonts w:ascii="Consolas" w:hAnsi="Consolas"/>
          <w:sz w:val="18"/>
        </w:rPr>
        <w:t xml:space="preserve">  "event_id": "conflict_042", "seq": 128,</w:t>
      </w:r>
    </w:p>
    <w:p w14:paraId="5AA18AB0">
      <w:pPr>
        <w:spacing w:after="0" w:line="269" w:lineRule="auto"/>
      </w:pPr>
      <w:r>
        <w:rPr>
          <w:rFonts w:ascii="Consolas" w:hAnsi="Consolas"/>
          <w:sz w:val="18"/>
        </w:rPr>
        <w:t xml:space="preserve">  "measurement_time_ms": 1791043200000,</w:t>
      </w:r>
    </w:p>
    <w:p w14:paraId="6E77A785">
      <w:pPr>
        <w:spacing w:after="0" w:line="269" w:lineRule="auto"/>
      </w:pPr>
      <w:r>
        <w:rPr>
          <w:rFonts w:ascii="Consolas" w:hAnsi="Consolas"/>
          <w:sz w:val="18"/>
        </w:rPr>
        <w:t xml:space="preserve">  "sent_time_ms": 1791043200080, "valid_for_ms": 500,</w:t>
      </w:r>
    </w:p>
    <w:p w14:paraId="60129C89">
      <w:pPr>
        <w:spacing w:after="0" w:line="269" w:lineRule="auto"/>
      </w:pPr>
      <w:r>
        <w:rPr>
          <w:rFonts w:ascii="Consolas" w:hAnsi="Consolas"/>
          <w:sz w:val="18"/>
        </w:rPr>
        <w:t xml:space="preserve">  "frame_id": "sandbox_map", "vehicle_id": "car_A",</w:t>
      </w:r>
    </w:p>
    <w:p w14:paraId="35DC9E20">
      <w:pPr>
        <w:spacing w:after="0" w:line="269" w:lineRule="auto"/>
      </w:pPr>
      <w:r>
        <w:rPr>
          <w:rFonts w:ascii="Consolas" w:hAnsi="Consolas"/>
          <w:sz w:val="18"/>
        </w:rPr>
        <w:t xml:space="preserve">  "conflict_zone_id": "CZ_01", "object_id": "ped_07",</w:t>
      </w:r>
    </w:p>
    <w:p w14:paraId="4B9BA671">
      <w:pPr>
        <w:spacing w:after="0" w:line="269" w:lineRule="auto"/>
      </w:pPr>
      <w:r>
        <w:rPr>
          <w:rFonts w:ascii="Consolas" w:hAnsi="Consolas"/>
          <w:sz w:val="18"/>
        </w:rPr>
        <w:t xml:space="preserve">  "object_type": "pedestrian_model",</w:t>
      </w:r>
    </w:p>
    <w:p w14:paraId="09349AD0">
      <w:pPr>
        <w:spacing w:after="0" w:line="269" w:lineRule="auto"/>
      </w:pPr>
      <w:r>
        <w:rPr>
          <w:rFonts w:ascii="Consolas" w:hAnsi="Consolas"/>
          <w:sz w:val="18"/>
        </w:rPr>
        <w:t xml:space="preserve">  "position_m": [1.20, 0.60], "velocity_mps": [0.00, -0.20],</w:t>
      </w:r>
    </w:p>
    <w:p w14:paraId="32F4D4C4">
      <w:pPr>
        <w:spacing w:after="0" w:line="269" w:lineRule="auto"/>
      </w:pPr>
      <w:r>
        <w:rPr>
          <w:rFonts w:ascii="Consolas" w:hAnsi="Consolas"/>
          <w:sz w:val="18"/>
        </w:rPr>
        <w:t xml:space="preserve">  "confidence": 0.92, "ttc_s": 2.3,</w:t>
      </w:r>
    </w:p>
    <w:p w14:paraId="182F3575">
      <w:pPr>
        <w:spacing w:after="0" w:line="269" w:lineRule="auto"/>
      </w:pPr>
      <w:r>
        <w:rPr>
          <w:rFonts w:ascii="Consolas" w:hAnsi="Consolas"/>
          <w:sz w:val="18"/>
        </w:rPr>
        <w:t xml:space="preserve">  "risk_level": "HIGH", "recommended_action": "STOP",</w:t>
      </w:r>
    </w:p>
    <w:p w14:paraId="5D2745F0">
      <w:pPr>
        <w:spacing w:after="0" w:line="269" w:lineRule="auto"/>
      </w:pPr>
      <w:r>
        <w:rPr>
          <w:rFonts w:ascii="Consolas" w:hAnsi="Consolas"/>
          <w:sz w:val="18"/>
        </w:rPr>
        <w:t xml:space="preserve">  "quality": "VALID", "reason": "predicted_overlap"</w:t>
      </w:r>
    </w:p>
    <w:p w14:paraId="433034B4">
      <w:pPr>
        <w:spacing w:after="0" w:line="269" w:lineRule="auto"/>
      </w:pPr>
      <w:r>
        <w:rPr>
          <w:rFonts w:ascii="Consolas" w:hAnsi="Consolas"/>
          <w:sz w:val="18"/>
        </w:rPr>
        <w:t>}</w:t>
      </w:r>
    </w:p>
    <w:p w14:paraId="5E6E1B6B"/>
    <w:p w14:paraId="5119EBB5">
      <w:pPr>
        <w:ind w:firstLine="369"/>
      </w:pPr>
      <w:r>
        <w:t>有效期从 measurement_time_ms 起算，发送时刻单独记录。消息过期、时间同步失效或 quality 无效时不作为继续通行依据。TTC 未知设为 null 并解释 reason，不能用 0 代替未知；0 保留给当前已冲突语义。</w:t>
      </w:r>
    </w:p>
    <w:p w14:paraId="3AFB722E">
      <w:pPr>
        <w:pStyle w:val="4"/>
      </w:pPr>
      <w:r>
        <w:t>1  执行回执</w:t>
      </w:r>
    </w:p>
    <w:p w14:paraId="2767802C">
      <w:pPr>
        <w:ind w:firstLine="369"/>
      </w:pPr>
      <w:r>
        <w:t>回执包含 run_id、event_id、seq、vehicle_id、received_time_ms、state、speed_mps 和 fault_code。state 为 received、braking、stopped 或 released。停车确认需速度或可靠车端状态证据，车控动作经本地仲裁执行。</w:t>
      </w:r>
    </w:p>
    <w:p w14:paraId="40EF9203">
      <w:pPr>
        <w:pStyle w:val="4"/>
      </w:pPr>
      <w:r>
        <w:t>2  时延与提前量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293"/>
      </w:tblGrid>
      <w:tr w14:paraId="741371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1CC06C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统计量</w:t>
            </w:r>
          </w:p>
        </w:tc>
        <w:tc>
          <w:tcPr>
            <w:tcW w:w="6293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20B15F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计算规则</w:t>
            </w:r>
          </w:p>
        </w:tc>
      </w:tr>
      <w:tr w14:paraId="7C6C29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10FF5E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应用链路时延</w:t>
            </w:r>
          </w:p>
        </w:tc>
        <w:tc>
          <w:tcPr>
            <w:tcW w:w="629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CDAAB8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车端接收时间 − 边缘发送时间</w:t>
            </w:r>
          </w:p>
        </w:tc>
      </w:tr>
      <w:tr w14:paraId="4FA007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F6BCC2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感知预警总时延</w:t>
            </w:r>
          </w:p>
        </w:tc>
        <w:tc>
          <w:tcPr>
            <w:tcW w:w="6293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F0D292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车端接收时间 − 图像采集时间</w:t>
            </w:r>
          </w:p>
        </w:tc>
      </w:tr>
      <w:tr w14:paraId="5F618F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D054BD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制动响应总时延</w:t>
            </w:r>
          </w:p>
        </w:tc>
        <w:tc>
          <w:tcPr>
            <w:tcW w:w="629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9E55D7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制动开始时间 − 图像采集时间</w:t>
            </w:r>
          </w:p>
        </w:tc>
      </w:tr>
      <w:tr w14:paraId="235E58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570E8C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预警提前量</w:t>
            </w:r>
          </w:p>
        </w:tc>
        <w:tc>
          <w:tcPr>
            <w:tcW w:w="6293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942FF8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车载首次可见时间 − 首次有效预警接收时间</w:t>
            </w:r>
          </w:p>
        </w:tc>
      </w:tr>
    </w:tbl>
    <w:p w14:paraId="6EDEA3FE">
      <w:pPr>
        <w:spacing w:after="0"/>
      </w:pPr>
    </w:p>
    <w:p w14:paraId="1668EEB1">
      <w:r>
        <w:rPr>
          <w:sz w:val="18"/>
        </w:rPr>
        <w:t>消息统计须同时报告时钟偏差；跨设备时基未校准时，不输出伪精确的毫秒级端到端结论。位置和 TTC 都应说明对应的计算时刻。</w:t>
      </w:r>
    </w:p>
    <w:p w14:paraId="0BD9D50B">
      <w:r>
        <w:br w:type="page"/>
      </w:r>
    </w:p>
    <w:p w14:paraId="55C3D4D7">
      <w:pPr>
        <w:pStyle w:val="3"/>
      </w:pPr>
      <w:r>
        <w:t>附录二  材料对应关系与参考资料</w:t>
      </w:r>
    </w:p>
    <w:p w14:paraId="0DAF3179">
      <w:pPr>
        <w:pStyle w:val="15"/>
        <w:jc w:val="center"/>
      </w:pPr>
      <w:r>
        <w:t>表 5  组会汇报第 3—10 页与本方案对应关系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4422"/>
        <w:gridCol w:w="3628"/>
      </w:tblGrid>
      <w:tr w14:paraId="3023FB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91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B9E57D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PPT 页码</w:t>
            </w:r>
          </w:p>
        </w:tc>
        <w:tc>
          <w:tcPr>
            <w:tcW w:w="4422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3E5354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原有内容</w:t>
            </w:r>
          </w:p>
        </w:tc>
        <w:tc>
          <w:tcPr>
            <w:tcW w:w="3628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AAB76A">
            <w:pPr>
              <w:spacing w:after="0" w:line="278" w:lineRule="auto"/>
              <w:jc w:val="center"/>
            </w:pPr>
            <w:r>
              <w:rPr>
                <w:b/>
                <w:color w:val="000000"/>
                <w:sz w:val="19"/>
              </w:rPr>
              <w:t>本方案承接位置</w:t>
            </w:r>
          </w:p>
        </w:tc>
      </w:tr>
      <w:tr w14:paraId="1F2AAB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93E8C6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w="442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58D9AB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鬼探头协同感知主题与核心表达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2AFC26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摘要、建设目标</w:t>
            </w:r>
          </w:p>
        </w:tc>
      </w:tr>
      <w:tr w14:paraId="735900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614C9E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w="442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A8E1B2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建筑遮挡、单车不足、现有沙盘</w:t>
            </w:r>
          </w:p>
        </w:tc>
        <w:tc>
          <w:tcPr>
            <w:tcW w:w="362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A0AA63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建设依据、场景、对照方法</w:t>
            </w:r>
          </w:p>
        </w:tc>
      </w:tr>
      <w:tr w14:paraId="3B106E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D0DEC0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w="442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BE25F9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感知、AI、风险、V2X、控制与大屏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F6310A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架构、技术模块、通信</w:t>
            </w:r>
          </w:p>
        </w:tc>
      </w:tr>
      <w:tr w14:paraId="48EBD2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F8269B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  <w:tc>
          <w:tcPr>
            <w:tcW w:w="442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BF3F06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六步演示、TTC＝2.3 s、减速停车</w:t>
            </w:r>
          </w:p>
        </w:tc>
        <w:tc>
          <w:tcPr>
            <w:tcW w:w="362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FAF87B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风险样例、车控、演示脚本</w:t>
            </w:r>
          </w:p>
        </w:tc>
      </w:tr>
      <w:tr w14:paraId="47ACC0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E4B2FC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7</w:t>
            </w:r>
          </w:p>
        </w:tc>
        <w:tc>
          <w:tcPr>
            <w:tcW w:w="442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18D425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四区大屏、虚拟目标、指标与响应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064ADE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大屏、投影、事件回执</w:t>
            </w:r>
          </w:p>
        </w:tc>
      </w:tr>
      <w:tr w14:paraId="1B6B29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0A917C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8</w:t>
            </w:r>
          </w:p>
        </w:tc>
        <w:tc>
          <w:tcPr>
            <w:tcW w:w="442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E8B173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Wi-Fi／MQTT 原型与后续真实 V2X</w:t>
            </w:r>
          </w:p>
        </w:tc>
        <w:tc>
          <w:tcPr>
            <w:tcW w:w="362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150175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阶段边界、通信、采购顺序</w:t>
            </w:r>
          </w:p>
        </w:tc>
      </w:tr>
      <w:tr w14:paraId="18ED2A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46C52E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9</w:t>
            </w:r>
          </w:p>
        </w:tc>
        <w:tc>
          <w:tcPr>
            <w:tcW w:w="442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68B96E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图片形式的设备及数量清单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59EC08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设备配置、预算</w:t>
            </w:r>
          </w:p>
        </w:tc>
      </w:tr>
      <w:tr w14:paraId="2435AC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A622BC">
            <w:pPr>
              <w:spacing w:after="0" w:line="278" w:lineRule="auto"/>
              <w:jc w:val="center"/>
            </w:pPr>
            <w:r>
              <w:rPr>
                <w:b w:val="0"/>
                <w:color w:val="000000"/>
                <w:sz w:val="19"/>
              </w:rPr>
              <w:t>10</w:t>
            </w:r>
          </w:p>
        </w:tc>
        <w:tc>
          <w:tcPr>
            <w:tcW w:w="4422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EB365A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项目价值与三阶段推进</w:t>
            </w:r>
          </w:p>
        </w:tc>
        <w:tc>
          <w:tcPr>
            <w:tcW w:w="3628" w:type="dxa"/>
            <w:shd w:val="clear" w:color="auto" w:fill="F5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2E2ADC">
            <w:pPr>
              <w:spacing w:after="0" w:line="278" w:lineRule="auto"/>
            </w:pPr>
            <w:r>
              <w:rPr>
                <w:b w:val="0"/>
                <w:color w:val="000000"/>
                <w:sz w:val="19"/>
              </w:rPr>
              <w:t>进度、交付、后续建设</w:t>
            </w:r>
          </w:p>
        </w:tc>
      </w:tr>
    </w:tbl>
    <w:p w14:paraId="2C2B5B58">
      <w:pPr>
        <w:spacing w:after="0"/>
      </w:pPr>
    </w:p>
    <w:p w14:paraId="0E7B1A22">
      <w:pPr>
        <w:pStyle w:val="4"/>
      </w:pPr>
      <w:r>
        <w:t>参考资料</w:t>
      </w:r>
    </w:p>
    <w:p w14:paraId="236DA68C">
      <w:r>
        <w:rPr>
          <w:sz w:val="18"/>
        </w:rPr>
        <w:t>[1] 林兴城．组会汇报．项目文件夹“9.28第三次组会/组会汇报.pptx”，第 3—10 页及对应讲稿。图 1 为其中第 4 页沙盘图片。</w:t>
      </w:r>
    </w:p>
    <w:p w14:paraId="5353BEC1">
      <w:r>
        <w:fldChar w:fldCharType="begin"/>
      </w:r>
      <w:r>
        <w:instrText xml:space="preserve"> HYPERLINK "https://docs.oasis-open.org/mqtt/mqtt/v5.0/mqtt-v5.0.html" \h </w:instrText>
      </w:r>
      <w:r>
        <w:fldChar w:fldCharType="separate"/>
      </w:r>
      <w:r>
        <w:rPr>
          <w:color w:val="234D71"/>
          <w:sz w:val="19"/>
        </w:rPr>
        <w:t>[2] OASIS  MQTT Version 5.0  2019年3月7日</w:t>
      </w:r>
      <w:r>
        <w:rPr>
          <w:color w:val="234D71"/>
          <w:sz w:val="19"/>
        </w:rPr>
        <w:fldChar w:fldCharType="end"/>
      </w:r>
    </w:p>
    <w:p w14:paraId="533D172F">
      <w:r>
        <w:rPr>
          <w:sz w:val="18"/>
        </w:rPr>
        <w:t>用于核对发布订阅、QoS、保留消息和过期机制。应用有效期、去重及失效保护另由本方案定义。</w:t>
      </w:r>
    </w:p>
    <w:p w14:paraId="73BCA74B">
      <w:r>
        <w:fldChar w:fldCharType="begin"/>
      </w:r>
      <w:r>
        <w:instrText xml:space="preserve"> HYPERLINK "https://www.etsi.org/deliver/etsi_ts/103300_103399/103324/02.01.01_60/ts_103324v020101p.pdf" \h </w:instrText>
      </w:r>
      <w:r>
        <w:fldChar w:fldCharType="separate"/>
      </w:r>
      <w:r>
        <w:rPr>
          <w:color w:val="234D71"/>
          <w:sz w:val="19"/>
        </w:rPr>
        <w:t>[3] ETSI TS 103 324 V2.1.1  Collective Perception Service</w:t>
      </w:r>
      <w:r>
        <w:rPr>
          <w:color w:val="234D71"/>
          <w:sz w:val="19"/>
        </w:rPr>
        <w:fldChar w:fldCharType="end"/>
      </w:r>
    </w:p>
    <w:p w14:paraId="40AB02B6">
      <w:r>
        <w:rPr>
          <w:sz w:val="18"/>
        </w:rPr>
        <w:t>作为目标状态与感知信息共享的参考，不作为本项目已满足正式协议一致性的证明。</w:t>
      </w:r>
    </w:p>
    <w:p w14:paraId="66C82891">
      <w:r>
        <w:fldChar w:fldCharType="begin"/>
      </w:r>
      <w:r>
        <w:instrText xml:space="preserve"> HYPERLINK "https://www.nvidia.com/en-us/autonomous-machines/embedded-systems/jetson-orin/nano-super-developer-kit/" \h </w:instrText>
      </w:r>
      <w:r>
        <w:fldChar w:fldCharType="separate"/>
      </w:r>
      <w:r>
        <w:rPr>
          <w:color w:val="234D71"/>
          <w:sz w:val="19"/>
        </w:rPr>
        <w:t>[4] NVIDIA  Jetson Orin Nano Super Developer Kit 官方说明</w:t>
      </w:r>
      <w:r>
        <w:rPr>
          <w:color w:val="234D71"/>
          <w:sz w:val="19"/>
        </w:rPr>
        <w:fldChar w:fldCharType="end"/>
      </w:r>
    </w:p>
    <w:p w14:paraId="59256D2B">
      <w:r>
        <w:rPr>
          <w:sz w:val="18"/>
        </w:rPr>
        <w:t>用于设备平台核查，配置和运行能力按采购套件及模型实测确定。外部资料核验日期为 2026年10月4日。</w:t>
      </w:r>
    </w:p>
    <w:p w14:paraId="37F396B2">
      <w:pPr>
        <w:pStyle w:val="4"/>
      </w:pPr>
      <w:r>
        <w:t>启动时优先确认事项</w:t>
      </w:r>
    </w:p>
    <w:p w14:paraId="7EA1A827">
      <w:pPr>
        <w:ind w:firstLine="369"/>
      </w:pPr>
      <w:r>
        <w:t>核查小车控制与速度反馈接口、可复用计算设备、沙盘尺寸与目标模型、演示区域及预算额度。摸底后冻结设备、巡航速度、阈值、验收指标和实施人员，进入正式开发。</w:t>
      </w:r>
    </w:p>
    <w:sectPr>
      <w:footerReference r:id="rId5" w:type="default"/>
      <w:pgSz w:w="11906" w:h="16838"/>
      <w:pgMar w:top="1191" w:right="1332" w:bottom="1077" w:left="1332" w:header="72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05F76">
    <w:pPr>
      <w:pStyle w:val="24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4B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40" w:line="307" w:lineRule="auto"/>
    </w:pPr>
    <w:rPr>
      <w:rFonts w:ascii="Calibri" w:hAnsi="Calibri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00" w:after="140" w:line="276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00" w:after="140" w:line="27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after="140" w:line="276" w:lineRule="auto"/>
    </w:pPr>
    <w:rPr>
      <w:rFonts w:ascii="Calibri" w:hAnsi="Calibri" w:eastAsia="宋体"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widowControl/>
      <w:spacing w:after="140" w:line="276" w:lineRule="auto"/>
    </w:pPr>
    <w:rPr>
      <w:rFonts w:asciiTheme="majorHAnsi" w:hAnsiTheme="majorHAnsi" w:eastAsiaTheme="majorEastAsia" w:cstheme="majorBidi"/>
      <w:iCs/>
      <w:color w:val="000000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widowControl/>
      <w:spacing w:after="140" w:line="276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3195</Words>
  <Characters>3324</Characters>
  <Lines>0</Lines>
  <Paragraphs>0</Paragraphs>
  <TotalTime>0</TotalTime>
  <ScaleCrop>false</ScaleCrop>
  <LinksUpToDate>false</LinksUpToDate>
  <CharactersWithSpaces>3469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智慧交通工程中心项目组</dc:creator>
  <cp:lastModifiedBy>林兴城</cp:lastModifiedBy>
  <dcterms:modified xsi:type="dcterms:W3CDTF">2026-10-07T10:58:25Z</dcterms:modified>
  <dc:subject>沙盘建设与实施方案</dc:subject>
  <dc:title>基于沙盘的车路协同鬼探头感知预警项目方案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eyJoZGlkIjoiZjFmZWIzNDg2MmIzZjExOTIzMmViNTBmYTMwYTk0ZWYiLCJ1c2VySWQiOiIxNzY1MDM4NDMzIn0=</vt:lpwstr>
  </property>
  <property fmtid="{D5CDD505-2E9C-101B-9397-08002B2CF9AE}" pid="3" name="KSOProductBuildVer">
    <vt:lpwstr>2052-12.1.0.28505</vt:lpwstr>
  </property>
  <property fmtid="{D5CDD505-2E9C-101B-9397-08002B2CF9AE}" pid="4" name="ICV">
    <vt:lpwstr>2DF76C26B1B04FF48D40A7951678A675_12</vt:lpwstr>
  </property>
</Properties>
</file>