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80"/>
      </w:pPr>
    </w:p>
    <w:p>
      <w:pPr>
        <w:spacing w:after="360"/>
        <w:jc w:val="center"/>
      </w:pPr>
      <w:r>
        <w:rPr>
          <w:rFonts w:ascii="Microsoft YaHei" w:hAnsi="Microsoft YaHei" w:eastAsia="Microsoft YaHei" w:cs="Microsoft YaHei"/>
          <w:b/>
          <w:color w:val="2E5E7E"/>
          <w:sz w:val="22"/>
        </w:rPr>
        <w:t>文献综述</w:t>
      </w:r>
    </w:p>
    <w:p>
      <w:pPr>
        <w:spacing w:after="200"/>
        <w:jc w:val="center"/>
      </w:pPr>
      <w:r>
        <w:rPr>
          <w:rFonts w:ascii="Microsoft YaHei" w:hAnsi="Microsoft YaHei" w:eastAsia="Microsoft YaHei" w:cs="Microsoft YaHei"/>
          <w:b/>
          <w:color w:val="173B57"/>
          <w:sz w:val="52"/>
        </w:rPr>
        <w:t>面向社会基础设施数值时序 AI 的分布外检测</w:t>
      </w:r>
    </w:p>
    <w:p>
      <w:pPr>
        <w:spacing w:after="560"/>
        <w:jc w:val="center"/>
      </w:pPr>
      <w:r>
        <w:rPr>
          <w:rFonts w:ascii="Microsoft YaHei" w:hAnsi="Microsoft YaHei" w:eastAsia="Microsoft YaHei" w:cs="Microsoft YaHei"/>
          <w:color w:val="2E5E7E"/>
          <w:sz w:val="28"/>
        </w:rPr>
        <w:t>文献综述与评价方案</w:t>
      </w:r>
    </w:p>
    <w:p>
      <w:pPr>
        <w:jc w:val="center"/>
      </w:pPr>
      <w:r>
        <w:rPr>
          <w:rFonts w:ascii="Microsoft YaHei" w:hAnsi="Microsoft YaHei" w:eastAsia="Microsoft YaHei" w:cs="Microsoft YaHei"/>
          <w:color w:val="5B6570"/>
          <w:sz w:val="21"/>
        </w:rPr>
        <w:t>两周技术调研与实验建议</w:t>
      </w:r>
    </w:p>
    <w:p>
      <w:pPr>
        <w:spacing w:after="1600"/>
        <w:jc w:val="center"/>
      </w:pPr>
      <w:r>
        <w:rPr>
          <w:rFonts w:ascii="Microsoft YaHei" w:hAnsi="Microsoft YaHei" w:eastAsia="Microsoft YaHei" w:cs="Microsoft YaHei"/>
          <w:color w:val="5B6570"/>
          <w:sz w:val="21"/>
        </w:rPr>
        <w:t>2026 年 8 月 17 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8F1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73B57"/>
                <w:sz w:val="21"/>
              </w:rPr>
              <w:t>建议起点：1-D ResNet + Energy + Mahalanobis + 深层特征 PCA；先在 UEA 类别留出基准评价，再扩展到 TEP 与遥测数据。</w:t>
            </w:r>
          </w:p>
        </w:tc>
      </w:tr>
    </w:tbl>
    <w:p>
      <w:r>
        <w:br w:type="page"/>
      </w:r>
    </w:p>
    <w:p>
      <w:r>
        <w:t>适用范围： 监视控制系统、工业传感器流、遥测数据及其他非图像多变量时序数据 整理日期： 2026 年 8 月 17 日 建议调研周期： 两周</w:t>
      </w:r>
    </w:p>
    <w:p>
      <w:pPr>
        <w:pStyle w:val="Heading1"/>
      </w:pPr>
      <w:r>
        <w:t>摘要</w:t>
      </w:r>
    </w:p>
    <w:p>
      <w:r>
        <w:t>分布外检测（Out-of-Distribution Detection, OOD Detection）用于识别与 AI 模型训练数据分布明显不同的输入。它是一种安全机制，而不是故障诊断的替代品：当系统遇到陌生的传感器窗口时，应拒绝预测、发出告警或切换至安全后备控制，而不是继续输出高置信度结果。对于社会基础设施，这一点尤其重要，因为季节变化、设备老化、检修、传感器更换、网络攻击和训练中未出现的新故障都会造成分布变化。</w:t>
      </w:r>
    </w:p>
    <w:p>
      <w:r>
        <w:t>图像分类领域的 OOD 研究较成熟，但多变量时序领域仍处于早期。最新 TS-OOD 基准表明，多种图像领域常用的后处理方法在时序数据上表现有限，而对深层特征进行 PCA、高斯、单类 SVM 或孤立森林建模的方法更有潜力 [1]。因此，本报告建议分阶段评价：（1）使用公开 UEA 多变量时序档案，通过类别留出建立严格的语义 OOD 基准；（2）使用 Tennessee Eastman Process（TEP）、SMAP/MSL、SMD，以及在取得许可后使用 SWaT/WADI，验证工业异常与漂移；（3）增加面向部署的误报、检测延迟、计算开销和跨运行工况稳定性评价。</w:t>
      </w:r>
    </w:p>
    <w:p>
      <w:r>
        <w:t>实践上建议先实现三类透明基线：Energy Score、Mahalanobis 距离和深层特征重构（PCA 或单类 SVM）。如果系统没有分类器，则可对时序窗口提取统计特征后使用 PCA/Mahalanobis，或使用预测/重构误差。对安全关键系统，可以加入保形校准，使阈值具有误报率解释，但必须检查时间相关性下的可交换性假设。</w:t>
      </w:r>
    </w:p>
    <w:p>
      <w:pPr>
        <w:pStyle w:val="Heading1"/>
      </w:pPr>
      <w:r>
        <w:t>1. 范围与术语</w:t>
      </w:r>
    </w:p>
    <w:p>
      <w:r>
        <w:t>设输入窗口为 x_{t-L+1:t}\in\mathbb{R}^{L\times d}，其中 L 为窗口长度，d 为传感器或控制变量数。训练数据来自分布内过程 P_{ID}。部署时，检测器输出 OOD 分数 s(x)；当 s(x)&gt;\tau 时拒绝该输入，阈值 \tau 应由独立校准数据确定。</w:t>
      </w:r>
    </w:p>
    <w:p>
      <w:r>
        <w:t>需要区分三个相关但不同的问题：</w:t>
      </w:r>
    </w:p>
    <w:p>
      <w:pPr>
        <w:pStyle w:val="ListNumber"/>
      </w:pPr>
      <w:r>
        <w:t>语义 OOD 检测： 输入属于训练中没有出现的类别或运行模式，例如未知故障类型。分类器仍输出类别或特征，OOD 检测器决定是否拒绝。</w:t>
      </w:r>
    </w:p>
    <w:p>
      <w:pPr>
        <w:pStyle w:val="ListNumber"/>
      </w:pPr>
      <w:r>
        <w:t>协变量漂移 / 概念漂移： 因季节、负荷、环境、校准、老化或控制策略变化导致传感器统计发生改变，目标概念可能不变，也可能逐渐改变。</w:t>
      </w:r>
    </w:p>
    <w:p>
      <w:pPr>
        <w:pStyle w:val="ListNumber"/>
      </w:pPr>
      <w:r>
        <w:t>时序异常检测（TSAD）： 判断单个时间点或时间区间是否偏离正常行为。通常只用正常数据训练，并不要求存在分类器。</w:t>
      </w:r>
    </w:p>
    <w:p>
      <w:r>
        <w:t>这三类任务在现场会重叠，但实验划分不能混用。若把来源完全不同的数据集直接混合作为 ID/OOD，算法可能只利用采样率、通道数或尺度等简单差异，导致结果虚高。更合理的语义 OOD 设置应从同一原始数据集中划分已知类与未知类，从而保持传感器来源和采集条件一致 [1]。</w:t>
      </w:r>
    </w:p>
    <w:p>
      <w:pPr>
        <w:pStyle w:val="Heading1"/>
      </w:pPr>
      <w:r>
        <w:t>2. 时序 OOD 的主要难点</w:t>
      </w:r>
    </w:p>
    <w:p>
      <w:pPr>
        <w:pStyle w:val="ListBullet"/>
      </w:pPr>
      <w:r>
        <w:t>时间与跨传感器依赖： 异常可能只体现在滞后关系、相位、导数或变量间关系中，单个数值仍处于正常范围。</w:t>
      </w:r>
    </w:p>
    <w:p>
      <w:pPr>
        <w:pStyle w:val="ListBullet"/>
      </w:pPr>
      <w:r>
        <w:t>多种合法工况： 启停、检修、峰值负荷、季节运行和控制策略变化可能罕见但正常。</w:t>
      </w:r>
    </w:p>
    <w:p>
      <w:pPr>
        <w:pStyle w:val="ListBullet"/>
      </w:pPr>
      <w:r>
        <w:t>强非平稳性： ID 分布持续变化，固定阈值容易造成告警洪泛。</w:t>
      </w:r>
    </w:p>
    <w:p>
      <w:pPr>
        <w:pStyle w:val="ListBullet"/>
      </w:pPr>
      <w:r>
        <w:t>缺少通用预训练骨干： 各时序领域差异大，表示质量高度依赖模型、窗口、采样率和数据增强。</w:t>
      </w:r>
    </w:p>
    <w:p>
      <w:pPr>
        <w:pStyle w:val="ListBullet"/>
      </w:pPr>
      <w:r>
        <w:t>评价泄漏： 相邻重叠窗口随机切分、在测试集上调阈值，以及 point adjustment 都可能显著夸大性能 [18,19]。</w:t>
      </w:r>
    </w:p>
    <w:p>
      <w:pPr>
        <w:pStyle w:val="Heading1"/>
      </w:pPr>
      <w:r>
        <w:t>3. 技术分类与特点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800"/>
        <w:gridCol w:w="1550"/>
        <w:gridCol w:w="1700"/>
        <w:gridCol w:w="1500"/>
        <w:gridCol w:w="1660"/>
      </w:tblGrid>
      <w:tr>
        <w:trPr>
          <w:tblHeader w:val="true"/>
        </w:trPr>
        <w:tc>
          <w:tcPr>
            <w:tcW w:type="dxa" w:w="115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B57"/>
                <w:sz w:val="16"/>
              </w:rPr>
              <w:t>技术族</w:t>
            </w:r>
          </w:p>
        </w:tc>
        <w:tc>
          <w:tcPr>
            <w:tcW w:type="dxa" w:w="180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B57"/>
                <w:sz w:val="16"/>
              </w:rPr>
              <w:t>代表方法</w:t>
            </w:r>
          </w:p>
        </w:tc>
        <w:tc>
          <w:tcPr>
            <w:tcW w:type="dxa" w:w="155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B57"/>
                <w:sz w:val="16"/>
              </w:rPr>
              <w:t>核心思想</w:t>
            </w:r>
          </w:p>
        </w:tc>
        <w:tc>
          <w:tcPr>
            <w:tcW w:type="dxa" w:w="170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B57"/>
                <w:sz w:val="16"/>
              </w:rPr>
              <w:t>优点</w:t>
            </w:r>
          </w:p>
        </w:tc>
        <w:tc>
          <w:tcPr>
            <w:tcW w:type="dxa" w:w="150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B57"/>
                <w:sz w:val="16"/>
              </w:rPr>
              <w:t>主要限制</w:t>
            </w:r>
          </w:p>
        </w:tc>
        <w:tc>
          <w:tcPr>
            <w:tcW w:type="dxa" w:w="166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B57"/>
                <w:sz w:val="16"/>
              </w:rPr>
              <w:t>适用场景</w:t>
            </w:r>
          </w:p>
        </w:tc>
      </w:tr>
      <w:tr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输出置信度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MSP [2]、ODIN [3]</w:t>
            </w:r>
          </w:p>
        </w:tc>
        <w:tc>
          <w:tcPr>
            <w:tcW w:type="dxa" w:w="1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低 softmax 置信度视为 OOD；ODIN 加入温度缩放和输入扰动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简单、无需重训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网络可能对 OOD 仍过度自信；TS-OOD 中迁移较弱</w:t>
            </w:r>
          </w:p>
        </w:tc>
        <w:tc>
          <w:tcPr>
            <w:tcW w:type="dxa" w:w="1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现有分类器的快速基线</w:t>
            </w:r>
          </w:p>
        </w:tc>
      </w:tr>
      <w:tr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Logit / 能量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Energy [4]</w:t>
            </w:r>
          </w:p>
        </w:tc>
        <w:tc>
          <w:tcPr>
            <w:tcW w:type="dxa" w:w="1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用 log-sum-exp 能量替代归一化置信度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简单、低开销、模型无关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阈值依赖模型和漂移；不直接建模时间关系</w:t>
            </w:r>
          </w:p>
        </w:tc>
        <w:tc>
          <w:tcPr>
            <w:tcW w:type="dxa" w:w="1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能访问 logits 的分类系统</w:t>
            </w:r>
          </w:p>
        </w:tc>
      </w:tr>
      <w:tr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激活整形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ReAct [5]、DICE [6]</w:t>
            </w:r>
          </w:p>
        </w:tc>
        <w:tc>
          <w:tcPr>
            <w:tcW w:type="dxa" w:w="1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截断异常激活或剪除低贡献权重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图像上效果强；后处理方式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时序特征未必满足其假设，TS-OOD 平均表现有限</w:t>
            </w:r>
          </w:p>
        </w:tc>
        <w:tc>
          <w:tcPr>
            <w:tcW w:type="dxa" w:w="1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检查特征后作为次级基线</w:t>
            </w:r>
          </w:p>
        </w:tc>
      </w:tr>
      <w:tr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梯度方法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GradNorm [7]</w:t>
            </w:r>
          </w:p>
        </w:tc>
        <w:tc>
          <w:tcPr>
            <w:tcW w:type="dxa" w:w="1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使用朝均匀目标反传得到的梯度范数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利用输出之外的信息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推理需反向传播，延迟较大</w:t>
            </w:r>
          </w:p>
        </w:tc>
        <w:tc>
          <w:tcPr>
            <w:tcW w:type="dxa" w:w="1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离线分析或低频监测</w:t>
            </w:r>
          </w:p>
        </w:tc>
      </w:tr>
      <w:tr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特征距离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Mahalanobis [8]</w:t>
            </w:r>
          </w:p>
        </w:tc>
        <w:tc>
          <w:tcPr>
            <w:tcW w:type="dxa" w:w="1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拟合类别条件高斯并计算到最近类别的距离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可解释、透明、较强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协方差不稳定；多模态 ID 可能不满足高斯假设</w:t>
            </w:r>
          </w:p>
        </w:tc>
        <w:tc>
          <w:tcPr>
            <w:tcW w:type="dxa" w:w="1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有稳定嵌入的分类器</w:t>
            </w:r>
          </w:p>
        </w:tc>
      </w:tr>
      <w:tr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深层特征建模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DFM-PCA / OCSVM / IF [1]</w:t>
            </w:r>
          </w:p>
        </w:tc>
        <w:tc>
          <w:tcPr>
            <w:tcW w:type="dxa" w:w="1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对内部特征拟合低维子空间或单类模型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TS-OOD 中最有潜力，推理开销低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依赖层选择和表示质量；工况改变后需更新</w:t>
            </w:r>
          </w:p>
        </w:tc>
        <w:tc>
          <w:tcPr>
            <w:tcW w:type="dxa" w:w="1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时序分类器的首选路线</w:t>
            </w:r>
          </w:p>
        </w:tc>
      </w:tr>
      <w:tr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单类表示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Deep SVDD [9]、DROCC [10]</w:t>
            </w:r>
          </w:p>
        </w:tc>
        <w:tc>
          <w:tcPr>
            <w:tcW w:type="dxa" w:w="1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学习正常数据的紧致表示或边界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不需要异常标签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表示塌缩和调参风险；可能合并不同正常工况</w:t>
            </w:r>
          </w:p>
        </w:tc>
        <w:tc>
          <w:tcPr>
            <w:tcW w:type="dxa" w:w="1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仅有正常数据的设备监测</w:t>
            </w:r>
          </w:p>
        </w:tc>
      </w:tr>
      <w:tr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重构 / 预测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AE、VAE、USAD、OmniAnomaly、TranAD</w:t>
            </w:r>
          </w:p>
        </w:tc>
        <w:tc>
          <w:tcPr>
            <w:tcW w:type="dxa" w:w="1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学习正常动态，高重构或预测误差视为异常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适合多变量传感器，可定位变量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强模型也可能重构异常；污染和阈值敏感</w:t>
            </w:r>
          </w:p>
        </w:tc>
        <w:tc>
          <w:tcPr>
            <w:tcW w:type="dxa" w:w="1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无分类标签的连续监视</w:t>
            </w:r>
          </w:p>
        </w:tc>
      </w:tr>
      <w:tr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生成似然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VAE、Flow、Likelihood Ratio [11,12]</w:t>
            </w:r>
          </w:p>
        </w:tc>
        <w:tc>
          <w:tcPr>
            <w:tcW w:type="dxa" w:w="1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建模 ID 密度并拒绝低似然输入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概率形式灵活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原始似然可能给 OOD 更高值</w:t>
            </w:r>
          </w:p>
        </w:tc>
        <w:tc>
          <w:tcPr>
            <w:tcW w:type="dxa" w:w="1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仅在校正似然并严格验证后使用</w:t>
            </w:r>
          </w:p>
        </w:tc>
      </w:tr>
      <w:tr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不确定性集成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MC Dropout [13]、Deep Ensemble [14]</w:t>
            </w:r>
          </w:p>
        </w:tc>
        <w:tc>
          <w:tcPr>
            <w:tcW w:type="dxa" w:w="1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使用预测方差或模型分歧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可估计认知不确定性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多次推理或多模型；不确定性不等于 OOD</w:t>
            </w:r>
          </w:p>
        </w:tc>
        <w:tc>
          <w:tcPr>
            <w:tcW w:type="dxa" w:w="1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计算资源充足的高价值决策</w:t>
            </w:r>
          </w:p>
        </w:tc>
      </w:tr>
      <w:tr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Outlier Exposure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OE [15]</w:t>
            </w:r>
          </w:p>
        </w:tc>
        <w:tc>
          <w:tcPr>
            <w:tcW w:type="dxa" w:w="1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用辅助异常样本训练低置信区域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有代表性异常时提升明显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依赖辅助数据覆盖；可能发生基准泄漏</w:t>
            </w:r>
          </w:p>
        </w:tc>
        <w:tc>
          <w:tcPr>
            <w:tcW w:type="dxa" w:w="1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已知干扰类型或可模拟故障</w:t>
            </w:r>
          </w:p>
        </w:tc>
      </w:tr>
      <w:tr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时序专用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SRS [16]、CODiT [17]</w:t>
            </w:r>
          </w:p>
        </w:tc>
        <w:tc>
          <w:tcPr>
            <w:tcW w:type="dxa" w:w="1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季节分解/似然比，或保形时序等变性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显式利用时间结构；CODiT 可解释误报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SRS 计算较重；保形有效性依赖假设</w:t>
            </w:r>
          </w:p>
        </w:tc>
        <w:tc>
          <w:tcPr>
            <w:tcW w:type="dxa" w:w="1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强周期过程或需要校准告警的系统</w:t>
            </w:r>
          </w:p>
        </w:tc>
      </w:tr>
    </w:tbl>
    <w:p>
      <w:pPr>
        <w:spacing w:after="20"/>
      </w:pPr>
    </w:p>
    <w:p>
      <w:pPr>
        <w:pStyle w:val="Heading1"/>
      </w:pPr>
      <w:r>
        <w:t>4. 文献中的做法与结论</w:t>
      </w:r>
    </w:p>
    <w:p>
      <w:pPr>
        <w:pStyle w:val="Heading2"/>
      </w:pPr>
      <w:r>
        <w:t>4.1 通用 OOD 方法</w:t>
      </w:r>
    </w:p>
    <w:p>
      <w:r>
        <w:t>MSP 是最基础的置信度基线：正确分类的 ID 样本通常具有更高的最大 softmax 概率 [2]。ODIN 通过温度缩放和微小输入扰动扩大 ID/OOD 分数差异 [3]。Energy 方法直接利用 logits 构造能量分数，在图像基准上显著降低 FPR95 [4]。Mahalanobis 方法把网络多层特征近似为共享协方差的类别条件高斯分布 [8]。ReAct、DICE 和 GradNorm 分别利用激活截断、权重稀疏化和梯度空间信息 [5-7]。</w:t>
      </w:r>
    </w:p>
    <w:p>
      <w:r>
        <w:t>但这些图像结果不能直接外推到传感器时序。TS-OOD 将 13 个 UEA 多变量数据集按类别一半划为 ID、一半划为 OOD，并比较 1-D ResNet、Transformer 和 LSTM。多数置信度及激活方法不稳定；PCA、单类 SVM 等深层特征模型整体更强，且实验中的 1-D ResNet 平均优于 LSTM 和 Transformer [1]。这说明首先应保证时序表示质量，再选择检测分数。</w:t>
      </w:r>
    </w:p>
    <w:p>
      <w:pPr>
        <w:pStyle w:val="Heading2"/>
      </w:pPr>
      <w:r>
        <w:t>4.2 时序专用方法</w:t>
      </w:r>
    </w:p>
    <w:p>
      <w:r>
        <w:t>Seasonal Ratio Scoring（SRS）把时序分解为类别相关的语义/季节成分和残差，分别估计条件似然后计算比值 [16]。它适合周期结构明显的系统，但分解和生成模型使其计算及实现成本较高。</w:t>
      </w:r>
    </w:p>
    <w:p>
      <w:r>
        <w:t>CODiT 将模型对时间变换的等变性偏差作为保形非一致性分数，并组合多个检测器 [17]。它对安全工程有吸引力，因为阈值能够与误报解释联系起来。不过，普通保形预测依赖可交换性；自相关、在线适应和工况切换下，应使用分块、加权或序贯校准，而不能直接采用独立同分布划分。</w:t>
      </w:r>
    </w:p>
    <w:p>
      <w:r>
        <w:t>对于仅有正常数据的监视任务，单类、重构和预测方法通常比分类器 OOD 分数更自然。Deep SVDD 学习包围正常表示的超球体 [9]；DROCC 在正常流形附近构造对抗样本，并已覆盖时序任务 [10]。OmniAnomaly、USAD 和 Transformer 类检测器则学习时间依赖并输出连续异常分数。它们属于 TSAD，而不完全等同于语义 OOD。</w:t>
      </w:r>
    </w:p>
    <w:p>
      <w:pPr>
        <w:pStyle w:val="Heading2"/>
      </w:pPr>
      <w:r>
        <w:t>4.3 需要特别注意的负面证据</w:t>
      </w:r>
    </w:p>
    <w:p>
      <w:r>
        <w:t>生成模型似然并非天然可靠。Flow 等模型可能因为背景统计简单而给 OOD 数据更高似然 [11,12]。此外，很多 TSAD 论文采用 point adjustment：只要异常区间中的一个点被检出，就把整段视为检出。研究表明，这会让随机分数看起来也很强 [19]。因此必须保留原始分数，并分别报告点级、事件级和延迟指标。</w:t>
      </w:r>
    </w:p>
    <w:p>
      <w:pPr>
        <w:pStyle w:val="Heading1"/>
      </w:pPr>
      <w:r>
        <w:t>5. 通用公开数据集 / Public Dataset</w:t>
      </w:r>
    </w:p>
    <w:p>
      <w:pPr>
        <w:pStyle w:val="Heading2"/>
      </w:pPr>
      <w:r>
        <w:t>5.1 推荐的数据集组合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800"/>
        <w:gridCol w:w="1550"/>
        <w:gridCol w:w="1700"/>
        <w:gridCol w:w="1500"/>
        <w:gridCol w:w="1660"/>
      </w:tblGrid>
      <w:tr>
        <w:trPr>
          <w:tblHeader w:val="true"/>
        </w:trPr>
        <w:tc>
          <w:tcPr>
            <w:tcW w:type="dxa" w:w="115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B57"/>
                <w:sz w:val="16"/>
              </w:rPr>
              <w:t>优先级</w:t>
            </w:r>
          </w:p>
        </w:tc>
        <w:tc>
          <w:tcPr>
            <w:tcW w:type="dxa" w:w="180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B57"/>
                <w:sz w:val="16"/>
              </w:rPr>
              <w:t>数据集 / 基准</w:t>
            </w:r>
          </w:p>
        </w:tc>
        <w:tc>
          <w:tcPr>
            <w:tcW w:type="dxa" w:w="155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B57"/>
                <w:sz w:val="16"/>
              </w:rPr>
              <w:t>内容</w:t>
            </w:r>
          </w:p>
        </w:tc>
        <w:tc>
          <w:tcPr>
            <w:tcW w:type="dxa" w:w="170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B57"/>
                <w:sz w:val="16"/>
              </w:rPr>
              <w:t>最佳用途</w:t>
            </w:r>
          </w:p>
        </w:tc>
        <w:tc>
          <w:tcPr>
            <w:tcW w:type="dxa" w:w="150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B57"/>
                <w:sz w:val="16"/>
              </w:rPr>
              <w:t>获取方式</w:t>
            </w:r>
          </w:p>
        </w:tc>
        <w:tc>
          <w:tcPr>
            <w:tcW w:type="dxa" w:w="166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B57"/>
                <w:sz w:val="16"/>
              </w:rPr>
              <w:t>主要注意点</w:t>
            </w:r>
          </w:p>
        </w:tc>
      </w:tr>
      <w:tr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A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UEA/TSML 多变量档案 [1,20]</w:t>
            </w:r>
          </w:p>
        </w:tc>
        <w:tc>
          <w:tcPr>
            <w:tcW w:type="dxa" w:w="1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30 个以上带类别的多变量时序数据集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类别留出的语义 OOD；复现 TS-OOD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Zenodo/档案公开下载</w:t>
            </w:r>
          </w:p>
        </w:tc>
        <w:tc>
          <w:tcPr>
            <w:tcW w:type="dxa" w:w="1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研究型分类任务较多，并非全部属于基础设施</w:t>
            </w:r>
          </w:p>
        </w:tc>
      </w:tr>
      <w:tr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A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Tennessee Eastman Process [21]</w:t>
            </w:r>
          </w:p>
        </w:tc>
        <w:tc>
          <w:tcPr>
            <w:tcW w:type="dxa" w:w="1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化工过程仿真，含测量量、操纵量和已知故障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工业故障/OOD 与跨工况测试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Harvard Dataverse 等公开</w:t>
            </w:r>
          </w:p>
        </w:tc>
        <w:tc>
          <w:tcPr>
            <w:tcW w:type="dxa" w:w="1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合成数据且被大量调参，可能高估现实性能</w:t>
            </w:r>
          </w:p>
        </w:tc>
      </w:tr>
      <w:tr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A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SMAP/MSL [22]</w:t>
            </w:r>
          </w:p>
        </w:tc>
        <w:tc>
          <w:tcPr>
            <w:tcW w:type="dxa" w:w="1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NASA 航天器遥测及异常区间标签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多变量遥测异常与检测延迟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公开</w:t>
            </w:r>
          </w:p>
        </w:tc>
        <w:tc>
          <w:tcPr>
            <w:tcW w:type="dxa" w:w="1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预处理版本和标签处理需统一</w:t>
            </w:r>
          </w:p>
        </w:tc>
      </w:tr>
      <w:tr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A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SMD [23]</w:t>
            </w:r>
          </w:p>
        </w:tc>
        <w:tc>
          <w:tcPr>
            <w:tcW w:type="dxa" w:w="1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28 台服务器、38 维、约五周监控指标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基础设施监控及跨机器迁移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OmniAnomaly 仓库公开</w:t>
            </w:r>
          </w:p>
        </w:tc>
        <w:tc>
          <w:tcPr>
            <w:tcW w:type="dxa" w:w="1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除非明确做迁移，否则不同机器应分别训练/测试</w:t>
            </w:r>
          </w:p>
        </w:tc>
      </w:tr>
      <w:tr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B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TSB-AD [18]</w:t>
            </w:r>
          </w:p>
        </w:tc>
        <w:tc>
          <w:tcPr>
            <w:tcW w:type="dxa" w:w="1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40 个数据集、1070 条序列、40 种算法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大规模算法与指标压力测试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开放基准</w:t>
            </w:r>
          </w:p>
        </w:tc>
        <w:tc>
          <w:tcPr>
            <w:tcW w:type="dxa" w:w="1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主要是异常检测，不是分类器语义 OOD</w:t>
            </w:r>
          </w:p>
        </w:tc>
      </w:tr>
      <w:tr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B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SWaT / WADI [24]</w:t>
            </w:r>
          </w:p>
        </w:tc>
        <w:tc>
          <w:tcPr>
            <w:tcW w:type="dxa" w:w="1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真实水处理/供水试验台与攻击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工控攻击和工业过程验证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申请获取</w:t>
            </w:r>
          </w:p>
        </w:tc>
        <w:tc>
          <w:tcPr>
            <w:tcW w:type="dxa" w:w="1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禁止再分发；攻击标签不等于完整 OOD 类型</w:t>
            </w:r>
          </w:p>
        </w:tc>
      </w:tr>
      <w:tr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B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WOODS [25]</w:t>
            </w:r>
          </w:p>
        </w:tc>
        <w:tc>
          <w:tcPr>
            <w:tcW w:type="dxa" w:w="1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含传感器信号的时序 OOD 泛化任务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域泛化与漂移鲁棒性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开放</w:t>
            </w:r>
          </w:p>
        </w:tc>
        <w:tc>
          <w:tcPr>
            <w:tcW w:type="dxa" w:w="1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主要评价泛化，不是拒绝检测</w:t>
            </w:r>
          </w:p>
        </w:tc>
      </w:tr>
      <w:tr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C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UCR Anomaly Archive [26]</w:t>
            </w:r>
          </w:p>
        </w:tc>
        <w:tc>
          <w:tcPr>
            <w:tcW w:type="dxa" w:w="1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精选单变量异常序列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单变量 sanity check 与指标验证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开放</w:t>
            </w:r>
          </w:p>
        </w:tc>
        <w:tc>
          <w:tcPr>
            <w:tcW w:type="dxa" w:w="1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6"/>
              </w:rPr>
              <w:t>多变量工控真实性有限</w:t>
            </w:r>
          </w:p>
        </w:tc>
      </w:tr>
    </w:tbl>
    <w:p>
      <w:pPr>
        <w:spacing w:after="20"/>
      </w:pPr>
    </w:p>
    <w:p>
      <w:pPr>
        <w:pStyle w:val="Heading2"/>
      </w:pPr>
      <w:r>
        <w:t>5.2 是否存在一个“万能”公开数据集？</w:t>
      </w:r>
    </w:p>
    <w:p>
      <w:r>
        <w:t>目前没有一个数据集同时覆盖语义 OOD、渐进漂移、网络攻击、未知物理故障和合法工况变化。最合理的是建立数据集组合。若需要快速、可复现地比较时序语义 OOD，UEA 类别留出协议是目前最接近通用基准的选择。若强调社会基础设施，应再加入 TEP 和 SMAP/MSL 或 SMD。SWaT/WADI 适合最终验证，但由于申请和禁止转发的条款，不适合作为团队唯一基准 [24]。</w:t>
      </w:r>
    </w:p>
    <w:p>
      <w:pPr>
        <w:pStyle w:val="Heading1"/>
      </w:pPr>
      <w:r>
        <w:t>6. 评价设计</w:t>
      </w:r>
    </w:p>
    <w:p>
      <w:pPr>
        <w:pStyle w:val="Heading2"/>
      </w:pPr>
      <w:r>
        <w:t>6.1 数据划分</w:t>
      </w:r>
    </w:p>
    <w:p>
      <w:pPr>
        <w:pStyle w:val="ListNumber"/>
      </w:pPr>
      <w:r>
        <w:t>在生成重叠窗口之前，先按类别、机器、运行工况或时间块划分。</w:t>
      </w:r>
    </w:p>
    <w:p>
      <w:pPr>
        <w:pStyle w:val="ListNumber"/>
      </w:pPr>
      <w:r>
        <w:t>同一物理事件的相邻窗口必须位于同一数据集划分中。</w:t>
      </w:r>
    </w:p>
    <w:p>
      <w:pPr>
        <w:pStyle w:val="ListNumber"/>
      </w:pPr>
      <w:r>
        <w:t>除 Outlier Exposure 外，后处理和单类方法只使用 ID 训练数据。</w:t>
      </w:r>
    </w:p>
    <w:p>
      <w:pPr>
        <w:pStyle w:val="ListNumber"/>
      </w:pPr>
      <w:r>
        <w:t>预留独立 ID 校准集设置阈值，禁止使用 OOD 测试标签调阈值。</w:t>
      </w:r>
    </w:p>
    <w:p>
      <w:pPr>
        <w:pStyle w:val="ListNumber"/>
      </w:pPr>
      <w:r>
        <w:t>至少评价近语义 OOD、远 OOD、协变量/工况漂移三种变化。</w:t>
      </w:r>
    </w:p>
    <w:p>
      <w:pPr>
        <w:pStyle w:val="Heading2"/>
      </w:pPr>
      <w:r>
        <w:t>6.2 指标</w:t>
      </w:r>
    </w:p>
    <w:p>
      <w:pPr>
        <w:pStyle w:val="ListBullet"/>
      </w:pPr>
      <w:r>
        <w:t>AUROC： 阈值无关，但类别极不平衡时可能显得过于乐观。</w:t>
      </w:r>
    </w:p>
    <w:p>
      <w:pPr>
        <w:pStyle w:val="ListBullet"/>
      </w:pPr>
      <w:r>
        <w:t>AUPR-OOD： OOD 稀少时更重要，必须注明 OOD 为正类。</w:t>
      </w:r>
    </w:p>
    <w:p>
      <w:pPr>
        <w:pStyle w:val="ListBullet"/>
      </w:pPr>
      <w:r>
        <w:t>FPR95： 在检出 95% OOD 时的 ID 误报率，直接关系告警量。</w:t>
      </w:r>
    </w:p>
    <w:p>
      <w:pPr>
        <w:pStyle w:val="ListBullet"/>
      </w:pPr>
      <w:r>
        <w:t>ID 准确率 / 主任务误差： 不能用拒绝机制掩盖分类器退化。</w:t>
      </w:r>
    </w:p>
    <w:p>
      <w:pPr>
        <w:pStyle w:val="ListBullet"/>
      </w:pPr>
      <w:r>
        <w:t>检测延迟与事件召回率： 区间异常和控制响应必须报告。</w:t>
      </w:r>
    </w:p>
    <w:p>
      <w:pPr>
        <w:pStyle w:val="ListBullet"/>
      </w:pPr>
      <w:r>
        <w:t>每小时/每天误报数： 操作人员最容易理解。</w:t>
      </w:r>
    </w:p>
    <w:p>
      <w:pPr>
        <w:pStyle w:val="ListBullet"/>
      </w:pPr>
      <w:r>
        <w:t>推理延迟、内存和重训练成本： PLC、边缘和实时系统必需。</w:t>
      </w:r>
    </w:p>
    <w:p>
      <w:pPr>
        <w:pStyle w:val="ListBullet"/>
      </w:pPr>
      <w:r>
        <w:t>校准稳定性： 跨季节、机器、随机种子和阈值周期报告。</w:t>
      </w:r>
    </w:p>
    <w:p>
      <w:r>
        <w:t>不要只报告 point-adjusted F1。应同时给出未经修正的点级指标、事件级指标、发现时间，并在适当情况下加入 VUS-PR [18,19]。不同类别留出和随机种子应报告均值、方差或置信区间。</w:t>
      </w:r>
    </w:p>
    <w:p>
      <w:pPr>
        <w:pStyle w:val="Heading1"/>
      </w:pPr>
      <w:r>
        <w:t>7. 推荐实验矩阵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6910"/>
      </w:tblGrid>
      <w:tr>
        <w:trPr>
          <w:tblHeader w:val="true"/>
        </w:trPr>
        <w:tc>
          <w:tcPr>
            <w:tcW w:type="dxa" w:w="245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B57"/>
                <w:sz w:val="18"/>
              </w:rPr>
              <w:t>项目</w:t>
            </w:r>
          </w:p>
        </w:tc>
        <w:tc>
          <w:tcPr>
            <w:tcW w:type="dxa" w:w="691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B57"/>
                <w:sz w:val="18"/>
              </w:rPr>
              <w:t>建议选择</w:t>
            </w:r>
          </w:p>
        </w:tc>
      </w:tr>
      <w:tr>
        <w:tc>
          <w:tcPr>
            <w:tcW w:type="dxa" w:w="2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骨干网络</w:t>
            </w:r>
          </w:p>
        </w:tc>
        <w:tc>
          <w:tcPr>
            <w:tcW w:type="dxa" w:w="69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1-D ResNet + 一个简单时序基线（LSTM 或小型 Transformer）</w:t>
            </w:r>
          </w:p>
        </w:tc>
      </w:tr>
      <w:tr>
        <w:tc>
          <w:tcPr>
            <w:tcW w:type="dxa" w:w="2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后处理分数</w:t>
            </w:r>
          </w:p>
        </w:tc>
        <w:tc>
          <w:tcPr>
            <w:tcW w:type="dxa" w:w="69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MSP、Energy、Mahalanobis</w:t>
            </w:r>
          </w:p>
        </w:tc>
      </w:tr>
      <w:tr>
        <w:tc>
          <w:tcPr>
            <w:tcW w:type="dxa" w:w="2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特征模型</w:t>
            </w:r>
          </w:p>
        </w:tc>
        <w:tc>
          <w:tcPr>
            <w:tcW w:type="dxa" w:w="69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预 logit 特征上的 PCA 重构、单类 SVM、孤立森林</w:t>
            </w:r>
          </w:p>
        </w:tc>
      </w:tr>
      <w:tr>
        <w:tc>
          <w:tcPr>
            <w:tcW w:type="dxa" w:w="2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正常数据基线</w:t>
            </w:r>
          </w:p>
        </w:tc>
        <w:tc>
          <w:tcPr>
            <w:tcW w:type="dxa" w:w="69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窗口统计特征 + PCA/Mahalanobis，或小型自编码器</w:t>
            </w:r>
          </w:p>
        </w:tc>
      </w:tr>
      <w:tr>
        <w:tc>
          <w:tcPr>
            <w:tcW w:type="dxa" w:w="2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可选校准方法</w:t>
            </w:r>
          </w:p>
        </w:tc>
        <w:tc>
          <w:tcPr>
            <w:tcW w:type="dxa" w:w="69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CODiT 风格或 split-conformal 阈值</w:t>
            </w:r>
          </w:p>
        </w:tc>
      </w:tr>
      <w:tr>
        <w:tc>
          <w:tcPr>
            <w:tcW w:type="dxa" w:w="2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语义基准</w:t>
            </w:r>
          </w:p>
        </w:tc>
        <w:tc>
          <w:tcPr>
            <w:tcW w:type="dxa" w:w="69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5-13 个 UEA 数据集，重复类别留出</w:t>
            </w:r>
          </w:p>
        </w:tc>
      </w:tr>
      <w:tr>
        <w:tc>
          <w:tcPr>
            <w:tcW w:type="dxa" w:w="2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基础设施基准</w:t>
            </w:r>
          </w:p>
        </w:tc>
        <w:tc>
          <w:tcPr>
            <w:tcW w:type="dxa" w:w="69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TEP + SMAP/MSL 或 SMD；后续加入 SWaT/WADI</w:t>
            </w:r>
          </w:p>
        </w:tc>
      </w:tr>
      <w:tr>
        <w:tc>
          <w:tcPr>
            <w:tcW w:type="dxa" w:w="2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指标</w:t>
            </w:r>
          </w:p>
        </w:tc>
        <w:tc>
          <w:tcPr>
            <w:tcW w:type="dxa" w:w="69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AUROC、AUPR-OOD、FPR95、ID 准确率、延迟；TSAD 加事件召回和检测延迟</w:t>
            </w:r>
          </w:p>
        </w:tc>
      </w:tr>
    </w:tbl>
    <w:p>
      <w:pPr>
        <w:spacing w:after="20"/>
      </w:pPr>
    </w:p>
    <w:p>
      <w:r>
        <w:t>随附 Python 示例实现了透明的“仅正常数据”分支：生成多变量传感器窗口，提取时间统计特征，仅用 ID 数据拟合 PCA 子空间，使用留出的 ID 分数设置阈值，并评价未知漂移。代码刻意保持简单，便于审计，并可替换为公开数据集。</w:t>
      </w:r>
    </w:p>
    <w:p>
      <w:pPr>
        <w:pStyle w:val="Heading1"/>
      </w:pPr>
      <w:r>
        <w:t>8. 不同场景下的选型建议</w:t>
      </w:r>
    </w:p>
    <w:p>
      <w:pPr>
        <w:pStyle w:val="Heading2"/>
      </w:pPr>
      <w:r>
        <w:t>已有运行模式或故障分类器</w:t>
      </w:r>
    </w:p>
    <w:p>
      <w:r>
        <w:t>先实现 Energy 和 Mahalanobis，再在 pre-logit 特征上增加 DFM-PCA 或 DFM-OCSVM。每个模型版本单独校准阈值；如果工况差异很大，应按已知工况分别校准。记录原始 OOD 分数、预测类别和贡献传感器，便于事后分析。</w:t>
      </w:r>
    </w:p>
    <w:p>
      <w:pPr>
        <w:pStyle w:val="Heading2"/>
      </w:pPr>
      <w:r>
        <w:t>仅正常数据的过程监视</w:t>
      </w:r>
    </w:p>
    <w:p>
      <w:r>
        <w:t>窗口必须保留重要控制动态。先用稳健标准化、PCA/Mahalanobis 和预测/重构基线。启停和检修应作为合法工况建模，而不是全部当作异常。加入深度模型后，必须在不使用 point adjustment 的条件下与透明基线比较。</w:t>
      </w:r>
    </w:p>
    <w:p>
      <w:pPr>
        <w:pStyle w:val="Heading2"/>
      </w:pPr>
      <w:r>
        <w:t>工控网络攻击检测</w:t>
      </w:r>
    </w:p>
    <w:p>
      <w:r>
        <w:t>统计 OOD 分数应与过程不变量及规则安全约束结合。公开数据集中的攻击不能代表全部攻击空间，应分别测试重放、偏置、卡死、漂移和多通道协同攻击。OOD 检测适合触发调查或安全后备，不应直接推断攻击意图。</w:t>
      </w:r>
    </w:p>
    <w:p>
      <w:pPr>
        <w:pStyle w:val="Heading2"/>
      </w:pPr>
      <w:r>
        <w:t>边缘或实时系统</w:t>
      </w:r>
    </w:p>
    <w:p>
      <w:r>
        <w:t>优先选择 Energy、Mahalanobis 或 DFM-PCA，因其推理开销低。若采样周期和硬件不足，不建议使用 GradNorm 或大型集成。实际告警逻辑应包括迟滞、抑制和最小持续时间，并报告这些机制引入的延迟。</w:t>
      </w:r>
    </w:p>
    <w:p>
      <w:pPr>
        <w:pStyle w:val="Heading1"/>
      </w:pPr>
      <w:r>
        <w:t>9. 两周执行计划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6910"/>
      </w:tblGrid>
      <w:tr>
        <w:trPr>
          <w:tblHeader w:val="true"/>
        </w:trPr>
        <w:tc>
          <w:tcPr>
            <w:tcW w:type="dxa" w:w="245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B57"/>
                <w:sz w:val="18"/>
              </w:rPr>
              <w:t>时间</w:t>
            </w:r>
          </w:p>
        </w:tc>
        <w:tc>
          <w:tcPr>
            <w:tcW w:type="dxa" w:w="691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173B57"/>
                <w:sz w:val="18"/>
              </w:rPr>
              <w:t>交付物</w:t>
            </w:r>
          </w:p>
        </w:tc>
      </w:tr>
      <w:tr>
        <w:tc>
          <w:tcPr>
            <w:tcW w:type="dxa" w:w="2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第 1-2 天</w:t>
            </w:r>
          </w:p>
        </w:tc>
        <w:tc>
          <w:tcPr>
            <w:tcW w:type="dxa" w:w="69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明确 OOD 定义、目标系统、传感器/窗口格式及误报成本</w:t>
            </w:r>
          </w:p>
        </w:tc>
      </w:tr>
      <w:tr>
        <w:tc>
          <w:tcPr>
            <w:tcW w:type="dxa" w:w="2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第 3-4 天</w:t>
            </w:r>
          </w:p>
        </w:tc>
        <w:tc>
          <w:tcPr>
            <w:tcW w:type="dxa" w:w="69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完成选定 UEA 数据集的加载器和类别留出划分</w:t>
            </w:r>
          </w:p>
        </w:tc>
      </w:tr>
      <w:tr>
        <w:tc>
          <w:tcPr>
            <w:tcW w:type="dxa" w:w="2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第 5-7 天</w:t>
            </w:r>
          </w:p>
        </w:tc>
        <w:tc>
          <w:tcPr>
            <w:tcW w:type="dxa" w:w="69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在一个 1-D 骨干上实现 MSP、Energy、Mahalanobis、DFM-PCA</w:t>
            </w:r>
          </w:p>
        </w:tc>
      </w:tr>
      <w:tr>
        <w:tc>
          <w:tcPr>
            <w:tcW w:type="dxa" w:w="2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第 8-9 天</w:t>
            </w:r>
          </w:p>
        </w:tc>
        <w:tc>
          <w:tcPr>
            <w:tcW w:type="dxa" w:w="69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加入 TEP 和一个遥测数据集，定义事件/延迟指标</w:t>
            </w:r>
          </w:p>
        </w:tc>
      </w:tr>
      <w:tr>
        <w:tc>
          <w:tcPr>
            <w:tcW w:type="dxa" w:w="2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第 10-11 天</w:t>
            </w:r>
          </w:p>
        </w:tc>
        <w:tc>
          <w:tcPr>
            <w:tcW w:type="dxa" w:w="69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多次划分和随机种子实验，测 AUROC、AUPR、FPR95、延迟和阈值稳定性</w:t>
            </w:r>
          </w:p>
        </w:tc>
      </w:tr>
      <w:tr>
        <w:tc>
          <w:tcPr>
            <w:tcW w:type="dxa" w:w="2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第 12-13 天</w:t>
            </w:r>
          </w:p>
        </w:tc>
        <w:tc>
          <w:tcPr>
            <w:tcW w:type="dxa" w:w="69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按漂移类型、工况和传感器组分析失败案例，整理图表</w:t>
            </w:r>
          </w:p>
        </w:tc>
      </w:tr>
      <w:tr>
        <w:tc>
          <w:tcPr>
            <w:tcW w:type="dxa" w:w="2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第 14 天</w:t>
            </w:r>
          </w:p>
        </w:tc>
        <w:tc>
          <w:tcPr>
            <w:tcW w:type="dxa" w:w="69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  <w:t>完成英文主稿并同步中日文版本</w:t>
            </w:r>
          </w:p>
        </w:tc>
      </w:tr>
    </w:tbl>
    <w:p>
      <w:pPr>
        <w:spacing w:after="20"/>
      </w:pPr>
    </w:p>
    <w:p>
      <w:pPr>
        <w:pStyle w:val="Heading1"/>
      </w:pPr>
      <w:r>
        <w:t>10. 结论</w:t>
      </w:r>
    </w:p>
    <w:p>
      <w:r>
        <w:t>数值时序 OOD 检测还不是可以直接安装的通用插件。当前最有力的证据支持：优先学习稳定的时间表示，并对 ID 特征几何进行显式建模，而不是只依赖分类置信度。针对社会基础设施，建议以 1-D ResNet 为骨干，比较 Energy、Mahalanobis 与 DFM-PCA/OCSVM；先在 UEA 类别留出协议上评价，再扩展到 TEP 和真实遥测。区间故障和攻击应另设 TSAD 评价。</w:t>
      </w:r>
    </w:p>
    <w:p>
      <w:r>
        <w:t>最重要的是评价纪律：按事件或域划分数据；不使用 OOD 测试标签校准；AUROC 之外同时报告 AUPR 和 FPR95；不要把 point-adjusted F1 作为唯一结果。部署时，OOD 分数还必须与安全后备、过程约束、操作员反馈和阈值漂移监控结合。</w:t>
      </w:r>
    </w:p>
    <w:p>
      <w:pPr>
        <w:pStyle w:val="Heading1"/>
      </w:pPr>
      <w:r>
        <w:t>参考文献</w:t>
      </w:r>
    </w:p>
    <w:p>
      <w:pPr>
        <w:spacing w:after="60"/>
      </w:pPr>
      <w:r>
        <w:rPr>
          <w:rFonts w:ascii="Microsoft YaHei" w:hAnsi="Microsoft YaHei" w:eastAsia="Microsoft YaHei" w:cs="Microsoft YaHei"/>
          <w:color w:val="5B6570"/>
          <w:sz w:val="17"/>
        </w:rPr>
        <w:t>[1] Gungor, O., Rios, A. S., Ahuja, N., &amp; Rosing, T. (2025). *TS-OOD: Evaluating Time-Series Out-of-Distribution Detection and Prospective Directions for Progress*. arXiv:2502.15901. https://arxiv.org/abs/2502.15901</w:t>
      </w:r>
    </w:p>
    <w:p>
      <w:pPr>
        <w:spacing w:after="60"/>
      </w:pPr>
      <w:r>
        <w:rPr>
          <w:rFonts w:ascii="Microsoft YaHei" w:hAnsi="Microsoft YaHei" w:eastAsia="Microsoft YaHei" w:cs="Microsoft YaHei"/>
          <w:color w:val="5B6570"/>
          <w:sz w:val="17"/>
        </w:rPr>
        <w:t>[2] Hendrycks, D., &amp; Gimpel, K. (2017). *A Baseline for Detecting Misclassified and Out-of-Distribution Examples in Neural Networks*. ICLR. https://arxiv.org/abs/1610.02136</w:t>
      </w:r>
    </w:p>
    <w:p>
      <w:pPr>
        <w:spacing w:after="60"/>
      </w:pPr>
      <w:r>
        <w:rPr>
          <w:rFonts w:ascii="Microsoft YaHei" w:hAnsi="Microsoft YaHei" w:eastAsia="Microsoft YaHei" w:cs="Microsoft YaHei"/>
          <w:color w:val="5B6570"/>
          <w:sz w:val="17"/>
        </w:rPr>
        <w:t>[3] Liang, S., Li, Y., &amp; Srikant, R. (2018). *Enhancing the Reliability of Out-of-Distribution Image Detection in Neural Networks*. ICLR. https://arxiv.org/abs/1706.02690</w:t>
      </w:r>
    </w:p>
    <w:p>
      <w:pPr>
        <w:spacing w:after="60"/>
      </w:pPr>
      <w:r>
        <w:rPr>
          <w:rFonts w:ascii="Microsoft YaHei" w:hAnsi="Microsoft YaHei" w:eastAsia="Microsoft YaHei" w:cs="Microsoft YaHei"/>
          <w:color w:val="5B6570"/>
          <w:sz w:val="17"/>
        </w:rPr>
        <w:t>[4] Liu, W., Wang, X., Owens, J., &amp; Li, Y. (2020). *Energy-based Out-of-distribution Detection*. NeurIPS 33. https://proceedings.neurips.cc/paper/2020/hash/f5496252609c43eb8a3d147ab9b9c006-Abstract.html</w:t>
      </w:r>
    </w:p>
    <w:p>
      <w:pPr>
        <w:spacing w:after="60"/>
      </w:pPr>
      <w:r>
        <w:rPr>
          <w:rFonts w:ascii="Microsoft YaHei" w:hAnsi="Microsoft YaHei" w:eastAsia="Microsoft YaHei" w:cs="Microsoft YaHei"/>
          <w:color w:val="5B6570"/>
          <w:sz w:val="17"/>
        </w:rPr>
        <w:t>[5] Sun, Y., Guo, C., &amp; Li, Y. (2021). *ReAct: Out-of-distribution Detection With Rectified Activations*. NeurIPS 34. https://proceedings.neurips.cc/paper/2021/hash/01894d6f048493d2cacde3c579c315a3-Abstract.html</w:t>
      </w:r>
    </w:p>
    <w:p>
      <w:pPr>
        <w:spacing w:after="60"/>
      </w:pPr>
      <w:r>
        <w:rPr>
          <w:rFonts w:ascii="Microsoft YaHei" w:hAnsi="Microsoft YaHei" w:eastAsia="Microsoft YaHei" w:cs="Microsoft YaHei"/>
          <w:color w:val="5B6570"/>
          <w:sz w:val="17"/>
        </w:rPr>
        <w:t>[6] Sun, Y., &amp; Li, Y. (2022). *DICE: Leveraging Sparsification for Out-of-Distribution Detection*. ECCV. https://arxiv.org/abs/2111.09805</w:t>
      </w:r>
    </w:p>
    <w:p>
      <w:pPr>
        <w:spacing w:after="60"/>
      </w:pPr>
      <w:r>
        <w:rPr>
          <w:rFonts w:ascii="Microsoft YaHei" w:hAnsi="Microsoft YaHei" w:eastAsia="Microsoft YaHei" w:cs="Microsoft YaHei"/>
          <w:color w:val="5B6570"/>
          <w:sz w:val="17"/>
        </w:rPr>
        <w:t>[7] Huang, R., Geng, A., &amp; Li, Y. (2021). *On the Importance of Gradients for Detecting Distributional Shifts in the Wild*. NeurIPS 34. https://proceedings.neurips.cc/paper/2021/hash/063e26c670d07bb7c4d30e6fc69fe056-Abstract.html</w:t>
      </w:r>
    </w:p>
    <w:p>
      <w:pPr>
        <w:spacing w:after="60"/>
      </w:pPr>
      <w:r>
        <w:rPr>
          <w:rFonts w:ascii="Microsoft YaHei" w:hAnsi="Microsoft YaHei" w:eastAsia="Microsoft YaHei" w:cs="Microsoft YaHei"/>
          <w:color w:val="5B6570"/>
          <w:sz w:val="17"/>
        </w:rPr>
        <w:t>[8] Lee, K., Lee, K., Lee, H., &amp; Shin, J. (2018). *A Simple Unified Framework for Detecting Out-of-Distribution Samples and Adversarial Attacks*. NeurIPS 31. https://papers.nips.cc/paper/2018/hash/abdeb6f575ac5c6676b747bca8d09cc2-Abstract.html</w:t>
      </w:r>
    </w:p>
    <w:p>
      <w:pPr>
        <w:spacing w:after="60"/>
      </w:pPr>
      <w:r>
        <w:rPr>
          <w:rFonts w:ascii="Microsoft YaHei" w:hAnsi="Microsoft YaHei" w:eastAsia="Microsoft YaHei" w:cs="Microsoft YaHei"/>
          <w:color w:val="5B6570"/>
          <w:sz w:val="17"/>
        </w:rPr>
        <w:t>[9] Ruff, L., et al. (2018). *Deep One-Class Classification*. ICML, PMLR 80, 4393-4402. https://proceedings.mlr.press/v80/ruff18a.html</w:t>
      </w:r>
    </w:p>
    <w:p>
      <w:pPr>
        <w:spacing w:after="60"/>
      </w:pPr>
      <w:r>
        <w:rPr>
          <w:rFonts w:ascii="Microsoft YaHei" w:hAnsi="Microsoft YaHei" w:eastAsia="Microsoft YaHei" w:cs="Microsoft YaHei"/>
          <w:color w:val="5B6570"/>
          <w:sz w:val="17"/>
        </w:rPr>
        <w:t>[10] Goyal, S., et al. (2020). *DROCC: Deep Robust One-Class Classification*. ICML, PMLR 119, 3711-3721. https://proceedings.mlr.press/v119/goyal20c.html</w:t>
      </w:r>
    </w:p>
    <w:p>
      <w:pPr>
        <w:spacing w:after="60"/>
      </w:pPr>
      <w:r>
        <w:rPr>
          <w:rFonts w:ascii="Microsoft YaHei" w:hAnsi="Microsoft YaHei" w:eastAsia="Microsoft YaHei" w:cs="Microsoft YaHei"/>
          <w:color w:val="5B6570"/>
          <w:sz w:val="17"/>
        </w:rPr>
        <w:t>[11] Ren, J., et al. (2019). *Likelihood Ratios for Out-of-Distribution Detection*. NeurIPS 32. https://proceedings.neurips.cc/paper/2019/hash/1e79596878b2320cac26dd792a6c51c9-Abstract.html</w:t>
      </w:r>
    </w:p>
    <w:p>
      <w:pPr>
        <w:spacing w:after="60"/>
      </w:pPr>
      <w:r>
        <w:rPr>
          <w:rFonts w:ascii="Microsoft YaHei" w:hAnsi="Microsoft YaHei" w:eastAsia="Microsoft YaHei" w:cs="Microsoft YaHei"/>
          <w:color w:val="5B6570"/>
          <w:sz w:val="17"/>
        </w:rPr>
        <w:t>[12] Kirichenko, P., Izmailov, P., &amp; Wilson, A. G. (2020). *Why Normalizing Flows Fail to Detect Out-of-Distribution Data*. NeurIPS 33. https://proceedings.neurips.cc/paper/2020/hash/ecb9fe2fbb99c31f567e9823e884dbec-Abstract.html</w:t>
      </w:r>
    </w:p>
    <w:p>
      <w:pPr>
        <w:spacing w:after="60"/>
      </w:pPr>
      <w:r>
        <w:rPr>
          <w:rFonts w:ascii="Microsoft YaHei" w:hAnsi="Microsoft YaHei" w:eastAsia="Microsoft YaHei" w:cs="Microsoft YaHei"/>
          <w:color w:val="5B6570"/>
          <w:sz w:val="17"/>
        </w:rPr>
        <w:t>[13] Gal, Y., &amp; Ghahramani, Z. (2016). *Dropout as a Bayesian Approximation*. ICML, PMLR 48. https://proceedings.mlr.press/v48/gal16.html</w:t>
      </w:r>
    </w:p>
    <w:p>
      <w:pPr>
        <w:spacing w:after="60"/>
      </w:pPr>
      <w:r>
        <w:rPr>
          <w:rFonts w:ascii="Microsoft YaHei" w:hAnsi="Microsoft YaHei" w:eastAsia="Microsoft YaHei" w:cs="Microsoft YaHei"/>
          <w:color w:val="5B6570"/>
          <w:sz w:val="17"/>
        </w:rPr>
        <w:t>[14] Lakshminarayanan, B., Pritzel, A., &amp; Blundell, C. (2017). *Simple and Scalable Predictive Uncertainty Estimation using Deep Ensembles*. NeurIPS 30. https://proceedings.neurips.cc/paper/2017/hash/9ef2ed4b7fd2c810847ffa5fa85bce38-Abstract.html</w:t>
      </w:r>
    </w:p>
    <w:p>
      <w:pPr>
        <w:spacing w:after="60"/>
      </w:pPr>
      <w:r>
        <w:rPr>
          <w:rFonts w:ascii="Microsoft YaHei" w:hAnsi="Microsoft YaHei" w:eastAsia="Microsoft YaHei" w:cs="Microsoft YaHei"/>
          <w:color w:val="5B6570"/>
          <w:sz w:val="17"/>
        </w:rPr>
        <w:t>[15] Hendrycks, D., Mazeika, M., &amp; Dietterich, T. (2019). *Deep Anomaly Detection with Outlier Exposure*. ICLR. https://arxiv.org/abs/1812.04606</w:t>
      </w:r>
    </w:p>
    <w:p>
      <w:pPr>
        <w:spacing w:after="60"/>
      </w:pPr>
      <w:r>
        <w:rPr>
          <w:rFonts w:ascii="Microsoft YaHei" w:hAnsi="Microsoft YaHei" w:eastAsia="Microsoft YaHei" w:cs="Microsoft YaHei"/>
          <w:color w:val="5B6570"/>
          <w:sz w:val="17"/>
        </w:rPr>
        <w:t>[16] Belkhouja, T., Yan, Y., &amp; Doppa, J. R. (2024). *Out-of-Distribution Detection in Time-Series Domain: A Novel Seasonal Ratio Scoring Approach*. ACM TIST, 15(1). https://doi.org/10.1145/3630633</w:t>
      </w:r>
    </w:p>
    <w:p>
      <w:pPr>
        <w:spacing w:after="60"/>
      </w:pPr>
      <w:r>
        <w:rPr>
          <w:rFonts w:ascii="Microsoft YaHei" w:hAnsi="Microsoft YaHei" w:eastAsia="Microsoft YaHei" w:cs="Microsoft YaHei"/>
          <w:color w:val="5B6570"/>
          <w:sz w:val="17"/>
        </w:rPr>
        <w:t>[17] Kaur, R., et al. (2022). *CODiT: Conformal Out-of-Distribution Detection in Time-Series Data*. arXiv:2207.11769. https://arxiv.org/abs/2207.11769</w:t>
      </w:r>
    </w:p>
    <w:p>
      <w:pPr>
        <w:spacing w:after="60"/>
      </w:pPr>
      <w:r>
        <w:rPr>
          <w:rFonts w:ascii="Microsoft YaHei" w:hAnsi="Microsoft YaHei" w:eastAsia="Microsoft YaHei" w:cs="Microsoft YaHei"/>
          <w:color w:val="5B6570"/>
          <w:sz w:val="17"/>
        </w:rPr>
        <w:t>[18] Paparrizos, J., et al. (2024). *The Elephant in the Room: Towards A Reliable Time-Series Anomaly Detection Benchmark*. NeurIPS Datasets and Benchmarks. https://proceedings.neurips.cc/paper_files/paper/2024/hash/c3f3c690b7a99fba16d0efd35cb83b2c-Abstract-Datasets_and_Benchmarks_Track.html</w:t>
      </w:r>
    </w:p>
    <w:p>
      <w:pPr>
        <w:spacing w:after="60"/>
      </w:pPr>
      <w:r>
        <w:rPr>
          <w:rFonts w:ascii="Microsoft YaHei" w:hAnsi="Microsoft YaHei" w:eastAsia="Microsoft YaHei" w:cs="Microsoft YaHei"/>
          <w:color w:val="5B6570"/>
          <w:sz w:val="17"/>
        </w:rPr>
        <w:t>[19] Kim, S., et al. (2022). *Towards a Rigorous Evaluation of Time-Series Anomaly Detection*. AAAI 36(7), 7194-7201. https://doi.org/10.1609/aaai.v36i7.20680</w:t>
      </w:r>
    </w:p>
    <w:p>
      <w:pPr>
        <w:spacing w:after="60"/>
      </w:pPr>
      <w:r>
        <w:rPr>
          <w:rFonts w:ascii="Microsoft YaHei" w:hAnsi="Microsoft YaHei" w:eastAsia="Microsoft YaHei" w:cs="Microsoft YaHei"/>
          <w:color w:val="5B6570"/>
          <w:sz w:val="17"/>
        </w:rPr>
        <w:t>[20] Bagnall, A., et al. (2018). *The UEA Multivariate Time Series Classification Archive, 2018*. arXiv:1811.00075. https://arxiv.org/abs/1811.00075</w:t>
      </w:r>
    </w:p>
    <w:p>
      <w:pPr>
        <w:spacing w:after="60"/>
      </w:pPr>
      <w:r>
        <w:rPr>
          <w:rFonts w:ascii="Microsoft YaHei" w:hAnsi="Microsoft YaHei" w:eastAsia="Microsoft YaHei" w:cs="Microsoft YaHei"/>
          <w:color w:val="5B6570"/>
          <w:sz w:val="17"/>
        </w:rPr>
        <w:t>[21] Rieth, C. A., et al. (2017). *Tennessee Eastman Process Simulation Data*. Harvard Dataverse. https://doi.org/10.7910/DVN/6C3JR1</w:t>
      </w:r>
    </w:p>
    <w:p>
      <w:pPr>
        <w:spacing w:after="60"/>
      </w:pPr>
      <w:r>
        <w:rPr>
          <w:rFonts w:ascii="Microsoft YaHei" w:hAnsi="Microsoft YaHei" w:eastAsia="Microsoft YaHei" w:cs="Microsoft YaHei"/>
          <w:color w:val="5B6570"/>
          <w:sz w:val="17"/>
        </w:rPr>
        <w:t>[22] Hundman, K., et al. (2018). *Detecting Spacecraft Anomalies Using LSTMs and Nonparametric Dynamic Thresholding*. KDD; data: https://github.com/khundman/telemanom</w:t>
      </w:r>
    </w:p>
    <w:p>
      <w:pPr>
        <w:spacing w:after="60"/>
      </w:pPr>
      <w:r>
        <w:rPr>
          <w:rFonts w:ascii="Microsoft YaHei" w:hAnsi="Microsoft YaHei" w:eastAsia="Microsoft YaHei" w:cs="Microsoft YaHei"/>
          <w:color w:val="5B6570"/>
          <w:sz w:val="17"/>
        </w:rPr>
        <w:t>[23] Su, Y., et al. (2019). *Robust Anomaly Detection for Multivariate Time Series through Stochastic Recurrent Neural Network*. KDD; data: https://github.com/NetManAIOps/OmniAnomaly</w:t>
      </w:r>
    </w:p>
    <w:p>
      <w:pPr>
        <w:spacing w:after="60"/>
      </w:pPr>
      <w:r>
        <w:rPr>
          <w:rFonts w:ascii="Microsoft YaHei" w:hAnsi="Microsoft YaHei" w:eastAsia="Microsoft YaHei" w:cs="Microsoft YaHei"/>
          <w:color w:val="5B6570"/>
          <w:sz w:val="17"/>
        </w:rPr>
        <w:t>[24] iTrust, Singapore University of Technology and Design. *SWaT/WADI Dataset Terms of Usage*. https://www.sutd.edu.sg/itrust/itrust-labs/datasets/terms-of-usage/</w:t>
      </w:r>
    </w:p>
    <w:p>
      <w:pPr>
        <w:spacing w:after="60"/>
      </w:pPr>
      <w:r>
        <w:rPr>
          <w:rFonts w:ascii="Microsoft YaHei" w:hAnsi="Microsoft YaHei" w:eastAsia="Microsoft YaHei" w:cs="Microsoft YaHei"/>
          <w:color w:val="5B6570"/>
          <w:sz w:val="17"/>
        </w:rPr>
        <w:t>[25] Audet, J.-C., et al. (2023). *WOODS: Benchmarks for Out-of-Distribution Generalization in Time Series*. TMLR. https://woods-benchmarks.github.io/</w:t>
      </w:r>
    </w:p>
    <w:p>
      <w:pPr>
        <w:spacing w:after="60"/>
      </w:pPr>
      <w:r>
        <w:rPr>
          <w:rFonts w:ascii="Microsoft YaHei" w:hAnsi="Microsoft YaHei" w:eastAsia="Microsoft YaHei" w:cs="Microsoft YaHei"/>
          <w:color w:val="5B6570"/>
          <w:sz w:val="17"/>
        </w:rPr>
        <w:t>[26] Wu, R., &amp; Keogh, E. (2021). *Current Time Series Anomaly Detection Benchmarks are Flawed and are Creating the Illusion of Progress*. IEEE TKDE. https://arxiv.org/abs/2009.13807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 w:cs="Microsoft YaHei"/>
        <w:color w:val="5B6570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 w:cs="Microsoft YaHei"/>
        <w:color w:val="5B6570"/>
        <w:sz w:val="17"/>
      </w:rPr>
      <w:t>数值时序 AI 分布外检测文献综述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5E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B5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76" w:lineRule="auto"/>
      <w:ind w:left="720" w:hanging="360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76" w:lineRule="auto"/>
      <w:ind w:left="720" w:hanging="360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面向社会基础设施数值时序 AI 的分布外检测</dc:title>
  <dc:subject>文献综述与评价方案</dc:subject>
  <dc:creator>Research Team</dc:creator>
  <cp:keywords>OOD detection, time series, social infrastructure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