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S4 文献调研报告：学习外数据的概念与分类</w:t>
      </w:r>
    </w:p>
    <w:p>
      <w:pPr>
        <w:jc w:val="center"/>
      </w:pPr>
      <w:r>
        <w:rPr>
          <w:b/>
          <w:sz w:val="19"/>
        </w:rPr>
        <w:t>Yang, Zhou, Li &amp; Liu — Generalized Out-of-Distribution Detection: A Survey (arXiv v3, 2024)</w:t>
      </w:r>
    </w:p>
    <w:p/>
    <w:p>
      <w:pPr>
        <w:pStyle w:val="Heading1"/>
      </w:pPr>
      <w:r>
        <w:t>1. 这篇论文为什么特别适合整理“学习外”的概念</w:t>
      </w:r>
    </w:p>
    <w:p>
      <w:r>
        <w:t>这篇论文的重点不是某一种具体检测算法，而是试图统一长期混用的多个概念：Anomaly Detection (AD)、Novelty Detection (ND)、Open Set Recognition (OSR)、Out-of-Distribution Detection (OOD Detection) 和 Outlier Detection (OD)。作者把它们统一到“Generalized OOD Detection”框架中，并用四个维度区分各任务。</w:t>
      </w:r>
    </w:p>
    <w:tbl>
      <w:tblPr>
        <w:tblStyle w:val="TableGrid"/>
        <w:tblW w:type="auto" w:w="0"/>
        <w:jc w:val="center"/>
        <w:tblLook w:firstColumn="1" w:firstRow="1" w:lastColumn="0" w:lastRow="0" w:noHBand="0" w:noVBand="1" w:val="04A0"/>
      </w:tblPr>
      <w:tblGrid>
        <w:gridCol w:w="5241"/>
        <w:gridCol w:w="5241"/>
      </w:tblGrid>
      <w:tr>
        <w:tc>
          <w:tcPr>
            <w:tcW w:type="dxa" w:w="2268"/>
            <w:shd w:fill="D9EAF7"/>
            <w:vAlign w:val="center"/>
          </w:tcPr>
          <w:p>
            <w:pPr>
              <w:jc w:val="center"/>
            </w:pPr>
            <w:r>
              <w:rPr>
                <w:b/>
                <w:sz w:val="15"/>
              </w:rPr>
              <w:t>项目</w:t>
            </w:r>
          </w:p>
        </w:tc>
        <w:tc>
          <w:tcPr>
            <w:tcW w:type="dxa" w:w="7370"/>
            <w:shd w:fill="D9EAF7"/>
            <w:vAlign w:val="center"/>
          </w:tcPr>
          <w:p>
            <w:pPr>
              <w:jc w:val="center"/>
            </w:pPr>
            <w:r>
              <w:rPr>
                <w:b/>
                <w:sz w:val="15"/>
              </w:rPr>
              <w:t>内容</w:t>
            </w:r>
          </w:p>
        </w:tc>
      </w:tr>
      <w:tr>
        <w:tc>
          <w:tcPr>
            <w:tcW w:type="dxa" w:w="2268"/>
            <w:tcMar>
              <w:top w:w="70" w:type="dxa"/>
              <w:start w:w="70" w:type="dxa"/>
              <w:bottom w:w="70" w:type="dxa"/>
              <w:end w:w="70" w:type="dxa"/>
            </w:tcMar>
            <w:vAlign w:val="center"/>
          </w:tcPr>
          <w:p>
            <w:r>
              <w:rPr>
                <w:sz w:val="15"/>
              </w:rPr>
              <w:t>论文名</w:t>
            </w:r>
          </w:p>
        </w:tc>
        <w:tc>
          <w:tcPr>
            <w:tcW w:type="dxa" w:w="7370"/>
            <w:tcMar>
              <w:top w:w="70" w:type="dxa"/>
              <w:start w:w="70" w:type="dxa"/>
              <w:bottom w:w="70" w:type="dxa"/>
              <w:end w:w="70" w:type="dxa"/>
            </w:tcMar>
            <w:vAlign w:val="center"/>
          </w:tcPr>
          <w:p>
            <w:r>
              <w:rPr>
                <w:sz w:val="15"/>
              </w:rPr>
              <w:t>Generalized Out-of-Distribution Detection: A Survey</w:t>
            </w:r>
          </w:p>
        </w:tc>
      </w:tr>
      <w:tr>
        <w:tc>
          <w:tcPr>
            <w:tcW w:type="dxa" w:w="2268"/>
            <w:tcMar>
              <w:top w:w="70" w:type="dxa"/>
              <w:start w:w="70" w:type="dxa"/>
              <w:bottom w:w="70" w:type="dxa"/>
              <w:end w:w="70" w:type="dxa"/>
            </w:tcMar>
            <w:vAlign w:val="center"/>
          </w:tcPr>
          <w:p>
            <w:r>
              <w:rPr>
                <w:sz w:val="15"/>
              </w:rPr>
              <w:t>作者</w:t>
            </w:r>
          </w:p>
        </w:tc>
        <w:tc>
          <w:tcPr>
            <w:tcW w:type="dxa" w:w="7370"/>
            <w:tcMar>
              <w:top w:w="70" w:type="dxa"/>
              <w:start w:w="70" w:type="dxa"/>
              <w:bottom w:w="70" w:type="dxa"/>
              <w:end w:w="70" w:type="dxa"/>
            </w:tcMar>
            <w:vAlign w:val="center"/>
          </w:tcPr>
          <w:p>
            <w:r>
              <w:rPr>
                <w:sz w:val="15"/>
              </w:rPr>
              <w:t>Jingkang Yang, Kaiyang Zhou, Yixuan Li, Ziwei Liu</w:t>
            </w:r>
          </w:p>
        </w:tc>
      </w:tr>
      <w:tr>
        <w:tc>
          <w:tcPr>
            <w:tcW w:type="dxa" w:w="2268"/>
            <w:tcMar>
              <w:top w:w="70" w:type="dxa"/>
              <w:start w:w="70" w:type="dxa"/>
              <w:bottom w:w="70" w:type="dxa"/>
              <w:end w:w="70" w:type="dxa"/>
            </w:tcMar>
            <w:vAlign w:val="center"/>
          </w:tcPr>
          <w:p>
            <w:r>
              <w:rPr>
                <w:sz w:val="15"/>
              </w:rPr>
              <w:t>版本</w:t>
            </w:r>
          </w:p>
        </w:tc>
        <w:tc>
          <w:tcPr>
            <w:tcW w:type="dxa" w:w="7370"/>
            <w:tcMar>
              <w:top w:w="70" w:type="dxa"/>
              <w:start w:w="70" w:type="dxa"/>
              <w:bottom w:w="70" w:type="dxa"/>
              <w:end w:w="70" w:type="dxa"/>
            </w:tcMar>
            <w:vAlign w:val="center"/>
          </w:tcPr>
          <w:p>
            <w:r>
              <w:rPr>
                <w:sz w:val="15"/>
              </w:rPr>
              <w:t>arXiv:2110.11334v3, 23 Jan 2024</w:t>
            </w:r>
          </w:p>
        </w:tc>
      </w:tr>
      <w:tr>
        <w:tc>
          <w:tcPr>
            <w:tcW w:type="dxa" w:w="2268"/>
            <w:tcMar>
              <w:top w:w="70" w:type="dxa"/>
              <w:start w:w="70" w:type="dxa"/>
              <w:bottom w:w="70" w:type="dxa"/>
              <w:end w:w="70" w:type="dxa"/>
            </w:tcMar>
            <w:vAlign w:val="center"/>
          </w:tcPr>
          <w:p>
            <w:r>
              <w:rPr>
                <w:sz w:val="15"/>
              </w:rPr>
              <w:t>核心贡献</w:t>
            </w:r>
          </w:p>
        </w:tc>
        <w:tc>
          <w:tcPr>
            <w:tcW w:type="dxa" w:w="7370"/>
            <w:tcMar>
              <w:top w:w="70" w:type="dxa"/>
              <w:start w:w="70" w:type="dxa"/>
              <w:bottom w:w="70" w:type="dxa"/>
              <w:end w:w="70" w:type="dxa"/>
            </w:tcMar>
            <w:vAlign w:val="center"/>
          </w:tcPr>
          <w:p>
            <w:r>
              <w:rPr>
                <w:sz w:val="15"/>
              </w:rPr>
              <w:t>统一 AD / ND / OSR / OOD Detection / OD 的定义、关系、任务设置与方法体系。</w:t>
            </w:r>
          </w:p>
        </w:tc>
      </w:tr>
      <w:tr>
        <w:tc>
          <w:tcPr>
            <w:tcW w:type="dxa" w:w="2268"/>
            <w:tcMar>
              <w:top w:w="70" w:type="dxa"/>
              <w:start w:w="70" w:type="dxa"/>
              <w:bottom w:w="70" w:type="dxa"/>
              <w:end w:w="70" w:type="dxa"/>
            </w:tcMar>
            <w:vAlign w:val="center"/>
          </w:tcPr>
          <w:p>
            <w:r>
              <w:rPr>
                <w:sz w:val="15"/>
              </w:rPr>
              <w:t>对本课题的最大价值</w:t>
            </w:r>
          </w:p>
        </w:tc>
        <w:tc>
          <w:tcPr>
            <w:tcW w:type="dxa" w:w="7370"/>
            <w:tcMar>
              <w:top w:w="70" w:type="dxa"/>
              <w:start w:w="70" w:type="dxa"/>
              <w:bottom w:w="70" w:type="dxa"/>
              <w:end w:w="70" w:type="dxa"/>
            </w:tcMar>
            <w:vAlign w:val="center"/>
          </w:tcPr>
          <w:p>
            <w:r>
              <w:rPr>
                <w:sz w:val="15"/>
              </w:rPr>
              <w:t>帮助明确“什么叫学习外”，以及你的任务到底更接近哪一种 OOD/异常检测问题。</w:t>
            </w:r>
          </w:p>
        </w:tc>
      </w:tr>
    </w:tbl>
    <w:p/>
    <w:p>
      <w:pPr>
        <w:pStyle w:val="Heading1"/>
      </w:pPr>
      <w:r>
        <w:t>2. 最基础的概念：ID 与 OOD</w:t>
      </w:r>
    </w:p>
    <w:p>
      <w:r>
        <w:t>训练阶段通常默认 closed-world assumption：测试数据与训练数据独立同分布，即来自同一个 In-Distribution (ID)。部署到 open-world 后，新输入可能不再来自训练分布，此时称为 Out-of-Distribution (OOD)。</w:t>
      </w:r>
    </w:p>
    <w:tbl>
      <w:tblPr>
        <w:tblStyle w:val="TableGrid"/>
        <w:tblW w:type="auto" w:w="0"/>
        <w:jc w:val="center"/>
        <w:tblLook w:firstColumn="1" w:firstRow="1" w:lastColumn="0" w:lastRow="0" w:noHBand="0" w:noVBand="1" w:val="04A0"/>
      </w:tblPr>
      <w:tblGrid>
        <w:gridCol w:w="3494"/>
        <w:gridCol w:w="3494"/>
        <w:gridCol w:w="3494"/>
      </w:tblGrid>
      <w:tr>
        <w:tc>
          <w:tcPr>
            <w:tcW w:type="dxa" w:w="1984"/>
            <w:shd w:fill="D9EAF7"/>
            <w:vAlign w:val="center"/>
          </w:tcPr>
          <w:p>
            <w:pPr>
              <w:jc w:val="center"/>
            </w:pPr>
            <w:r>
              <w:rPr>
                <w:b/>
                <w:sz w:val="15"/>
              </w:rPr>
              <w:t>概念</w:t>
            </w:r>
          </w:p>
        </w:tc>
        <w:tc>
          <w:tcPr>
            <w:tcW w:type="dxa" w:w="3969"/>
            <w:shd w:fill="D9EAF7"/>
            <w:vAlign w:val="center"/>
          </w:tcPr>
          <w:p>
            <w:pPr>
              <w:jc w:val="center"/>
            </w:pPr>
            <w:r>
              <w:rPr>
                <w:b/>
                <w:sz w:val="15"/>
              </w:rPr>
              <w:t>论文中的含义</w:t>
            </w:r>
          </w:p>
        </w:tc>
        <w:tc>
          <w:tcPr>
            <w:tcW w:type="dxa" w:w="3969"/>
            <w:shd w:fill="D9EAF7"/>
            <w:vAlign w:val="center"/>
          </w:tcPr>
          <w:p>
            <w:pPr>
              <w:jc w:val="center"/>
            </w:pPr>
            <w:r>
              <w:rPr>
                <w:b/>
                <w:sz w:val="15"/>
              </w:rPr>
              <w:t>用于你的水系统时</w:t>
            </w:r>
          </w:p>
        </w:tc>
      </w:tr>
      <w:tr>
        <w:tc>
          <w:tcPr>
            <w:tcW w:type="dxa" w:w="1984"/>
            <w:tcMar>
              <w:top w:w="70" w:type="dxa"/>
              <w:start w:w="70" w:type="dxa"/>
              <w:bottom w:w="70" w:type="dxa"/>
              <w:end w:w="70" w:type="dxa"/>
            </w:tcMar>
            <w:vAlign w:val="center"/>
          </w:tcPr>
          <w:p>
            <w:r>
              <w:rPr>
                <w:sz w:val="15"/>
              </w:rPr>
              <w:t>ID (In-Distribution)</w:t>
            </w:r>
          </w:p>
        </w:tc>
        <w:tc>
          <w:tcPr>
            <w:tcW w:type="dxa" w:w="3969"/>
            <w:tcMar>
              <w:top w:w="70" w:type="dxa"/>
              <w:start w:w="70" w:type="dxa"/>
              <w:bottom w:w="70" w:type="dxa"/>
              <w:end w:w="70" w:type="dxa"/>
            </w:tcMar>
            <w:vAlign w:val="center"/>
          </w:tcPr>
          <w:p>
            <w:r>
              <w:rPr>
                <w:sz w:val="15"/>
              </w:rPr>
              <w:t>训练阶段定义的正常/已知数据分布。</w:t>
            </w:r>
          </w:p>
        </w:tc>
        <w:tc>
          <w:tcPr>
            <w:tcW w:type="dxa" w:w="3969"/>
            <w:tcMar>
              <w:top w:w="70" w:type="dxa"/>
              <w:start w:w="70" w:type="dxa"/>
              <w:bottom w:w="70" w:type="dxa"/>
              <w:end w:w="70" w:type="dxa"/>
            </w:tcMar>
            <w:vAlign w:val="center"/>
          </w:tcPr>
          <w:p>
            <w:r>
              <w:rPr>
                <w:sz w:val="15"/>
              </w:rPr>
              <w:t>历史训练期覆盖的流量、压力、浊度、投药率等多变量输入及其正常关系。</w:t>
            </w:r>
          </w:p>
        </w:tc>
      </w:tr>
      <w:tr>
        <w:tc>
          <w:tcPr>
            <w:tcW w:type="dxa" w:w="1984"/>
            <w:tcMar>
              <w:top w:w="70" w:type="dxa"/>
              <w:start w:w="70" w:type="dxa"/>
              <w:bottom w:w="70" w:type="dxa"/>
              <w:end w:w="70" w:type="dxa"/>
            </w:tcMar>
            <w:vAlign w:val="center"/>
          </w:tcPr>
          <w:p>
            <w:r>
              <w:rPr>
                <w:sz w:val="15"/>
              </w:rPr>
              <w:t>OOD (Out-of-Distribution)</w:t>
            </w:r>
          </w:p>
        </w:tc>
        <w:tc>
          <w:tcPr>
            <w:tcW w:type="dxa" w:w="3969"/>
            <w:tcMar>
              <w:top w:w="70" w:type="dxa"/>
              <w:start w:w="70" w:type="dxa"/>
              <w:bottom w:w="70" w:type="dxa"/>
              <w:end w:w="70" w:type="dxa"/>
            </w:tcMar>
            <w:vAlign w:val="center"/>
          </w:tcPr>
          <w:p>
            <w:r>
              <w:rPr>
                <w:sz w:val="15"/>
              </w:rPr>
              <w:t>测试样本来自不同于训练分布的分布；“不同”必须结合具体应用定义。</w:t>
            </w:r>
          </w:p>
        </w:tc>
        <w:tc>
          <w:tcPr>
            <w:tcW w:type="dxa" w:w="3969"/>
            <w:tcMar>
              <w:top w:w="70" w:type="dxa"/>
              <w:start w:w="70" w:type="dxa"/>
              <w:bottom w:w="70" w:type="dxa"/>
              <w:end w:w="70" w:type="dxa"/>
            </w:tcMar>
            <w:vAlign w:val="center"/>
          </w:tcPr>
          <w:p>
            <w:r>
              <w:rPr>
                <w:sz w:val="15"/>
              </w:rPr>
              <w:t>新输入落在训练数据没有充分覆盖、模型不应或不能安全泛化的区域。</w:t>
            </w:r>
          </w:p>
        </w:tc>
      </w:tr>
      <w:tr>
        <w:tc>
          <w:tcPr>
            <w:tcW w:type="dxa" w:w="1984"/>
            <w:tcMar>
              <w:top w:w="70" w:type="dxa"/>
              <w:start w:w="70" w:type="dxa"/>
              <w:bottom w:w="70" w:type="dxa"/>
              <w:end w:w="70" w:type="dxa"/>
            </w:tcMar>
            <w:vAlign w:val="center"/>
          </w:tcPr>
          <w:p>
            <w:r>
              <w:rPr>
                <w:sz w:val="15"/>
              </w:rPr>
              <w:t>Detection</w:t>
            </w:r>
          </w:p>
        </w:tc>
        <w:tc>
          <w:tcPr>
            <w:tcW w:type="dxa" w:w="3969"/>
            <w:tcMar>
              <w:top w:w="70" w:type="dxa"/>
              <w:start w:w="70" w:type="dxa"/>
              <w:bottom w:w="70" w:type="dxa"/>
              <w:end w:w="70" w:type="dxa"/>
            </w:tcMar>
            <w:vAlign w:val="center"/>
          </w:tcPr>
          <w:p>
            <w:r>
              <w:rPr>
                <w:sz w:val="15"/>
              </w:rPr>
              <w:t>识别当前样本是否属于 OOD，并在必要时拒绝预测。</w:t>
            </w:r>
          </w:p>
        </w:tc>
        <w:tc>
          <w:tcPr>
            <w:tcW w:type="dxa" w:w="3969"/>
            <w:tcMar>
              <w:top w:w="70" w:type="dxa"/>
              <w:start w:w="70" w:type="dxa"/>
              <w:bottom w:w="70" w:type="dxa"/>
              <w:end w:w="70" w:type="dxa"/>
            </w:tcMar>
            <w:vAlign w:val="center"/>
          </w:tcPr>
          <w:p>
            <w:r>
              <w:rPr>
                <w:sz w:val="15"/>
              </w:rPr>
              <w:t>在回归模型前增加一个检知器，先判断 X 是否可信，再决定是否输出预测。</w:t>
            </w:r>
          </w:p>
        </w:tc>
      </w:tr>
    </w:tbl>
    <w:p/>
    <w:p>
      <w:r>
        <w:t>这篇论文很重要的一句话是：OOD detection 也可以理解为“检测那些模型不能、或不希望泛化过去的测试样本”。这个定义比“新类别”更适合你的回归场景，因为你的问题没有明确的分类标签类别。</w:t>
      </w:r>
    </w:p>
    <w:p>
      <w:pPr>
        <w:pStyle w:val="Heading1"/>
      </w:pPr>
      <w:r>
        <w:t>3. Distribution Shift：学习外数据最根本的分类</w:t>
      </w:r>
    </w:p>
    <w:p>
      <w:r>
        <w:t>作者首先把分布变化分成两大类：Covariate Shift 与 Semantic Shift。这是全篇分类体系的第一层，也是你现在最应该抓住的一层。</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984"/>
            <w:shd w:fill="D9EAF7"/>
            <w:vAlign w:val="center"/>
          </w:tcPr>
          <w:p>
            <w:pPr>
              <w:jc w:val="center"/>
            </w:pPr>
            <w:r>
              <w:rPr>
                <w:b/>
                <w:sz w:val="15"/>
              </w:rPr>
              <w:t>类型</w:t>
            </w:r>
          </w:p>
        </w:tc>
        <w:tc>
          <w:tcPr>
            <w:tcW w:type="dxa" w:w="2268"/>
            <w:shd w:fill="D9EAF7"/>
            <w:vAlign w:val="center"/>
          </w:tcPr>
          <w:p>
            <w:pPr>
              <w:jc w:val="center"/>
            </w:pPr>
            <w:r>
              <w:rPr>
                <w:b/>
                <w:sz w:val="15"/>
              </w:rPr>
              <w:t>数学上改变了什么</w:t>
            </w:r>
          </w:p>
        </w:tc>
        <w:tc>
          <w:tcPr>
            <w:tcW w:type="dxa" w:w="3685"/>
            <w:shd w:fill="D9EAF7"/>
            <w:vAlign w:val="center"/>
          </w:tcPr>
          <w:p>
            <w:pPr>
              <w:jc w:val="center"/>
            </w:pPr>
            <w:r>
              <w:rPr>
                <w:b/>
                <w:sz w:val="15"/>
              </w:rPr>
              <w:t>论文中的解释</w:t>
            </w:r>
          </w:p>
        </w:tc>
        <w:tc>
          <w:tcPr>
            <w:tcW w:type="dxa" w:w="3969"/>
            <w:shd w:fill="D9EAF7"/>
            <w:vAlign w:val="center"/>
          </w:tcPr>
          <w:p>
            <w:pPr>
              <w:jc w:val="center"/>
            </w:pPr>
            <w:r>
              <w:rPr>
                <w:b/>
                <w:sz w:val="15"/>
              </w:rPr>
              <w:t>你的课题如何理解</w:t>
            </w:r>
          </w:p>
        </w:tc>
      </w:tr>
      <w:tr>
        <w:tc>
          <w:tcPr>
            <w:tcW w:type="dxa" w:w="1984"/>
            <w:tcMar>
              <w:top w:w="70" w:type="dxa"/>
              <w:start w:w="70" w:type="dxa"/>
              <w:bottom w:w="70" w:type="dxa"/>
              <w:end w:w="70" w:type="dxa"/>
            </w:tcMar>
            <w:vAlign w:val="center"/>
          </w:tcPr>
          <w:p>
            <w:r>
              <w:rPr>
                <w:sz w:val="15"/>
              </w:rPr>
              <w:t>Covariate Shift</w:t>
            </w:r>
          </w:p>
        </w:tc>
        <w:tc>
          <w:tcPr>
            <w:tcW w:type="dxa" w:w="2268"/>
            <w:tcMar>
              <w:top w:w="70" w:type="dxa"/>
              <w:start w:w="70" w:type="dxa"/>
              <w:bottom w:w="70" w:type="dxa"/>
              <w:end w:w="70" w:type="dxa"/>
            </w:tcMar>
            <w:vAlign w:val="center"/>
          </w:tcPr>
          <w:p>
            <w:r>
              <w:rPr>
                <w:sz w:val="15"/>
              </w:rPr>
              <w:t>P(X) 改变；标签空间 Y 不变</w:t>
            </w:r>
          </w:p>
        </w:tc>
        <w:tc>
          <w:tcPr>
            <w:tcW w:type="dxa" w:w="3685"/>
            <w:tcMar>
              <w:top w:w="70" w:type="dxa"/>
              <w:start w:w="70" w:type="dxa"/>
              <w:bottom w:w="70" w:type="dxa"/>
              <w:end w:w="70" w:type="dxa"/>
            </w:tcMar>
            <w:vAlign w:val="center"/>
          </w:tcPr>
          <w:p>
            <w:r>
              <w:rPr>
                <w:sz w:val="15"/>
              </w:rPr>
              <w:t>输入空间发生变化，例如 domain/style 改变。</w:t>
            </w:r>
          </w:p>
        </w:tc>
        <w:tc>
          <w:tcPr>
            <w:tcW w:type="dxa" w:w="3969"/>
            <w:tcMar>
              <w:top w:w="70" w:type="dxa"/>
              <w:start w:w="70" w:type="dxa"/>
              <w:bottom w:w="70" w:type="dxa"/>
              <w:end w:w="70" w:type="dxa"/>
            </w:tcMar>
            <w:vAlign w:val="center"/>
          </w:tcPr>
          <w:p>
            <w:r>
              <w:rPr>
                <w:sz w:val="15"/>
              </w:rPr>
              <w:t>新流量/压力/浊度组合的输入分布和训练时不同，但问题本身仍是同一个回归任务。</w:t>
            </w:r>
          </w:p>
        </w:tc>
      </w:tr>
      <w:tr>
        <w:tc>
          <w:tcPr>
            <w:tcW w:type="dxa" w:w="1984"/>
            <w:tcMar>
              <w:top w:w="70" w:type="dxa"/>
              <w:start w:w="70" w:type="dxa"/>
              <w:bottom w:w="70" w:type="dxa"/>
              <w:end w:w="70" w:type="dxa"/>
            </w:tcMar>
            <w:vAlign w:val="center"/>
          </w:tcPr>
          <w:p>
            <w:r>
              <w:rPr>
                <w:sz w:val="15"/>
              </w:rPr>
              <w:t>Semantic Shift</w:t>
            </w:r>
          </w:p>
        </w:tc>
        <w:tc>
          <w:tcPr>
            <w:tcW w:type="dxa" w:w="2268"/>
            <w:tcMar>
              <w:top w:w="70" w:type="dxa"/>
              <w:start w:w="70" w:type="dxa"/>
              <w:bottom w:w="70" w:type="dxa"/>
              <w:end w:w="70" w:type="dxa"/>
            </w:tcMar>
            <w:vAlign w:val="center"/>
          </w:tcPr>
          <w:p>
            <w:r>
              <w:rPr>
                <w:sz w:val="15"/>
              </w:rPr>
              <w:t>P(Y) 改变，并间接导致 P(X) 改变</w:t>
            </w:r>
          </w:p>
        </w:tc>
        <w:tc>
          <w:tcPr>
            <w:tcW w:type="dxa" w:w="3685"/>
            <w:tcMar>
              <w:top w:w="70" w:type="dxa"/>
              <w:start w:w="70" w:type="dxa"/>
              <w:bottom w:w="70" w:type="dxa"/>
              <w:end w:w="70" w:type="dxa"/>
            </w:tcMar>
            <w:vAlign w:val="center"/>
          </w:tcPr>
          <w:p>
            <w:r>
              <w:rPr>
                <w:sz w:val="15"/>
              </w:rPr>
              <w:t>出现训练阶段不存在的新类别或语义。</w:t>
            </w:r>
          </w:p>
        </w:tc>
        <w:tc>
          <w:tcPr>
            <w:tcW w:type="dxa" w:w="3969"/>
            <w:tcMar>
              <w:top w:w="70" w:type="dxa"/>
              <w:start w:w="70" w:type="dxa"/>
              <w:bottom w:w="70" w:type="dxa"/>
              <w:end w:w="70" w:type="dxa"/>
            </w:tcMar>
            <w:vAlign w:val="center"/>
          </w:tcPr>
          <w:p>
            <w:r>
              <w:rPr>
                <w:sz w:val="15"/>
              </w:rPr>
              <w:t>对连续数值回归不容易直接对应“新类别”；更适用于分类型 OOD。</w:t>
            </w:r>
          </w:p>
        </w:tc>
      </w:tr>
    </w:tbl>
    <w:p/>
    <w:p>
      <w:r>
        <w:t>需要特别注意：本文所说的 Covariate Shift 只强调 P(X) 的变化及 Y 空间不变，并不像部分统计学习文献那样严格强调 P(Y|X) 完全不变。本文的中心是任务意图：到底想检测输入域变化，还是新语义/新类别。</w:t>
      </w:r>
    </w:p>
    <w:p>
      <w:pPr>
        <w:pStyle w:val="Heading1"/>
      </w:pPr>
      <w:r>
        <w:t>4. Generalized OOD Detection 的五类任务</w:t>
      </w:r>
    </w:p>
    <w:tbl>
      <w:tblPr>
        <w:tblStyle w:val="TableGrid"/>
        <w:tblW w:type="auto" w:w="0"/>
        <w:jc w:val="center"/>
        <w:tblLook w:firstColumn="1" w:firstRow="1" w:lastColumn="0" w:lastRow="0" w:noHBand="0" w:noVBand="1" w:val="04A0"/>
      </w:tblPr>
      <w:tblGrid>
        <w:gridCol w:w="1747"/>
        <w:gridCol w:w="1747"/>
        <w:gridCol w:w="1747"/>
        <w:gridCol w:w="1747"/>
        <w:gridCol w:w="1747"/>
        <w:gridCol w:w="1747"/>
      </w:tblGrid>
      <w:tr>
        <w:tc>
          <w:tcPr>
            <w:tcW w:type="dxa" w:w="1984"/>
            <w:shd w:fill="D9EAF7"/>
            <w:vAlign w:val="center"/>
          </w:tcPr>
          <w:p>
            <w:pPr>
              <w:jc w:val="center"/>
            </w:pPr>
            <w:r>
              <w:rPr>
                <w:b/>
                <w:sz w:val="14"/>
              </w:rPr>
              <w:t>任务</w:t>
            </w:r>
          </w:p>
        </w:tc>
        <w:tc>
          <w:tcPr>
            <w:tcW w:type="dxa" w:w="2268"/>
            <w:shd w:fill="D9EAF7"/>
            <w:vAlign w:val="center"/>
          </w:tcPr>
          <w:p>
            <w:pPr>
              <w:jc w:val="center"/>
            </w:pPr>
            <w:r>
              <w:rPr>
                <w:b/>
                <w:sz w:val="14"/>
              </w:rPr>
              <w:t>什么被视为 ID</w:t>
            </w:r>
          </w:p>
        </w:tc>
        <w:tc>
          <w:tcPr>
            <w:tcW w:type="dxa" w:w="2835"/>
            <w:shd w:fill="D9EAF7"/>
            <w:vAlign w:val="center"/>
          </w:tcPr>
          <w:p>
            <w:pPr>
              <w:jc w:val="center"/>
            </w:pPr>
            <w:r>
              <w:rPr>
                <w:b/>
                <w:sz w:val="14"/>
              </w:rPr>
              <w:t>什么被视为 OOD</w:t>
            </w:r>
          </w:p>
        </w:tc>
        <w:tc>
          <w:tcPr>
            <w:tcW w:type="dxa" w:w="1701"/>
            <w:shd w:fill="D9EAF7"/>
            <w:vAlign w:val="center"/>
          </w:tcPr>
          <w:p>
            <w:pPr>
              <w:jc w:val="center"/>
            </w:pPr>
            <w:r>
              <w:rPr>
                <w:b/>
                <w:sz w:val="14"/>
              </w:rPr>
              <w:t>是否按 train→test 检测</w:t>
            </w:r>
          </w:p>
        </w:tc>
        <w:tc>
          <w:tcPr>
            <w:tcW w:type="dxa" w:w="1701"/>
            <w:shd w:fill="D9EAF7"/>
            <w:vAlign w:val="center"/>
          </w:tcPr>
          <w:p>
            <w:pPr>
              <w:jc w:val="center"/>
            </w:pPr>
            <w:r>
              <w:rPr>
                <w:b/>
                <w:sz w:val="14"/>
              </w:rPr>
              <w:t>是否要求 ID 分类</w:t>
            </w:r>
          </w:p>
        </w:tc>
        <w:tc>
          <w:tcPr>
            <w:tcW w:type="dxa" w:w="1417"/>
            <w:shd w:fill="D9EAF7"/>
            <w:vAlign w:val="center"/>
          </w:tcPr>
          <w:p>
            <w:pPr>
              <w:jc w:val="center"/>
            </w:pPr>
            <w:r>
              <w:rPr>
                <w:b/>
                <w:sz w:val="14"/>
              </w:rPr>
              <w:t>与你的相关性</w:t>
            </w:r>
          </w:p>
        </w:tc>
      </w:tr>
      <w:tr>
        <w:tc>
          <w:tcPr>
            <w:tcW w:type="dxa" w:w="1984"/>
            <w:tcMar>
              <w:top w:w="70" w:type="dxa"/>
              <w:start w:w="70" w:type="dxa"/>
              <w:bottom w:w="70" w:type="dxa"/>
              <w:end w:w="70" w:type="dxa"/>
            </w:tcMar>
            <w:vAlign w:val="center"/>
          </w:tcPr>
          <w:p>
            <w:r>
              <w:rPr>
                <w:sz w:val="14"/>
              </w:rPr>
              <w:t>Anomaly Detection (AD)</w:t>
            </w:r>
          </w:p>
        </w:tc>
        <w:tc>
          <w:tcPr>
            <w:tcW w:type="dxa" w:w="2268"/>
            <w:tcMar>
              <w:top w:w="70" w:type="dxa"/>
              <w:start w:w="70" w:type="dxa"/>
              <w:bottom w:w="70" w:type="dxa"/>
              <w:end w:w="70" w:type="dxa"/>
            </w:tcMar>
            <w:vAlign w:val="center"/>
          </w:tcPr>
          <w:p>
            <w:r>
              <w:rPr>
                <w:sz w:val="14"/>
              </w:rPr>
              <w:t>预先定义的“normality”</w:t>
            </w:r>
          </w:p>
        </w:tc>
        <w:tc>
          <w:tcPr>
            <w:tcW w:type="dxa" w:w="2835"/>
            <w:tcMar>
              <w:top w:w="70" w:type="dxa"/>
              <w:start w:w="70" w:type="dxa"/>
              <w:bottom w:w="70" w:type="dxa"/>
              <w:end w:w="70" w:type="dxa"/>
            </w:tcMar>
            <w:vAlign w:val="center"/>
          </w:tcPr>
          <w:p>
            <w:r>
              <w:rPr>
                <w:sz w:val="14"/>
              </w:rPr>
              <w:t>任何偏离 normality 的样本</w:t>
            </w:r>
          </w:p>
        </w:tc>
        <w:tc>
          <w:tcPr>
            <w:tcW w:type="dxa" w:w="1701"/>
            <w:tcMar>
              <w:top w:w="70" w:type="dxa"/>
              <w:start w:w="70" w:type="dxa"/>
              <w:bottom w:w="70" w:type="dxa"/>
              <w:end w:w="70" w:type="dxa"/>
            </w:tcMar>
            <w:vAlign w:val="center"/>
          </w:tcPr>
          <w:p>
            <w:r>
              <w:rPr>
                <w:sz w:val="14"/>
              </w:rPr>
              <w:t>是</w:t>
            </w:r>
          </w:p>
        </w:tc>
        <w:tc>
          <w:tcPr>
            <w:tcW w:type="dxa" w:w="1701"/>
            <w:tcMar>
              <w:top w:w="70" w:type="dxa"/>
              <w:start w:w="70" w:type="dxa"/>
              <w:bottom w:w="70" w:type="dxa"/>
              <w:end w:w="70" w:type="dxa"/>
            </w:tcMar>
            <w:vAlign w:val="center"/>
          </w:tcPr>
          <w:p>
            <w:r>
              <w:rPr>
                <w:sz w:val="14"/>
              </w:rPr>
              <w:t>否</w:t>
            </w:r>
          </w:p>
        </w:tc>
        <w:tc>
          <w:tcPr>
            <w:tcW w:type="dxa" w:w="1417"/>
            <w:tcMar>
              <w:top w:w="70" w:type="dxa"/>
              <w:start w:w="70" w:type="dxa"/>
              <w:bottom w:w="70" w:type="dxa"/>
              <w:end w:w="70" w:type="dxa"/>
            </w:tcMar>
            <w:vAlign w:val="center"/>
          </w:tcPr>
          <w:p>
            <w:r>
              <w:rPr>
                <w:sz w:val="14"/>
              </w:rPr>
              <w:t>★★★★★</w:t>
            </w:r>
          </w:p>
        </w:tc>
      </w:tr>
      <w:tr>
        <w:tc>
          <w:tcPr>
            <w:tcW w:type="dxa" w:w="1984"/>
            <w:tcMar>
              <w:top w:w="70" w:type="dxa"/>
              <w:start w:w="70" w:type="dxa"/>
              <w:bottom w:w="70" w:type="dxa"/>
              <w:end w:w="70" w:type="dxa"/>
            </w:tcMar>
            <w:vAlign w:val="center"/>
          </w:tcPr>
          <w:p>
            <w:r>
              <w:rPr>
                <w:sz w:val="14"/>
              </w:rPr>
              <w:t>Novelty Detection (ND)</w:t>
            </w:r>
          </w:p>
        </w:tc>
        <w:tc>
          <w:tcPr>
            <w:tcW w:type="dxa" w:w="2268"/>
            <w:tcMar>
              <w:top w:w="70" w:type="dxa"/>
              <w:start w:w="70" w:type="dxa"/>
              <w:bottom w:w="70" w:type="dxa"/>
              <w:end w:w="70" w:type="dxa"/>
            </w:tcMar>
            <w:vAlign w:val="center"/>
          </w:tcPr>
          <w:p>
            <w:r>
              <w:rPr>
                <w:sz w:val="14"/>
              </w:rPr>
              <w:t>已有一个或多个训练类别</w:t>
            </w:r>
          </w:p>
        </w:tc>
        <w:tc>
          <w:tcPr>
            <w:tcW w:type="dxa" w:w="2835"/>
            <w:tcMar>
              <w:top w:w="70" w:type="dxa"/>
              <w:start w:w="70" w:type="dxa"/>
              <w:bottom w:w="70" w:type="dxa"/>
              <w:end w:w="70" w:type="dxa"/>
            </w:tcMar>
            <w:vAlign w:val="center"/>
          </w:tcPr>
          <w:p>
            <w:r>
              <w:rPr>
                <w:sz w:val="14"/>
              </w:rPr>
              <w:t>不属于任何训练类别的新样本</w:t>
            </w:r>
          </w:p>
        </w:tc>
        <w:tc>
          <w:tcPr>
            <w:tcW w:type="dxa" w:w="1701"/>
            <w:tcMar>
              <w:top w:w="70" w:type="dxa"/>
              <w:start w:w="70" w:type="dxa"/>
              <w:bottom w:w="70" w:type="dxa"/>
              <w:end w:w="70" w:type="dxa"/>
            </w:tcMar>
            <w:vAlign w:val="center"/>
          </w:tcPr>
          <w:p>
            <w:r>
              <w:rPr>
                <w:sz w:val="14"/>
              </w:rPr>
              <w:t>是</w:t>
            </w:r>
          </w:p>
        </w:tc>
        <w:tc>
          <w:tcPr>
            <w:tcW w:type="dxa" w:w="1701"/>
            <w:tcMar>
              <w:top w:w="70" w:type="dxa"/>
              <w:start w:w="70" w:type="dxa"/>
              <w:bottom w:w="70" w:type="dxa"/>
              <w:end w:w="70" w:type="dxa"/>
            </w:tcMar>
            <w:vAlign w:val="center"/>
          </w:tcPr>
          <w:p>
            <w:r>
              <w:rPr>
                <w:sz w:val="14"/>
              </w:rPr>
              <w:t>否</w:t>
            </w:r>
          </w:p>
        </w:tc>
        <w:tc>
          <w:tcPr>
            <w:tcW w:type="dxa" w:w="1417"/>
            <w:tcMar>
              <w:top w:w="70" w:type="dxa"/>
              <w:start w:w="70" w:type="dxa"/>
              <w:bottom w:w="70" w:type="dxa"/>
              <w:end w:w="70" w:type="dxa"/>
            </w:tcMar>
            <w:vAlign w:val="center"/>
          </w:tcPr>
          <w:p>
            <w:r>
              <w:rPr>
                <w:sz w:val="14"/>
              </w:rPr>
              <w:t>★☆☆☆☆</w:t>
            </w:r>
          </w:p>
        </w:tc>
      </w:tr>
      <w:tr>
        <w:tc>
          <w:tcPr>
            <w:tcW w:type="dxa" w:w="1984"/>
            <w:tcMar>
              <w:top w:w="70" w:type="dxa"/>
              <w:start w:w="70" w:type="dxa"/>
              <w:bottom w:w="70" w:type="dxa"/>
              <w:end w:w="70" w:type="dxa"/>
            </w:tcMar>
            <w:vAlign w:val="center"/>
          </w:tcPr>
          <w:p>
            <w:r>
              <w:rPr>
                <w:sz w:val="14"/>
              </w:rPr>
              <w:t>Open Set Recognition (OSR)</w:t>
            </w:r>
          </w:p>
        </w:tc>
        <w:tc>
          <w:tcPr>
            <w:tcW w:type="dxa" w:w="2268"/>
            <w:tcMar>
              <w:top w:w="70" w:type="dxa"/>
              <w:start w:w="70" w:type="dxa"/>
              <w:bottom w:w="70" w:type="dxa"/>
              <w:end w:w="70" w:type="dxa"/>
            </w:tcMar>
            <w:vAlign w:val="center"/>
          </w:tcPr>
          <w:p>
            <w:r>
              <w:rPr>
                <w:sz w:val="14"/>
              </w:rPr>
              <w:t>多个已知类别</w:t>
            </w:r>
          </w:p>
        </w:tc>
        <w:tc>
          <w:tcPr>
            <w:tcW w:type="dxa" w:w="2835"/>
            <w:tcMar>
              <w:top w:w="70" w:type="dxa"/>
              <w:start w:w="70" w:type="dxa"/>
              <w:bottom w:w="70" w:type="dxa"/>
              <w:end w:w="70" w:type="dxa"/>
            </w:tcMar>
            <w:vAlign w:val="center"/>
          </w:tcPr>
          <w:p>
            <w:r>
              <w:rPr>
                <w:sz w:val="14"/>
              </w:rPr>
              <w:t>未知类别</w:t>
            </w:r>
          </w:p>
        </w:tc>
        <w:tc>
          <w:tcPr>
            <w:tcW w:type="dxa" w:w="1701"/>
            <w:tcMar>
              <w:top w:w="70" w:type="dxa"/>
              <w:start w:w="70" w:type="dxa"/>
              <w:bottom w:w="70" w:type="dxa"/>
              <w:end w:w="70" w:type="dxa"/>
            </w:tcMar>
            <w:vAlign w:val="center"/>
          </w:tcPr>
          <w:p>
            <w:r>
              <w:rPr>
                <w:sz w:val="14"/>
              </w:rPr>
              <w:t>是</w:t>
            </w:r>
          </w:p>
        </w:tc>
        <w:tc>
          <w:tcPr>
            <w:tcW w:type="dxa" w:w="1701"/>
            <w:tcMar>
              <w:top w:w="70" w:type="dxa"/>
              <w:start w:w="70" w:type="dxa"/>
              <w:bottom w:w="70" w:type="dxa"/>
              <w:end w:w="70" w:type="dxa"/>
            </w:tcMar>
            <w:vAlign w:val="center"/>
          </w:tcPr>
          <w:p>
            <w:r>
              <w:rPr>
                <w:sz w:val="14"/>
              </w:rPr>
              <w:t>是</w:t>
            </w:r>
          </w:p>
        </w:tc>
        <w:tc>
          <w:tcPr>
            <w:tcW w:type="dxa" w:w="1417"/>
            <w:tcMar>
              <w:top w:w="70" w:type="dxa"/>
              <w:start w:w="70" w:type="dxa"/>
              <w:bottom w:w="70" w:type="dxa"/>
              <w:end w:w="70" w:type="dxa"/>
            </w:tcMar>
            <w:vAlign w:val="center"/>
          </w:tcPr>
          <w:p>
            <w:r>
              <w:rPr>
                <w:sz w:val="14"/>
              </w:rPr>
              <w:t>★☆☆☆☆</w:t>
            </w:r>
          </w:p>
        </w:tc>
      </w:tr>
      <w:tr>
        <w:tc>
          <w:tcPr>
            <w:tcW w:type="dxa" w:w="1984"/>
            <w:tcMar>
              <w:top w:w="70" w:type="dxa"/>
              <w:start w:w="70" w:type="dxa"/>
              <w:bottom w:w="70" w:type="dxa"/>
              <w:end w:w="70" w:type="dxa"/>
            </w:tcMar>
            <w:vAlign w:val="center"/>
          </w:tcPr>
          <w:p>
            <w:r>
              <w:rPr>
                <w:sz w:val="14"/>
              </w:rPr>
              <w:t>OOD Detection（主流分类设定）</w:t>
            </w:r>
          </w:p>
        </w:tc>
        <w:tc>
          <w:tcPr>
            <w:tcW w:type="dxa" w:w="2268"/>
            <w:tcMar>
              <w:top w:w="70" w:type="dxa"/>
              <w:start w:w="70" w:type="dxa"/>
              <w:bottom w:w="70" w:type="dxa"/>
              <w:end w:w="70" w:type="dxa"/>
            </w:tcMar>
            <w:vAlign w:val="center"/>
          </w:tcPr>
          <w:p>
            <w:r>
              <w:rPr>
                <w:sz w:val="14"/>
              </w:rPr>
              <w:t>多个已知类别</w:t>
            </w:r>
          </w:p>
        </w:tc>
        <w:tc>
          <w:tcPr>
            <w:tcW w:type="dxa" w:w="2835"/>
            <w:tcMar>
              <w:top w:w="70" w:type="dxa"/>
              <w:start w:w="70" w:type="dxa"/>
              <w:bottom w:w="70" w:type="dxa"/>
              <w:end w:w="70" w:type="dxa"/>
            </w:tcMar>
            <w:vAlign w:val="center"/>
          </w:tcPr>
          <w:p>
            <w:r>
              <w:rPr>
                <w:sz w:val="14"/>
              </w:rPr>
              <w:t>语义/标签空间外样本</w:t>
            </w:r>
          </w:p>
        </w:tc>
        <w:tc>
          <w:tcPr>
            <w:tcW w:type="dxa" w:w="1701"/>
            <w:tcMar>
              <w:top w:w="70" w:type="dxa"/>
              <w:start w:w="70" w:type="dxa"/>
              <w:bottom w:w="70" w:type="dxa"/>
              <w:end w:w="70" w:type="dxa"/>
            </w:tcMar>
            <w:vAlign w:val="center"/>
          </w:tcPr>
          <w:p>
            <w:r>
              <w:rPr>
                <w:sz w:val="14"/>
              </w:rPr>
              <w:t>是</w:t>
            </w:r>
          </w:p>
        </w:tc>
        <w:tc>
          <w:tcPr>
            <w:tcW w:type="dxa" w:w="1701"/>
            <w:tcMar>
              <w:top w:w="70" w:type="dxa"/>
              <w:start w:w="70" w:type="dxa"/>
              <w:bottom w:w="70" w:type="dxa"/>
              <w:end w:w="70" w:type="dxa"/>
            </w:tcMar>
            <w:vAlign w:val="center"/>
          </w:tcPr>
          <w:p>
            <w:r>
              <w:rPr>
                <w:sz w:val="14"/>
              </w:rPr>
              <w:t>通常是</w:t>
            </w:r>
          </w:p>
        </w:tc>
        <w:tc>
          <w:tcPr>
            <w:tcW w:type="dxa" w:w="1417"/>
            <w:tcMar>
              <w:top w:w="70" w:type="dxa"/>
              <w:start w:w="70" w:type="dxa"/>
              <w:bottom w:w="70" w:type="dxa"/>
              <w:end w:w="70" w:type="dxa"/>
            </w:tcMar>
            <w:vAlign w:val="center"/>
          </w:tcPr>
          <w:p>
            <w:r>
              <w:rPr>
                <w:sz w:val="14"/>
              </w:rPr>
              <w:t>★★☆☆☆</w:t>
            </w:r>
          </w:p>
        </w:tc>
      </w:tr>
      <w:tr>
        <w:tc>
          <w:tcPr>
            <w:tcW w:type="dxa" w:w="1984"/>
            <w:tcMar>
              <w:top w:w="70" w:type="dxa"/>
              <w:start w:w="70" w:type="dxa"/>
              <w:bottom w:w="70" w:type="dxa"/>
              <w:end w:w="70" w:type="dxa"/>
            </w:tcMar>
            <w:vAlign w:val="center"/>
          </w:tcPr>
          <w:p>
            <w:r>
              <w:rPr>
                <w:sz w:val="14"/>
              </w:rPr>
              <w:t>Outlier Detection (OD)</w:t>
            </w:r>
          </w:p>
        </w:tc>
        <w:tc>
          <w:tcPr>
            <w:tcW w:type="dxa" w:w="2268"/>
            <w:tcMar>
              <w:top w:w="70" w:type="dxa"/>
              <w:start w:w="70" w:type="dxa"/>
              <w:bottom w:w="70" w:type="dxa"/>
              <w:end w:w="70" w:type="dxa"/>
            </w:tcMar>
            <w:vAlign w:val="center"/>
          </w:tcPr>
          <w:p>
            <w:r>
              <w:rPr>
                <w:sz w:val="14"/>
              </w:rPr>
              <w:t>当前全部观测中的多数分布</w:t>
            </w:r>
          </w:p>
        </w:tc>
        <w:tc>
          <w:tcPr>
            <w:tcW w:type="dxa" w:w="2835"/>
            <w:tcMar>
              <w:top w:w="70" w:type="dxa"/>
              <w:start w:w="70" w:type="dxa"/>
              <w:bottom w:w="70" w:type="dxa"/>
              <w:end w:w="70" w:type="dxa"/>
            </w:tcMar>
            <w:vAlign w:val="center"/>
          </w:tcPr>
          <w:p>
            <w:r>
              <w:rPr>
                <w:sz w:val="14"/>
              </w:rPr>
              <w:t>同一批数据中的少数显著偏离点</w:t>
            </w:r>
          </w:p>
        </w:tc>
        <w:tc>
          <w:tcPr>
            <w:tcW w:type="dxa" w:w="1701"/>
            <w:tcMar>
              <w:top w:w="70" w:type="dxa"/>
              <w:start w:w="70" w:type="dxa"/>
              <w:bottom w:w="70" w:type="dxa"/>
              <w:end w:w="70" w:type="dxa"/>
            </w:tcMar>
            <w:vAlign w:val="center"/>
          </w:tcPr>
          <w:p>
            <w:r>
              <w:rPr>
                <w:sz w:val="14"/>
              </w:rPr>
              <w:t>否，通常所有观测一起给出</w:t>
            </w:r>
          </w:p>
        </w:tc>
        <w:tc>
          <w:tcPr>
            <w:tcW w:type="dxa" w:w="1701"/>
            <w:tcMar>
              <w:top w:w="70" w:type="dxa"/>
              <w:start w:w="70" w:type="dxa"/>
              <w:bottom w:w="70" w:type="dxa"/>
              <w:end w:w="70" w:type="dxa"/>
            </w:tcMar>
            <w:vAlign w:val="center"/>
          </w:tcPr>
          <w:p>
            <w:r>
              <w:rPr>
                <w:sz w:val="14"/>
              </w:rPr>
              <w:t>否</w:t>
            </w:r>
          </w:p>
        </w:tc>
        <w:tc>
          <w:tcPr>
            <w:tcW w:type="dxa" w:w="1417"/>
            <w:tcMar>
              <w:top w:w="70" w:type="dxa"/>
              <w:start w:w="70" w:type="dxa"/>
              <w:bottom w:w="70" w:type="dxa"/>
              <w:end w:w="70" w:type="dxa"/>
            </w:tcMar>
            <w:vAlign w:val="center"/>
          </w:tcPr>
          <w:p>
            <w:r>
              <w:rPr>
                <w:sz w:val="14"/>
              </w:rPr>
              <w:t>★★★☆☆</w:t>
            </w:r>
          </w:p>
        </w:tc>
      </w:tr>
    </w:tbl>
    <w:p/>
    <w:p>
      <w:pPr>
        <w:pStyle w:val="Heading1"/>
      </w:pPr>
      <w:r>
        <w:t>5. Anomaly Detection 内部又分两类：这部分与你最相关</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551"/>
            <w:shd w:fill="D9EAF7"/>
            <w:vAlign w:val="center"/>
          </w:tcPr>
          <w:p>
            <w:pPr>
              <w:jc w:val="center"/>
            </w:pPr>
            <w:r>
              <w:rPr>
                <w:b/>
                <w:sz w:val="15"/>
              </w:rPr>
              <w:t>子类</w:t>
            </w:r>
          </w:p>
        </w:tc>
        <w:tc>
          <w:tcPr>
            <w:tcW w:type="dxa" w:w="3685"/>
            <w:shd w:fill="D9EAF7"/>
            <w:vAlign w:val="center"/>
          </w:tcPr>
          <w:p>
            <w:pPr>
              <w:jc w:val="center"/>
            </w:pPr>
            <w:r>
              <w:rPr>
                <w:b/>
                <w:sz w:val="15"/>
              </w:rPr>
              <w:t>定义</w:t>
            </w:r>
          </w:p>
        </w:tc>
        <w:tc>
          <w:tcPr>
            <w:tcW w:type="dxa" w:w="2551"/>
            <w:shd w:fill="D9EAF7"/>
            <w:vAlign w:val="center"/>
          </w:tcPr>
          <w:p>
            <w:pPr>
              <w:jc w:val="center"/>
            </w:pPr>
            <w:r>
              <w:rPr>
                <w:b/>
                <w:sz w:val="15"/>
              </w:rPr>
              <w:t>改变</w:t>
            </w:r>
          </w:p>
        </w:tc>
        <w:tc>
          <w:tcPr>
            <w:tcW w:type="dxa" w:w="3969"/>
            <w:shd w:fill="D9EAF7"/>
            <w:vAlign w:val="center"/>
          </w:tcPr>
          <w:p>
            <w:pPr>
              <w:jc w:val="center"/>
            </w:pPr>
            <w:r>
              <w:rPr>
                <w:b/>
                <w:sz w:val="15"/>
              </w:rPr>
              <w:t>与你的对应</w:t>
            </w:r>
          </w:p>
        </w:tc>
      </w:tr>
      <w:tr>
        <w:tc>
          <w:tcPr>
            <w:tcW w:type="dxa" w:w="2551"/>
            <w:tcMar>
              <w:top w:w="70" w:type="dxa"/>
              <w:start w:w="70" w:type="dxa"/>
              <w:bottom w:w="70" w:type="dxa"/>
              <w:end w:w="70" w:type="dxa"/>
            </w:tcMar>
            <w:vAlign w:val="center"/>
          </w:tcPr>
          <w:p>
            <w:r>
              <w:rPr>
                <w:sz w:val="15"/>
              </w:rPr>
              <w:t>Sensory Anomaly Detection</w:t>
            </w:r>
          </w:p>
        </w:tc>
        <w:tc>
          <w:tcPr>
            <w:tcW w:type="dxa" w:w="3685"/>
            <w:tcMar>
              <w:top w:w="70" w:type="dxa"/>
              <w:start w:w="70" w:type="dxa"/>
              <w:bottom w:w="70" w:type="dxa"/>
              <w:end w:w="70" w:type="dxa"/>
            </w:tcMar>
            <w:vAlign w:val="center"/>
          </w:tcPr>
          <w:p>
            <w:r>
              <w:rPr>
                <w:sz w:val="15"/>
              </w:rPr>
              <w:t>测试样本在输入/感知层面偏离正常分布。</w:t>
            </w:r>
          </w:p>
        </w:tc>
        <w:tc>
          <w:tcPr>
            <w:tcW w:type="dxa" w:w="2551"/>
            <w:tcMar>
              <w:top w:w="70" w:type="dxa"/>
              <w:start w:w="70" w:type="dxa"/>
              <w:bottom w:w="70" w:type="dxa"/>
              <w:end w:w="70" w:type="dxa"/>
            </w:tcMar>
            <w:vAlign w:val="center"/>
          </w:tcPr>
          <w:p>
            <w:r>
              <w:rPr>
                <w:sz w:val="15"/>
              </w:rPr>
              <w:t>P(X) 改变，P(Y) 不变。</w:t>
            </w:r>
          </w:p>
        </w:tc>
        <w:tc>
          <w:tcPr>
            <w:tcW w:type="dxa" w:w="3969"/>
            <w:tcMar>
              <w:top w:w="70" w:type="dxa"/>
              <w:start w:w="70" w:type="dxa"/>
              <w:bottom w:w="70" w:type="dxa"/>
              <w:end w:w="70" w:type="dxa"/>
            </w:tcMar>
            <w:vAlign w:val="center"/>
          </w:tcPr>
          <w:p>
            <w:r>
              <w:rPr>
                <w:sz w:val="15"/>
              </w:rPr>
              <w:t>最接近你的“学習外入力数据检知”：输入向量或时间窗口与训练时不同。</w:t>
            </w:r>
          </w:p>
        </w:tc>
      </w:tr>
      <w:tr>
        <w:tc>
          <w:tcPr>
            <w:tcW w:type="dxa" w:w="2551"/>
            <w:tcMar>
              <w:top w:w="70" w:type="dxa"/>
              <w:start w:w="70" w:type="dxa"/>
              <w:bottom w:w="70" w:type="dxa"/>
              <w:end w:w="70" w:type="dxa"/>
            </w:tcMar>
            <w:vAlign w:val="center"/>
          </w:tcPr>
          <w:p>
            <w:r>
              <w:rPr>
                <w:sz w:val="15"/>
              </w:rPr>
              <w:t>Semantic Anomaly Detection</w:t>
            </w:r>
          </w:p>
        </w:tc>
        <w:tc>
          <w:tcPr>
            <w:tcW w:type="dxa" w:w="3685"/>
            <w:tcMar>
              <w:top w:w="70" w:type="dxa"/>
              <w:start w:w="70" w:type="dxa"/>
              <w:bottom w:w="70" w:type="dxa"/>
              <w:end w:w="70" w:type="dxa"/>
            </w:tcMar>
            <w:vAlign w:val="center"/>
          </w:tcPr>
          <w:p>
            <w:r>
              <w:rPr>
                <w:sz w:val="15"/>
              </w:rPr>
              <w:t>测试样本属于正常语义之外的新类别。</w:t>
            </w:r>
          </w:p>
        </w:tc>
        <w:tc>
          <w:tcPr>
            <w:tcW w:type="dxa" w:w="2551"/>
            <w:tcMar>
              <w:top w:w="70" w:type="dxa"/>
              <w:start w:w="70" w:type="dxa"/>
              <w:bottom w:w="70" w:type="dxa"/>
              <w:end w:w="70" w:type="dxa"/>
            </w:tcMar>
            <w:vAlign w:val="center"/>
          </w:tcPr>
          <w:p>
            <w:r>
              <w:rPr>
                <w:sz w:val="15"/>
              </w:rPr>
              <w:t>P(Y) 改变。</w:t>
            </w:r>
          </w:p>
        </w:tc>
        <w:tc>
          <w:tcPr>
            <w:tcW w:type="dxa" w:w="3969"/>
            <w:tcMar>
              <w:top w:w="70" w:type="dxa"/>
              <w:start w:w="70" w:type="dxa"/>
              <w:bottom w:w="70" w:type="dxa"/>
              <w:end w:w="70" w:type="dxa"/>
            </w:tcMar>
            <w:vAlign w:val="center"/>
          </w:tcPr>
          <w:p>
            <w:r>
              <w:rPr>
                <w:sz w:val="15"/>
              </w:rPr>
              <w:t>更偏分类任务，与你的连续回归水系统不是主线。</w:t>
            </w:r>
          </w:p>
        </w:tc>
      </w:tr>
    </w:tbl>
    <w:p/>
    <w:p>
      <w:r>
        <w:t>因此，如果只根据这篇论文来给你的任务定位，我会把它放在“Generalized OOD Detection → Anomaly Detection → Sensory AD / Covariate-shift detection”这一支，而不是主流图像分类里的 Semantic OOD。</w:t>
      </w:r>
    </w:p>
    <w:p>
      <w:pPr>
        <w:pStyle w:val="Heading1"/>
      </w:pPr>
      <w:r>
        <w:t>6. 论文给出的四个“任务分类轴”</w:t>
      </w:r>
    </w:p>
    <w:p>
      <w:r>
        <w:t>Fig.1 的分类不是按算法，而是按问题设定。作者用四个二分维度区分任务：</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268"/>
            <w:shd w:fill="D9EAF7"/>
            <w:vAlign w:val="center"/>
          </w:tcPr>
          <w:p>
            <w:pPr>
              <w:jc w:val="center"/>
            </w:pPr>
            <w:r>
              <w:rPr>
                <w:b/>
                <w:sz w:val="15"/>
              </w:rPr>
              <w:t>分类轴</w:t>
            </w:r>
          </w:p>
        </w:tc>
        <w:tc>
          <w:tcPr>
            <w:tcW w:type="dxa" w:w="2268"/>
            <w:shd w:fill="D9EAF7"/>
            <w:vAlign w:val="center"/>
          </w:tcPr>
          <w:p>
            <w:pPr>
              <w:jc w:val="center"/>
            </w:pPr>
            <w:r>
              <w:rPr>
                <w:b/>
                <w:sz w:val="15"/>
              </w:rPr>
              <w:t>两个方向</w:t>
            </w:r>
          </w:p>
        </w:tc>
        <w:tc>
          <w:tcPr>
            <w:tcW w:type="dxa" w:w="3969"/>
            <w:shd w:fill="D9EAF7"/>
            <w:vAlign w:val="center"/>
          </w:tcPr>
          <w:p>
            <w:pPr>
              <w:jc w:val="center"/>
            </w:pPr>
            <w:r>
              <w:rPr>
                <w:b/>
                <w:sz w:val="15"/>
              </w:rPr>
              <w:t>是什么意思</w:t>
            </w:r>
          </w:p>
        </w:tc>
        <w:tc>
          <w:tcPr>
            <w:tcW w:type="dxa" w:w="2835"/>
            <w:shd w:fill="D9EAF7"/>
            <w:vAlign w:val="center"/>
          </w:tcPr>
          <w:p>
            <w:pPr>
              <w:jc w:val="center"/>
            </w:pPr>
            <w:r>
              <w:rPr>
                <w:b/>
                <w:sz w:val="15"/>
              </w:rPr>
              <w:t>你的任务</w:t>
            </w:r>
          </w:p>
        </w:tc>
      </w:tr>
      <w:tr>
        <w:tc>
          <w:tcPr>
            <w:tcW w:type="dxa" w:w="2268"/>
            <w:tcMar>
              <w:top w:w="70" w:type="dxa"/>
              <w:start w:w="70" w:type="dxa"/>
              <w:bottom w:w="70" w:type="dxa"/>
              <w:end w:w="70" w:type="dxa"/>
            </w:tcMar>
            <w:vAlign w:val="center"/>
          </w:tcPr>
          <w:p>
            <w:r>
              <w:rPr>
                <w:sz w:val="15"/>
              </w:rPr>
              <w:t>① 检测何种 shift</w:t>
            </w:r>
          </w:p>
        </w:tc>
        <w:tc>
          <w:tcPr>
            <w:tcW w:type="dxa" w:w="2268"/>
            <w:tcMar>
              <w:top w:w="70" w:type="dxa"/>
              <w:start w:w="70" w:type="dxa"/>
              <w:bottom w:w="70" w:type="dxa"/>
              <w:end w:w="70" w:type="dxa"/>
            </w:tcMar>
            <w:vAlign w:val="center"/>
          </w:tcPr>
          <w:p>
            <w:r>
              <w:rPr>
                <w:sz w:val="15"/>
              </w:rPr>
              <w:t>Covariate / Semantic</w:t>
            </w:r>
          </w:p>
        </w:tc>
        <w:tc>
          <w:tcPr>
            <w:tcW w:type="dxa" w:w="3969"/>
            <w:tcMar>
              <w:top w:w="70" w:type="dxa"/>
              <w:start w:w="70" w:type="dxa"/>
              <w:bottom w:w="70" w:type="dxa"/>
              <w:end w:w="70" w:type="dxa"/>
            </w:tcMar>
            <w:vAlign w:val="center"/>
          </w:tcPr>
          <w:p>
            <w:r>
              <w:rPr>
                <w:sz w:val="15"/>
              </w:rPr>
              <w:t>输入域变化 vs 新语义/新类别</w:t>
            </w:r>
          </w:p>
        </w:tc>
        <w:tc>
          <w:tcPr>
            <w:tcW w:type="dxa" w:w="2835"/>
            <w:tcMar>
              <w:top w:w="70" w:type="dxa"/>
              <w:start w:w="70" w:type="dxa"/>
              <w:bottom w:w="70" w:type="dxa"/>
              <w:end w:w="70" w:type="dxa"/>
            </w:tcMar>
            <w:vAlign w:val="center"/>
          </w:tcPr>
          <w:p>
            <w:r>
              <w:rPr>
                <w:sz w:val="15"/>
              </w:rPr>
              <w:t>Covariate</w:t>
            </w:r>
          </w:p>
        </w:tc>
      </w:tr>
      <w:tr>
        <w:tc>
          <w:tcPr>
            <w:tcW w:type="dxa" w:w="2268"/>
            <w:tcMar>
              <w:top w:w="70" w:type="dxa"/>
              <w:start w:w="70" w:type="dxa"/>
              <w:bottom w:w="70" w:type="dxa"/>
              <w:end w:w="70" w:type="dxa"/>
            </w:tcMar>
            <w:vAlign w:val="center"/>
          </w:tcPr>
          <w:p>
            <w:r>
              <w:rPr>
                <w:sz w:val="15"/>
              </w:rPr>
              <w:t>② ID 数据类别数</w:t>
            </w:r>
          </w:p>
        </w:tc>
        <w:tc>
          <w:tcPr>
            <w:tcW w:type="dxa" w:w="2268"/>
            <w:tcMar>
              <w:top w:w="70" w:type="dxa"/>
              <w:start w:w="70" w:type="dxa"/>
              <w:bottom w:w="70" w:type="dxa"/>
              <w:end w:w="70" w:type="dxa"/>
            </w:tcMar>
            <w:vAlign w:val="center"/>
          </w:tcPr>
          <w:p>
            <w:r>
              <w:rPr>
                <w:sz w:val="15"/>
              </w:rPr>
              <w:t>Single / Multiple class</w:t>
            </w:r>
          </w:p>
        </w:tc>
        <w:tc>
          <w:tcPr>
            <w:tcW w:type="dxa" w:w="3969"/>
            <w:tcMar>
              <w:top w:w="70" w:type="dxa"/>
              <w:start w:w="70" w:type="dxa"/>
              <w:bottom w:w="70" w:type="dxa"/>
              <w:end w:w="70" w:type="dxa"/>
            </w:tcMar>
            <w:vAlign w:val="center"/>
          </w:tcPr>
          <w:p>
            <w:r>
              <w:rPr>
                <w:sz w:val="15"/>
              </w:rPr>
              <w:t>训练正常数据是否带一个或多个类别</w:t>
            </w:r>
          </w:p>
        </w:tc>
        <w:tc>
          <w:tcPr>
            <w:tcW w:type="dxa" w:w="2835"/>
            <w:tcMar>
              <w:top w:w="70" w:type="dxa"/>
              <w:start w:w="70" w:type="dxa"/>
              <w:bottom w:w="70" w:type="dxa"/>
              <w:end w:w="70" w:type="dxa"/>
            </w:tcMar>
            <w:vAlign w:val="center"/>
          </w:tcPr>
          <w:p>
            <w:r>
              <w:rPr>
                <w:sz w:val="15"/>
              </w:rPr>
              <w:t>回归场景通常不依赖类别</w:t>
            </w:r>
          </w:p>
        </w:tc>
      </w:tr>
      <w:tr>
        <w:tc>
          <w:tcPr>
            <w:tcW w:type="dxa" w:w="2268"/>
            <w:tcMar>
              <w:top w:w="70" w:type="dxa"/>
              <w:start w:w="70" w:type="dxa"/>
              <w:bottom w:w="70" w:type="dxa"/>
              <w:end w:w="70" w:type="dxa"/>
            </w:tcMar>
            <w:vAlign w:val="center"/>
          </w:tcPr>
          <w:p>
            <w:r>
              <w:rPr>
                <w:sz w:val="15"/>
              </w:rPr>
              <w:t>③ 是否要求 ID classification</w:t>
            </w:r>
          </w:p>
        </w:tc>
        <w:tc>
          <w:tcPr>
            <w:tcW w:type="dxa" w:w="2268"/>
            <w:tcMar>
              <w:top w:w="70" w:type="dxa"/>
              <w:start w:w="70" w:type="dxa"/>
              <w:bottom w:w="70" w:type="dxa"/>
              <w:end w:w="70" w:type="dxa"/>
            </w:tcMar>
            <w:vAlign w:val="center"/>
          </w:tcPr>
          <w:p>
            <w:r>
              <w:rPr>
                <w:sz w:val="15"/>
              </w:rPr>
              <w:t>Required / Not required</w:t>
            </w:r>
          </w:p>
        </w:tc>
        <w:tc>
          <w:tcPr>
            <w:tcW w:type="dxa" w:w="3969"/>
            <w:tcMar>
              <w:top w:w="70" w:type="dxa"/>
              <w:start w:w="70" w:type="dxa"/>
              <w:bottom w:w="70" w:type="dxa"/>
              <w:end w:w="70" w:type="dxa"/>
            </w:tcMar>
            <w:vAlign w:val="center"/>
          </w:tcPr>
          <w:p>
            <w:r>
              <w:rPr>
                <w:sz w:val="15"/>
              </w:rPr>
              <w:t>检测 OOD 的同时是否还必须正确分类 ID</w:t>
            </w:r>
          </w:p>
        </w:tc>
        <w:tc>
          <w:tcPr>
            <w:tcW w:type="dxa" w:w="2835"/>
            <w:tcMar>
              <w:top w:w="70" w:type="dxa"/>
              <w:start w:w="70" w:type="dxa"/>
              <w:bottom w:w="70" w:type="dxa"/>
              <w:end w:w="70" w:type="dxa"/>
            </w:tcMar>
            <w:vAlign w:val="center"/>
          </w:tcPr>
          <w:p>
            <w:r>
              <w:rPr>
                <w:sz w:val="15"/>
              </w:rPr>
              <w:t>不需要</w:t>
            </w:r>
          </w:p>
        </w:tc>
      </w:tr>
      <w:tr>
        <w:tc>
          <w:tcPr>
            <w:tcW w:type="dxa" w:w="2268"/>
            <w:tcMar>
              <w:top w:w="70" w:type="dxa"/>
              <w:start w:w="70" w:type="dxa"/>
              <w:bottom w:w="70" w:type="dxa"/>
              <w:end w:w="70" w:type="dxa"/>
            </w:tcMar>
            <w:vAlign w:val="center"/>
          </w:tcPr>
          <w:p>
            <w:r>
              <w:rPr>
                <w:sz w:val="15"/>
              </w:rPr>
              <w:t>④ 学习方式</w:t>
            </w:r>
          </w:p>
        </w:tc>
        <w:tc>
          <w:tcPr>
            <w:tcW w:type="dxa" w:w="2268"/>
            <w:tcMar>
              <w:top w:w="70" w:type="dxa"/>
              <w:start w:w="70" w:type="dxa"/>
              <w:bottom w:w="70" w:type="dxa"/>
              <w:end w:w="70" w:type="dxa"/>
            </w:tcMar>
            <w:vAlign w:val="center"/>
          </w:tcPr>
          <w:p>
            <w:r>
              <w:rPr>
                <w:sz w:val="15"/>
              </w:rPr>
              <w:t>Inductive / Transductive</w:t>
            </w:r>
          </w:p>
        </w:tc>
        <w:tc>
          <w:tcPr>
            <w:tcW w:type="dxa" w:w="3969"/>
            <w:tcMar>
              <w:top w:w="70" w:type="dxa"/>
              <w:start w:w="70" w:type="dxa"/>
              <w:bottom w:w="70" w:type="dxa"/>
              <w:end w:w="70" w:type="dxa"/>
            </w:tcMar>
            <w:vAlign w:val="center"/>
          </w:tcPr>
          <w:p>
            <w:r>
              <w:rPr>
                <w:sz w:val="15"/>
              </w:rPr>
              <w:t>先训练后测新样本 vs 所有观测一次给出</w:t>
            </w:r>
          </w:p>
        </w:tc>
        <w:tc>
          <w:tcPr>
            <w:tcW w:type="dxa" w:w="2835"/>
            <w:tcMar>
              <w:top w:w="70" w:type="dxa"/>
              <w:start w:w="70" w:type="dxa"/>
              <w:bottom w:w="70" w:type="dxa"/>
              <w:end w:w="70" w:type="dxa"/>
            </w:tcMar>
            <w:vAlign w:val="center"/>
          </w:tcPr>
          <w:p>
            <w:r>
              <w:rPr>
                <w:sz w:val="15"/>
              </w:rPr>
              <w:t>Inductive</w:t>
            </w:r>
          </w:p>
        </w:tc>
      </w:tr>
    </w:tbl>
    <w:p/>
    <w:p>
      <w:r>
        <w:t>换句话说，你的任务更接近：Inductive + 不需要 ID 分类 + 检测 Covariate/Input Shift。这个定位非常有用，因为它能排除大量只为“未知类别识别”设计的 OOD 方法。</w:t>
      </w:r>
    </w:p>
    <w:p>
      <w:pPr>
        <w:pStyle w:val="Heading1"/>
      </w:pPr>
      <w:r>
        <w:t>7. “学习外”还能按异常形态怎么分？</w:t>
      </w:r>
    </w:p>
    <w:p>
      <w:r>
        <w:t>本文引用了另一个常见异常分类：Point anomaly、Contextual/Conditional anomaly、Collective/Group anomaly。作者明确说本文主要聚焦 point anomaly，而 contextual anomaly 经常出现在时间序列任务中，collective anomaly 常见于数据挖掘。</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268"/>
            <w:shd w:fill="D9EAF7"/>
            <w:vAlign w:val="center"/>
          </w:tcPr>
          <w:p>
            <w:pPr>
              <w:jc w:val="center"/>
            </w:pPr>
            <w:r>
              <w:rPr>
                <w:b/>
                <w:sz w:val="15"/>
              </w:rPr>
              <w:t>异常形态</w:t>
            </w:r>
          </w:p>
        </w:tc>
        <w:tc>
          <w:tcPr>
            <w:tcW w:type="dxa" w:w="3402"/>
            <w:shd w:fill="D9EAF7"/>
            <w:vAlign w:val="center"/>
          </w:tcPr>
          <w:p>
            <w:pPr>
              <w:jc w:val="center"/>
            </w:pPr>
            <w:r>
              <w:rPr>
                <w:b/>
                <w:sz w:val="15"/>
              </w:rPr>
              <w:t>直观解释</w:t>
            </w:r>
          </w:p>
        </w:tc>
        <w:tc>
          <w:tcPr>
            <w:tcW w:type="dxa" w:w="4252"/>
            <w:shd w:fill="D9EAF7"/>
            <w:vAlign w:val="center"/>
          </w:tcPr>
          <w:p>
            <w:pPr>
              <w:jc w:val="center"/>
            </w:pPr>
            <w:r>
              <w:rPr>
                <w:b/>
                <w:sz w:val="15"/>
              </w:rPr>
              <w:t>水系统示例</w:t>
            </w:r>
          </w:p>
        </w:tc>
        <w:tc>
          <w:tcPr>
            <w:tcW w:type="dxa" w:w="1417"/>
            <w:shd w:fill="D9EAF7"/>
            <w:vAlign w:val="center"/>
          </w:tcPr>
          <w:p>
            <w:pPr>
              <w:jc w:val="center"/>
            </w:pPr>
            <w:r>
              <w:rPr>
                <w:b/>
                <w:sz w:val="15"/>
              </w:rPr>
              <w:t>重要性</w:t>
            </w:r>
          </w:p>
        </w:tc>
      </w:tr>
      <w:tr>
        <w:tc>
          <w:tcPr>
            <w:tcW w:type="dxa" w:w="2268"/>
            <w:tcMar>
              <w:top w:w="70" w:type="dxa"/>
              <w:start w:w="70" w:type="dxa"/>
              <w:bottom w:w="70" w:type="dxa"/>
              <w:end w:w="70" w:type="dxa"/>
            </w:tcMar>
            <w:vAlign w:val="center"/>
          </w:tcPr>
          <w:p>
            <w:r>
              <w:rPr>
                <w:sz w:val="15"/>
              </w:rPr>
              <w:t>Point anomaly</w:t>
            </w:r>
          </w:p>
        </w:tc>
        <w:tc>
          <w:tcPr>
            <w:tcW w:type="dxa" w:w="3402"/>
            <w:tcMar>
              <w:top w:w="70" w:type="dxa"/>
              <w:start w:w="70" w:type="dxa"/>
              <w:bottom w:w="70" w:type="dxa"/>
              <w:end w:w="70" w:type="dxa"/>
            </w:tcMar>
            <w:vAlign w:val="center"/>
          </w:tcPr>
          <w:p>
            <w:r>
              <w:rPr>
                <w:sz w:val="15"/>
              </w:rPr>
              <w:t>单个时刻本身异常</w:t>
            </w:r>
          </w:p>
        </w:tc>
        <w:tc>
          <w:tcPr>
            <w:tcW w:type="dxa" w:w="4252"/>
            <w:tcMar>
              <w:top w:w="70" w:type="dxa"/>
              <w:start w:w="70" w:type="dxa"/>
              <w:bottom w:w="70" w:type="dxa"/>
              <w:end w:w="70" w:type="dxa"/>
            </w:tcMar>
            <w:vAlign w:val="center"/>
          </w:tcPr>
          <w:p>
            <w:r>
              <w:rPr>
                <w:sz w:val="15"/>
              </w:rPr>
              <w:t>某时刻压力值极端异常</w:t>
            </w:r>
          </w:p>
        </w:tc>
        <w:tc>
          <w:tcPr>
            <w:tcW w:type="dxa" w:w="1417"/>
            <w:tcMar>
              <w:top w:w="70" w:type="dxa"/>
              <w:start w:w="70" w:type="dxa"/>
              <w:bottom w:w="70" w:type="dxa"/>
              <w:end w:w="70" w:type="dxa"/>
            </w:tcMar>
            <w:vAlign w:val="center"/>
          </w:tcPr>
          <w:p>
            <w:r>
              <w:rPr>
                <w:sz w:val="15"/>
              </w:rPr>
              <w:t>中</w:t>
            </w:r>
          </w:p>
        </w:tc>
      </w:tr>
      <w:tr>
        <w:tc>
          <w:tcPr>
            <w:tcW w:type="dxa" w:w="2268"/>
            <w:tcMar>
              <w:top w:w="70" w:type="dxa"/>
              <w:start w:w="70" w:type="dxa"/>
              <w:bottom w:w="70" w:type="dxa"/>
              <w:end w:w="70" w:type="dxa"/>
            </w:tcMar>
            <w:vAlign w:val="center"/>
          </w:tcPr>
          <w:p>
            <w:r>
              <w:rPr>
                <w:sz w:val="15"/>
              </w:rPr>
              <w:t>Contextual anomaly</w:t>
            </w:r>
          </w:p>
        </w:tc>
        <w:tc>
          <w:tcPr>
            <w:tcW w:type="dxa" w:w="3402"/>
            <w:tcMar>
              <w:top w:w="70" w:type="dxa"/>
              <w:start w:w="70" w:type="dxa"/>
              <w:bottom w:w="70" w:type="dxa"/>
              <w:end w:w="70" w:type="dxa"/>
            </w:tcMar>
            <w:vAlign w:val="center"/>
          </w:tcPr>
          <w:p>
            <w:r>
              <w:rPr>
                <w:sz w:val="15"/>
              </w:rPr>
              <w:t>单点单独看正常，但放在上下文/其他变量关系中异常</w:t>
            </w:r>
          </w:p>
        </w:tc>
        <w:tc>
          <w:tcPr>
            <w:tcW w:type="dxa" w:w="4252"/>
            <w:tcMar>
              <w:top w:w="70" w:type="dxa"/>
              <w:start w:w="70" w:type="dxa"/>
              <w:bottom w:w="70" w:type="dxa"/>
              <w:end w:w="70" w:type="dxa"/>
            </w:tcMar>
            <w:vAlign w:val="center"/>
          </w:tcPr>
          <w:p>
            <w:r>
              <w:rPr>
                <w:sz w:val="15"/>
              </w:rPr>
              <w:t>压力和流量各自都在正常范围，但二者组合关系历史上从未出现；或该时刻值在当前运行阶段不合理</w:t>
            </w:r>
          </w:p>
        </w:tc>
        <w:tc>
          <w:tcPr>
            <w:tcW w:type="dxa" w:w="1417"/>
            <w:tcMar>
              <w:top w:w="70" w:type="dxa"/>
              <w:start w:w="70" w:type="dxa"/>
              <w:bottom w:w="70" w:type="dxa"/>
              <w:end w:w="70" w:type="dxa"/>
            </w:tcMar>
            <w:vAlign w:val="center"/>
          </w:tcPr>
          <w:p>
            <w:r>
              <w:rPr>
                <w:sz w:val="15"/>
              </w:rPr>
              <w:t>最高</w:t>
            </w:r>
          </w:p>
        </w:tc>
      </w:tr>
      <w:tr>
        <w:tc>
          <w:tcPr>
            <w:tcW w:type="dxa" w:w="2268"/>
            <w:tcMar>
              <w:top w:w="70" w:type="dxa"/>
              <w:start w:w="70" w:type="dxa"/>
              <w:bottom w:w="70" w:type="dxa"/>
              <w:end w:w="70" w:type="dxa"/>
            </w:tcMar>
            <w:vAlign w:val="center"/>
          </w:tcPr>
          <w:p>
            <w:r>
              <w:rPr>
                <w:sz w:val="15"/>
              </w:rPr>
              <w:t>Collective anomaly</w:t>
            </w:r>
          </w:p>
        </w:tc>
        <w:tc>
          <w:tcPr>
            <w:tcW w:type="dxa" w:w="3402"/>
            <w:tcMar>
              <w:top w:w="70" w:type="dxa"/>
              <w:start w:w="70" w:type="dxa"/>
              <w:bottom w:w="70" w:type="dxa"/>
              <w:end w:w="70" w:type="dxa"/>
            </w:tcMar>
            <w:vAlign w:val="center"/>
          </w:tcPr>
          <w:p>
            <w:r>
              <w:rPr>
                <w:sz w:val="15"/>
              </w:rPr>
              <w:t>单个点可能正常，但一段序列作为整体异常</w:t>
            </w:r>
          </w:p>
        </w:tc>
        <w:tc>
          <w:tcPr>
            <w:tcW w:type="dxa" w:w="4252"/>
            <w:tcMar>
              <w:top w:w="70" w:type="dxa"/>
              <w:start w:w="70" w:type="dxa"/>
              <w:bottom w:w="70" w:type="dxa"/>
              <w:end w:w="70" w:type="dxa"/>
            </w:tcMar>
            <w:vAlign w:val="center"/>
          </w:tcPr>
          <w:p>
            <w:r>
              <w:rPr>
                <w:sz w:val="15"/>
              </w:rPr>
              <w:t>连续30分钟的浊度波动形状、周期或趋势异常</w:t>
            </w:r>
          </w:p>
        </w:tc>
        <w:tc>
          <w:tcPr>
            <w:tcW w:type="dxa" w:w="1417"/>
            <w:tcMar>
              <w:top w:w="70" w:type="dxa"/>
              <w:start w:w="70" w:type="dxa"/>
              <w:bottom w:w="70" w:type="dxa"/>
              <w:end w:w="70" w:type="dxa"/>
            </w:tcMar>
            <w:vAlign w:val="center"/>
          </w:tcPr>
          <w:p>
            <w:r>
              <w:rPr>
                <w:sz w:val="15"/>
              </w:rPr>
              <w:t>高</w:t>
            </w:r>
          </w:p>
        </w:tc>
      </w:tr>
    </w:tbl>
    <w:p/>
    <w:p>
      <w:r>
        <w:t>这与 S1 的结论可以直接衔接：你此前最关心的“各变量都没有越过 min/max，但组合关系是未知的”，本质上更接近 contextual anomaly / joint-distribution OOD，而不是简单 point anomaly。</w:t>
      </w:r>
    </w:p>
    <w:p>
      <w:pPr>
        <w:pStyle w:val="Heading1"/>
      </w:pPr>
      <w:r>
        <w:t>8. 对你的课题，“学习外”建议最终整理成哪几类</w:t>
      </w:r>
    </w:p>
    <w:p>
      <w:r>
        <w:t>下面这张表不是论文原封不动给出的 taxonomy，而是基于本文的 Covariate/Semantic 框架，再结合你的多变量时间序列回归任务做的应用化整理。汇报时应标注为“本调研中的整理/解释”。</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268"/>
            <w:shd w:fill="D9EAF7"/>
            <w:vAlign w:val="center"/>
          </w:tcPr>
          <w:p>
            <w:pPr>
              <w:jc w:val="center"/>
            </w:pPr>
            <w:r>
              <w:rPr>
                <w:b/>
                <w:sz w:val="14"/>
              </w:rPr>
              <w:t>本课题建议分类</w:t>
            </w:r>
          </w:p>
        </w:tc>
        <w:tc>
          <w:tcPr>
            <w:tcW w:type="dxa" w:w="2835"/>
            <w:shd w:fill="D9EAF7"/>
            <w:vAlign w:val="center"/>
          </w:tcPr>
          <w:p>
            <w:pPr>
              <w:jc w:val="center"/>
            </w:pPr>
            <w:r>
              <w:rPr>
                <w:b/>
                <w:sz w:val="14"/>
              </w:rPr>
              <w:t>核心判断对象</w:t>
            </w:r>
          </w:p>
        </w:tc>
        <w:tc>
          <w:tcPr>
            <w:tcW w:type="dxa" w:w="3969"/>
            <w:shd w:fill="D9EAF7"/>
            <w:vAlign w:val="center"/>
          </w:tcPr>
          <w:p>
            <w:pPr>
              <w:jc w:val="center"/>
            </w:pPr>
            <w:r>
              <w:rPr>
                <w:b/>
                <w:sz w:val="14"/>
              </w:rPr>
              <w:t>例子</w:t>
            </w:r>
          </w:p>
        </w:tc>
        <w:tc>
          <w:tcPr>
            <w:tcW w:type="dxa" w:w="3402"/>
            <w:shd w:fill="D9EAF7"/>
            <w:vAlign w:val="center"/>
          </w:tcPr>
          <w:p>
            <w:pPr>
              <w:jc w:val="center"/>
            </w:pPr>
            <w:r>
              <w:rPr>
                <w:b/>
                <w:sz w:val="14"/>
              </w:rPr>
              <w:t>与本文概念的关系</w:t>
            </w:r>
          </w:p>
        </w:tc>
      </w:tr>
      <w:tr>
        <w:tc>
          <w:tcPr>
            <w:tcW w:type="dxa" w:w="2268"/>
            <w:tcMar>
              <w:top w:w="70" w:type="dxa"/>
              <w:start w:w="70" w:type="dxa"/>
              <w:bottom w:w="70" w:type="dxa"/>
              <w:end w:w="70" w:type="dxa"/>
            </w:tcMar>
            <w:vAlign w:val="center"/>
          </w:tcPr>
          <w:p>
            <w:r>
              <w:rPr>
                <w:sz w:val="14"/>
              </w:rPr>
              <w:t>A. 单变量范围外</w:t>
            </w:r>
          </w:p>
        </w:tc>
        <w:tc>
          <w:tcPr>
            <w:tcW w:type="dxa" w:w="2835"/>
            <w:tcMar>
              <w:top w:w="70" w:type="dxa"/>
              <w:start w:w="70" w:type="dxa"/>
              <w:bottom w:w="70" w:type="dxa"/>
              <w:end w:w="70" w:type="dxa"/>
            </w:tcMar>
            <w:vAlign w:val="center"/>
          </w:tcPr>
          <w:p>
            <w:r>
              <w:rPr>
                <w:sz w:val="14"/>
              </w:rPr>
              <w:t>某个 x_i 超出训练范围</w:t>
            </w:r>
          </w:p>
        </w:tc>
        <w:tc>
          <w:tcPr>
            <w:tcW w:type="dxa" w:w="3969"/>
            <w:tcMar>
              <w:top w:w="70" w:type="dxa"/>
              <w:start w:w="70" w:type="dxa"/>
              <w:bottom w:w="70" w:type="dxa"/>
              <w:end w:w="70" w:type="dxa"/>
            </w:tcMar>
            <w:vAlign w:val="center"/>
          </w:tcPr>
          <w:p>
            <w:r>
              <w:rPr>
                <w:sz w:val="14"/>
              </w:rPr>
              <w:t>浊度高于历史最大值</w:t>
            </w:r>
          </w:p>
        </w:tc>
        <w:tc>
          <w:tcPr>
            <w:tcW w:type="dxa" w:w="3402"/>
            <w:tcMar>
              <w:top w:w="70" w:type="dxa"/>
              <w:start w:w="70" w:type="dxa"/>
              <w:bottom w:w="70" w:type="dxa"/>
              <w:end w:w="70" w:type="dxa"/>
            </w:tcMar>
            <w:vAlign w:val="center"/>
          </w:tcPr>
          <w:p>
            <w:r>
              <w:rPr>
                <w:sz w:val="14"/>
              </w:rPr>
              <w:t>Covariate/Sensory OOD 的简单情况</w:t>
            </w:r>
          </w:p>
        </w:tc>
      </w:tr>
      <w:tr>
        <w:tc>
          <w:tcPr>
            <w:tcW w:type="dxa" w:w="2268"/>
            <w:tcMar>
              <w:top w:w="70" w:type="dxa"/>
              <w:start w:w="70" w:type="dxa"/>
              <w:bottom w:w="70" w:type="dxa"/>
              <w:end w:w="70" w:type="dxa"/>
            </w:tcMar>
            <w:vAlign w:val="center"/>
          </w:tcPr>
          <w:p>
            <w:r>
              <w:rPr>
                <w:sz w:val="14"/>
              </w:rPr>
              <w:t>B. 低密度/支持域外</w:t>
            </w:r>
          </w:p>
        </w:tc>
        <w:tc>
          <w:tcPr>
            <w:tcW w:type="dxa" w:w="2835"/>
            <w:tcMar>
              <w:top w:w="70" w:type="dxa"/>
              <w:start w:w="70" w:type="dxa"/>
              <w:bottom w:w="70" w:type="dxa"/>
              <w:end w:w="70" w:type="dxa"/>
            </w:tcMar>
            <w:vAlign w:val="center"/>
          </w:tcPr>
          <w:p>
            <w:r>
              <w:rPr>
                <w:sz w:val="14"/>
              </w:rPr>
              <w:t>整体 X 位于训练联合分布低密度区域</w:t>
            </w:r>
          </w:p>
        </w:tc>
        <w:tc>
          <w:tcPr>
            <w:tcW w:type="dxa" w:w="3969"/>
            <w:tcMar>
              <w:top w:w="70" w:type="dxa"/>
              <w:start w:w="70" w:type="dxa"/>
              <w:bottom w:w="70" w:type="dxa"/>
              <w:end w:w="70" w:type="dxa"/>
            </w:tcMar>
            <w:vAlign w:val="center"/>
          </w:tcPr>
          <w:p>
            <w:r>
              <w:rPr>
                <w:sz w:val="14"/>
              </w:rPr>
              <w:t>所有变量都不极端，但该组合历史上极少出现</w:t>
            </w:r>
          </w:p>
        </w:tc>
        <w:tc>
          <w:tcPr>
            <w:tcW w:type="dxa" w:w="3402"/>
            <w:tcMar>
              <w:top w:w="70" w:type="dxa"/>
              <w:start w:w="70" w:type="dxa"/>
              <w:bottom w:w="70" w:type="dxa"/>
              <w:end w:w="70" w:type="dxa"/>
            </w:tcMar>
            <w:vAlign w:val="center"/>
          </w:tcPr>
          <w:p>
            <w:r>
              <w:rPr>
                <w:sz w:val="14"/>
              </w:rPr>
              <w:t>Covariate/Sensory OOD</w:t>
            </w:r>
          </w:p>
        </w:tc>
      </w:tr>
      <w:tr>
        <w:tc>
          <w:tcPr>
            <w:tcW w:type="dxa" w:w="2268"/>
            <w:tcMar>
              <w:top w:w="70" w:type="dxa"/>
              <w:start w:w="70" w:type="dxa"/>
              <w:bottom w:w="70" w:type="dxa"/>
              <w:end w:w="70" w:type="dxa"/>
            </w:tcMar>
            <w:vAlign w:val="center"/>
          </w:tcPr>
          <w:p>
            <w:r>
              <w:rPr>
                <w:sz w:val="14"/>
              </w:rPr>
              <w:t>C. 未知变量间关系</w:t>
            </w:r>
          </w:p>
        </w:tc>
        <w:tc>
          <w:tcPr>
            <w:tcW w:type="dxa" w:w="2835"/>
            <w:tcMar>
              <w:top w:w="70" w:type="dxa"/>
              <w:start w:w="70" w:type="dxa"/>
              <w:bottom w:w="70" w:type="dxa"/>
              <w:end w:w="70" w:type="dxa"/>
            </w:tcMar>
            <w:vAlign w:val="center"/>
          </w:tcPr>
          <w:p>
            <w:r>
              <w:rPr>
                <w:sz w:val="14"/>
              </w:rPr>
              <w:t>变量相关结构偏离训练状态</w:t>
            </w:r>
          </w:p>
        </w:tc>
        <w:tc>
          <w:tcPr>
            <w:tcW w:type="dxa" w:w="3969"/>
            <w:tcMar>
              <w:top w:w="70" w:type="dxa"/>
              <w:start w:w="70" w:type="dxa"/>
              <w:bottom w:w="70" w:type="dxa"/>
              <w:end w:w="70" w:type="dxa"/>
            </w:tcMar>
            <w:vAlign w:val="center"/>
          </w:tcPr>
          <w:p>
            <w:r>
              <w:rPr>
                <w:sz w:val="14"/>
              </w:rPr>
              <w:t>流量正常、压力正常，但二者搭配关系异常</w:t>
            </w:r>
          </w:p>
        </w:tc>
        <w:tc>
          <w:tcPr>
            <w:tcW w:type="dxa" w:w="3402"/>
            <w:tcMar>
              <w:top w:w="70" w:type="dxa"/>
              <w:start w:w="70" w:type="dxa"/>
              <w:bottom w:w="70" w:type="dxa"/>
              <w:end w:w="70" w:type="dxa"/>
            </w:tcMar>
            <w:vAlign w:val="center"/>
          </w:tcPr>
          <w:p>
            <w:r>
              <w:rPr>
                <w:sz w:val="14"/>
              </w:rPr>
              <w:t>Contextual anomaly + Covariate OOD</w:t>
            </w:r>
          </w:p>
        </w:tc>
      </w:tr>
      <w:tr>
        <w:tc>
          <w:tcPr>
            <w:tcW w:type="dxa" w:w="2268"/>
            <w:tcMar>
              <w:top w:w="70" w:type="dxa"/>
              <w:start w:w="70" w:type="dxa"/>
              <w:bottom w:w="70" w:type="dxa"/>
              <w:end w:w="70" w:type="dxa"/>
            </w:tcMar>
            <w:vAlign w:val="center"/>
          </w:tcPr>
          <w:p>
            <w:r>
              <w:rPr>
                <w:sz w:val="14"/>
              </w:rPr>
              <w:t>D. 未知时间关系</w:t>
            </w:r>
          </w:p>
        </w:tc>
        <w:tc>
          <w:tcPr>
            <w:tcW w:type="dxa" w:w="2835"/>
            <w:tcMar>
              <w:top w:w="70" w:type="dxa"/>
              <w:start w:w="70" w:type="dxa"/>
              <w:bottom w:w="70" w:type="dxa"/>
              <w:end w:w="70" w:type="dxa"/>
            </w:tcMar>
            <w:vAlign w:val="center"/>
          </w:tcPr>
          <w:p>
            <w:r>
              <w:rPr>
                <w:sz w:val="14"/>
              </w:rPr>
              <w:t>时间窗口的动态依赖/形状异常</w:t>
            </w:r>
          </w:p>
        </w:tc>
        <w:tc>
          <w:tcPr>
            <w:tcW w:type="dxa" w:w="3969"/>
            <w:tcMar>
              <w:top w:w="70" w:type="dxa"/>
              <w:start w:w="70" w:type="dxa"/>
              <w:bottom w:w="70" w:type="dxa"/>
              <w:end w:w="70" w:type="dxa"/>
            </w:tcMar>
            <w:vAlign w:val="center"/>
          </w:tcPr>
          <w:p>
            <w:r>
              <w:rPr>
                <w:sz w:val="14"/>
              </w:rPr>
              <w:t>t−1:t 的变化率、延迟关系、周期不同</w:t>
            </w:r>
          </w:p>
        </w:tc>
        <w:tc>
          <w:tcPr>
            <w:tcW w:type="dxa" w:w="3402"/>
            <w:tcMar>
              <w:top w:w="70" w:type="dxa"/>
              <w:start w:w="70" w:type="dxa"/>
              <w:bottom w:w="70" w:type="dxa"/>
              <w:end w:w="70" w:type="dxa"/>
            </w:tcMar>
            <w:vAlign w:val="center"/>
          </w:tcPr>
          <w:p>
            <w:r>
              <w:rPr>
                <w:sz w:val="14"/>
              </w:rPr>
              <w:t>Contextual/Collective anomaly + Covariate OOD</w:t>
            </w:r>
          </w:p>
        </w:tc>
      </w:tr>
      <w:tr>
        <w:tc>
          <w:tcPr>
            <w:tcW w:type="dxa" w:w="2268"/>
            <w:tcMar>
              <w:top w:w="70" w:type="dxa"/>
              <w:start w:w="70" w:type="dxa"/>
              <w:bottom w:w="70" w:type="dxa"/>
              <w:end w:w="70" w:type="dxa"/>
            </w:tcMar>
            <w:vAlign w:val="center"/>
          </w:tcPr>
          <w:p>
            <w:r>
              <w:rPr>
                <w:sz w:val="14"/>
              </w:rPr>
              <w:t>E. 运行域/工况变化</w:t>
            </w:r>
          </w:p>
        </w:tc>
        <w:tc>
          <w:tcPr>
            <w:tcW w:type="dxa" w:w="2835"/>
            <w:tcMar>
              <w:top w:w="70" w:type="dxa"/>
              <w:start w:w="70" w:type="dxa"/>
              <w:bottom w:w="70" w:type="dxa"/>
              <w:end w:w="70" w:type="dxa"/>
            </w:tcMar>
            <w:vAlign w:val="center"/>
          </w:tcPr>
          <w:p>
            <w:r>
              <w:rPr>
                <w:sz w:val="14"/>
              </w:rPr>
              <w:t>整个输入分布进入新 operating regime</w:t>
            </w:r>
          </w:p>
        </w:tc>
        <w:tc>
          <w:tcPr>
            <w:tcW w:type="dxa" w:w="3969"/>
            <w:tcMar>
              <w:top w:w="70" w:type="dxa"/>
              <w:start w:w="70" w:type="dxa"/>
              <w:bottom w:w="70" w:type="dxa"/>
              <w:end w:w="70" w:type="dxa"/>
            </w:tcMar>
            <w:vAlign w:val="center"/>
          </w:tcPr>
          <w:p>
            <w:r>
              <w:rPr>
                <w:sz w:val="14"/>
              </w:rPr>
              <w:t>季节、设备状态、控制策略改变后整体数据云移动</w:t>
            </w:r>
          </w:p>
        </w:tc>
        <w:tc>
          <w:tcPr>
            <w:tcW w:type="dxa" w:w="3402"/>
            <w:tcMar>
              <w:top w:w="70" w:type="dxa"/>
              <w:start w:w="70" w:type="dxa"/>
              <w:bottom w:w="70" w:type="dxa"/>
              <w:end w:w="70" w:type="dxa"/>
            </w:tcMar>
            <w:vAlign w:val="center"/>
          </w:tcPr>
          <w:p>
            <w:r>
              <w:rPr>
                <w:sz w:val="14"/>
              </w:rPr>
              <w:t>Domain/Covariate Shift</w:t>
            </w:r>
          </w:p>
        </w:tc>
      </w:tr>
      <w:tr>
        <w:tc>
          <w:tcPr>
            <w:tcW w:type="dxa" w:w="2268"/>
            <w:tcMar>
              <w:top w:w="70" w:type="dxa"/>
              <w:start w:w="70" w:type="dxa"/>
              <w:bottom w:w="70" w:type="dxa"/>
              <w:end w:w="70" w:type="dxa"/>
            </w:tcMar>
            <w:vAlign w:val="center"/>
          </w:tcPr>
          <w:p>
            <w:r>
              <w:rPr>
                <w:sz w:val="14"/>
              </w:rPr>
              <w:t>F. 输出关系改变</w:t>
            </w:r>
          </w:p>
        </w:tc>
        <w:tc>
          <w:tcPr>
            <w:tcW w:type="dxa" w:w="2835"/>
            <w:tcMar>
              <w:top w:w="70" w:type="dxa"/>
              <w:start w:w="70" w:type="dxa"/>
              <w:bottom w:w="70" w:type="dxa"/>
              <w:end w:w="70" w:type="dxa"/>
            </w:tcMar>
            <w:vAlign w:val="center"/>
          </w:tcPr>
          <w:p>
            <w:r>
              <w:rPr>
                <w:sz w:val="14"/>
              </w:rPr>
              <w:t>相同 X 对应的 Y 规律发生改变</w:t>
            </w:r>
          </w:p>
        </w:tc>
        <w:tc>
          <w:tcPr>
            <w:tcW w:type="dxa" w:w="3969"/>
            <w:tcMar>
              <w:top w:w="70" w:type="dxa"/>
              <w:start w:w="70" w:type="dxa"/>
              <w:bottom w:w="70" w:type="dxa"/>
              <w:end w:w="70" w:type="dxa"/>
            </w:tcMar>
            <w:vAlign w:val="center"/>
          </w:tcPr>
          <w:p>
            <w:r>
              <w:rPr>
                <w:sz w:val="14"/>
              </w:rPr>
              <w:t>相同投药率与原水浊度，却因设备老化导致处理后浊度关系变化</w:t>
            </w:r>
          </w:p>
        </w:tc>
        <w:tc>
          <w:tcPr>
            <w:tcW w:type="dxa" w:w="3402"/>
            <w:tcMar>
              <w:top w:w="70" w:type="dxa"/>
              <w:start w:w="70" w:type="dxa"/>
              <w:bottom w:w="70" w:type="dxa"/>
              <w:end w:w="70" w:type="dxa"/>
            </w:tcMar>
            <w:vAlign w:val="center"/>
          </w:tcPr>
          <w:p>
            <w:r>
              <w:rPr>
                <w:sz w:val="14"/>
              </w:rPr>
              <w:t>本文不是核心；更接近 concept drift/P(Y|X) shift，需要结合 S5 理解</w:t>
            </w:r>
          </w:p>
        </w:tc>
      </w:tr>
    </w:tbl>
    <w:p/>
    <w:p>
      <w:pPr>
        <w:pStyle w:val="Heading1"/>
      </w:pPr>
      <w:r>
        <w:t>9. 方法层面的四大分类</w:t>
      </w:r>
    </w:p>
    <w:p>
      <w:r>
        <w:t>在方法论上，本文把 generalized OOD detection 的方法归纳为四类。这是“任务分类”之外的另一套 taxonomy，两者不要混在一起。</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268"/>
            <w:shd w:fill="D9EAF7"/>
            <w:vAlign w:val="center"/>
          </w:tcPr>
          <w:p>
            <w:pPr>
              <w:jc w:val="center"/>
            </w:pPr>
            <w:r>
              <w:rPr>
                <w:b/>
                <w:sz w:val="15"/>
              </w:rPr>
              <w:t>方法类别</w:t>
            </w:r>
          </w:p>
        </w:tc>
        <w:tc>
          <w:tcPr>
            <w:tcW w:type="dxa" w:w="3402"/>
            <w:shd w:fill="D9EAF7"/>
            <w:vAlign w:val="center"/>
          </w:tcPr>
          <w:p>
            <w:pPr>
              <w:jc w:val="center"/>
            </w:pPr>
            <w:r>
              <w:rPr>
                <w:b/>
                <w:sz w:val="15"/>
              </w:rPr>
              <w:t>核心想法</w:t>
            </w:r>
          </w:p>
        </w:tc>
        <w:tc>
          <w:tcPr>
            <w:tcW w:type="dxa" w:w="3402"/>
            <w:shd w:fill="D9EAF7"/>
            <w:vAlign w:val="center"/>
          </w:tcPr>
          <w:p>
            <w:pPr>
              <w:jc w:val="center"/>
            </w:pPr>
            <w:r>
              <w:rPr>
                <w:b/>
                <w:sz w:val="15"/>
              </w:rPr>
              <w:t>典型判据</w:t>
            </w:r>
          </w:p>
        </w:tc>
        <w:tc>
          <w:tcPr>
            <w:tcW w:type="dxa" w:w="3402"/>
            <w:shd w:fill="D9EAF7"/>
            <w:vAlign w:val="center"/>
          </w:tcPr>
          <w:p>
            <w:pPr>
              <w:jc w:val="center"/>
            </w:pPr>
            <w:r>
              <w:rPr>
                <w:b/>
                <w:sz w:val="15"/>
              </w:rPr>
              <w:t>对你的适配</w:t>
            </w:r>
          </w:p>
        </w:tc>
      </w:tr>
      <w:tr>
        <w:tc>
          <w:tcPr>
            <w:tcW w:type="dxa" w:w="2268"/>
            <w:tcMar>
              <w:top w:w="70" w:type="dxa"/>
              <w:start w:w="70" w:type="dxa"/>
              <w:bottom w:w="70" w:type="dxa"/>
              <w:end w:w="70" w:type="dxa"/>
            </w:tcMar>
            <w:vAlign w:val="center"/>
          </w:tcPr>
          <w:p>
            <w:r>
              <w:rPr>
                <w:sz w:val="15"/>
              </w:rPr>
              <w:t>Classification-based</w:t>
            </w:r>
          </w:p>
        </w:tc>
        <w:tc>
          <w:tcPr>
            <w:tcW w:type="dxa" w:w="3402"/>
            <w:tcMar>
              <w:top w:w="70" w:type="dxa"/>
              <w:start w:w="70" w:type="dxa"/>
              <w:bottom w:w="70" w:type="dxa"/>
              <w:end w:w="70" w:type="dxa"/>
            </w:tcMar>
            <w:vAlign w:val="center"/>
          </w:tcPr>
          <w:p>
            <w:r>
              <w:rPr>
                <w:sz w:val="15"/>
              </w:rPr>
              <w:t>依赖分类器输出、logit、energy、gradient、uncertainty 等</w:t>
            </w:r>
          </w:p>
        </w:tc>
        <w:tc>
          <w:tcPr>
            <w:tcW w:type="dxa" w:w="3402"/>
            <w:tcMar>
              <w:top w:w="70" w:type="dxa"/>
              <w:start w:w="70" w:type="dxa"/>
              <w:bottom w:w="70" w:type="dxa"/>
              <w:end w:w="70" w:type="dxa"/>
            </w:tcMar>
            <w:vAlign w:val="center"/>
          </w:tcPr>
          <w:p>
            <w:r>
              <w:rPr>
                <w:sz w:val="15"/>
              </w:rPr>
              <w:t>置信度低/能量高/输出异常</w:t>
            </w:r>
          </w:p>
        </w:tc>
        <w:tc>
          <w:tcPr>
            <w:tcW w:type="dxa" w:w="3402"/>
            <w:tcMar>
              <w:top w:w="70" w:type="dxa"/>
              <w:start w:w="70" w:type="dxa"/>
              <w:bottom w:w="70" w:type="dxa"/>
              <w:end w:w="70" w:type="dxa"/>
            </w:tcMar>
            <w:vAlign w:val="center"/>
          </w:tcPr>
          <w:p>
            <w:r>
              <w:rPr>
                <w:sz w:val="15"/>
              </w:rPr>
              <w:t>对连续回归前端不够直接；多数方法是图像分类专用</w:t>
            </w:r>
          </w:p>
        </w:tc>
      </w:tr>
      <w:tr>
        <w:tc>
          <w:tcPr>
            <w:tcW w:type="dxa" w:w="2268"/>
            <w:tcMar>
              <w:top w:w="70" w:type="dxa"/>
              <w:start w:w="70" w:type="dxa"/>
              <w:bottom w:w="70" w:type="dxa"/>
              <w:end w:w="70" w:type="dxa"/>
            </w:tcMar>
            <w:vAlign w:val="center"/>
          </w:tcPr>
          <w:p>
            <w:r>
              <w:rPr>
                <w:sz w:val="15"/>
              </w:rPr>
              <w:t>Density-based</w:t>
            </w:r>
          </w:p>
        </w:tc>
        <w:tc>
          <w:tcPr>
            <w:tcW w:type="dxa" w:w="3402"/>
            <w:tcMar>
              <w:top w:w="70" w:type="dxa"/>
              <w:start w:w="70" w:type="dxa"/>
              <w:bottom w:w="70" w:type="dxa"/>
              <w:end w:w="70" w:type="dxa"/>
            </w:tcMar>
            <w:vAlign w:val="center"/>
          </w:tcPr>
          <w:p>
            <w:r>
              <w:rPr>
                <w:sz w:val="15"/>
              </w:rPr>
              <w:t>显式建模 ID 数据密度</w:t>
            </w:r>
          </w:p>
        </w:tc>
        <w:tc>
          <w:tcPr>
            <w:tcW w:type="dxa" w:w="3402"/>
            <w:tcMar>
              <w:top w:w="70" w:type="dxa"/>
              <w:start w:w="70" w:type="dxa"/>
              <w:bottom w:w="70" w:type="dxa"/>
              <w:end w:w="70" w:type="dxa"/>
            </w:tcMar>
            <w:vAlign w:val="center"/>
          </w:tcPr>
          <w:p>
            <w:r>
              <w:rPr>
                <w:sz w:val="15"/>
              </w:rPr>
              <w:t>低 likelihood / 低 density → OOD</w:t>
            </w:r>
          </w:p>
        </w:tc>
        <w:tc>
          <w:tcPr>
            <w:tcW w:type="dxa" w:w="3402"/>
            <w:tcMar>
              <w:top w:w="70" w:type="dxa"/>
              <w:start w:w="70" w:type="dxa"/>
              <w:bottom w:w="70" w:type="dxa"/>
              <w:end w:w="70" w:type="dxa"/>
            </w:tcMar>
            <w:vAlign w:val="center"/>
          </w:tcPr>
          <w:p>
            <w:r>
              <w:rPr>
                <w:sz w:val="15"/>
              </w:rPr>
              <w:t>★★★★★，很适合数值型 X-only 检知</w:t>
            </w:r>
          </w:p>
        </w:tc>
      </w:tr>
      <w:tr>
        <w:tc>
          <w:tcPr>
            <w:tcW w:type="dxa" w:w="2268"/>
            <w:tcMar>
              <w:top w:w="70" w:type="dxa"/>
              <w:start w:w="70" w:type="dxa"/>
              <w:bottom w:w="70" w:type="dxa"/>
              <w:end w:w="70" w:type="dxa"/>
            </w:tcMar>
            <w:vAlign w:val="center"/>
          </w:tcPr>
          <w:p>
            <w:r>
              <w:rPr>
                <w:sz w:val="15"/>
              </w:rPr>
              <w:t>Distance-based</w:t>
            </w:r>
          </w:p>
        </w:tc>
        <w:tc>
          <w:tcPr>
            <w:tcW w:type="dxa" w:w="3402"/>
            <w:tcMar>
              <w:top w:w="70" w:type="dxa"/>
              <w:start w:w="70" w:type="dxa"/>
              <w:bottom w:w="70" w:type="dxa"/>
              <w:end w:w="70" w:type="dxa"/>
            </w:tcMar>
            <w:vAlign w:val="center"/>
          </w:tcPr>
          <w:p>
            <w:r>
              <w:rPr>
                <w:sz w:val="15"/>
              </w:rPr>
              <w:t>比较新样本与训练特征、中心或邻居的距离</w:t>
            </w:r>
          </w:p>
        </w:tc>
        <w:tc>
          <w:tcPr>
            <w:tcW w:type="dxa" w:w="3402"/>
            <w:tcMar>
              <w:top w:w="70" w:type="dxa"/>
              <w:start w:w="70" w:type="dxa"/>
              <w:bottom w:w="70" w:type="dxa"/>
              <w:end w:w="70" w:type="dxa"/>
            </w:tcMar>
            <w:vAlign w:val="center"/>
          </w:tcPr>
          <w:p>
            <w:r>
              <w:rPr>
                <w:sz w:val="15"/>
              </w:rPr>
              <w:t>Mahalanobis、kNN、cosine、Euclidean 等</w:t>
            </w:r>
          </w:p>
        </w:tc>
        <w:tc>
          <w:tcPr>
            <w:tcW w:type="dxa" w:w="3402"/>
            <w:tcMar>
              <w:top w:w="70" w:type="dxa"/>
              <w:start w:w="70" w:type="dxa"/>
              <w:bottom w:w="70" w:type="dxa"/>
              <w:end w:w="70" w:type="dxa"/>
            </w:tcMar>
            <w:vAlign w:val="center"/>
          </w:tcPr>
          <w:p>
            <w:r>
              <w:rPr>
                <w:sz w:val="15"/>
              </w:rPr>
              <w:t>★★★★★，非常适合做基线</w:t>
            </w:r>
          </w:p>
        </w:tc>
      </w:tr>
      <w:tr>
        <w:tc>
          <w:tcPr>
            <w:tcW w:type="dxa" w:w="2268"/>
            <w:tcMar>
              <w:top w:w="70" w:type="dxa"/>
              <w:start w:w="70" w:type="dxa"/>
              <w:bottom w:w="70" w:type="dxa"/>
              <w:end w:w="70" w:type="dxa"/>
            </w:tcMar>
            <w:vAlign w:val="center"/>
          </w:tcPr>
          <w:p>
            <w:r>
              <w:rPr>
                <w:sz w:val="15"/>
              </w:rPr>
              <w:t>Reconstruction-based</w:t>
            </w:r>
          </w:p>
        </w:tc>
        <w:tc>
          <w:tcPr>
            <w:tcW w:type="dxa" w:w="3402"/>
            <w:tcMar>
              <w:top w:w="70" w:type="dxa"/>
              <w:start w:w="70" w:type="dxa"/>
              <w:bottom w:w="70" w:type="dxa"/>
              <w:end w:w="70" w:type="dxa"/>
            </w:tcMar>
            <w:vAlign w:val="center"/>
          </w:tcPr>
          <w:p>
            <w:r>
              <w:rPr>
                <w:sz w:val="15"/>
              </w:rPr>
              <w:t>只用 ID 训练重构模型，OOD 往往重构得差</w:t>
            </w:r>
          </w:p>
        </w:tc>
        <w:tc>
          <w:tcPr>
            <w:tcW w:type="dxa" w:w="3402"/>
            <w:tcMar>
              <w:top w:w="70" w:type="dxa"/>
              <w:start w:w="70" w:type="dxa"/>
              <w:bottom w:w="70" w:type="dxa"/>
              <w:end w:w="70" w:type="dxa"/>
            </w:tcMar>
            <w:vAlign w:val="center"/>
          </w:tcPr>
          <w:p>
            <w:r>
              <w:rPr>
                <w:sz w:val="15"/>
              </w:rPr>
              <w:t>AE/VAE reconstruction error</w:t>
            </w:r>
          </w:p>
        </w:tc>
        <w:tc>
          <w:tcPr>
            <w:tcW w:type="dxa" w:w="3402"/>
            <w:tcMar>
              <w:top w:w="70" w:type="dxa"/>
              <w:start w:w="70" w:type="dxa"/>
              <w:bottom w:w="70" w:type="dxa"/>
              <w:end w:w="70" w:type="dxa"/>
            </w:tcMar>
            <w:vAlign w:val="center"/>
          </w:tcPr>
          <w:p>
            <w:r>
              <w:rPr>
                <w:sz w:val="15"/>
              </w:rPr>
              <w:t>★★★★★，适合非线性多变量关系</w:t>
            </w:r>
          </w:p>
        </w:tc>
      </w:tr>
    </w:tbl>
    <w:p/>
    <w:p>
      <w:pPr>
        <w:pStyle w:val="Heading1"/>
      </w:pPr>
      <w:r>
        <w:t>10. 本文方法分类与我们之前算法的对应</w:t>
      </w:r>
    </w:p>
    <w:tbl>
      <w:tblPr>
        <w:tblStyle w:val="TableGrid"/>
        <w:tblW w:type="auto" w:w="0"/>
        <w:jc w:val="center"/>
        <w:tblLook w:firstColumn="1" w:firstRow="1" w:lastColumn="0" w:lastRow="0" w:noHBand="0" w:noVBand="1" w:val="04A0"/>
      </w:tblPr>
      <w:tblGrid>
        <w:gridCol w:w="3494"/>
        <w:gridCol w:w="3494"/>
        <w:gridCol w:w="3494"/>
      </w:tblGrid>
      <w:tr>
        <w:tc>
          <w:tcPr>
            <w:tcW w:type="dxa" w:w="2835"/>
            <w:shd w:fill="D9EAF7"/>
            <w:vAlign w:val="center"/>
          </w:tcPr>
          <w:p>
            <w:pPr>
              <w:jc w:val="center"/>
            </w:pPr>
            <w:r>
              <w:rPr>
                <w:b/>
                <w:sz w:val="15"/>
              </w:rPr>
              <w:t>本文方法族</w:t>
            </w:r>
          </w:p>
        </w:tc>
        <w:tc>
          <w:tcPr>
            <w:tcW w:type="dxa" w:w="3969"/>
            <w:shd w:fill="D9EAF7"/>
            <w:vAlign w:val="center"/>
          </w:tcPr>
          <w:p>
            <w:pPr>
              <w:jc w:val="center"/>
            </w:pPr>
            <w:r>
              <w:rPr>
                <w:b/>
                <w:sz w:val="15"/>
              </w:rPr>
              <w:t>之前已出现的方法</w:t>
            </w:r>
          </w:p>
        </w:tc>
        <w:tc>
          <w:tcPr>
            <w:tcW w:type="dxa" w:w="4535"/>
            <w:shd w:fill="D9EAF7"/>
            <w:vAlign w:val="center"/>
          </w:tcPr>
          <w:p>
            <w:pPr>
              <w:jc w:val="center"/>
            </w:pPr>
            <w:r>
              <w:rPr>
                <w:b/>
                <w:sz w:val="15"/>
              </w:rPr>
              <w:t>对应的“学习外”类型</w:t>
            </w:r>
          </w:p>
        </w:tc>
      </w:tr>
      <w:tr>
        <w:tc>
          <w:tcPr>
            <w:tcW w:type="dxa" w:w="2835"/>
            <w:tcMar>
              <w:top w:w="70" w:type="dxa"/>
              <w:start w:w="70" w:type="dxa"/>
              <w:bottom w:w="70" w:type="dxa"/>
              <w:end w:w="70" w:type="dxa"/>
            </w:tcMar>
            <w:vAlign w:val="center"/>
          </w:tcPr>
          <w:p>
            <w:r>
              <w:rPr>
                <w:sz w:val="15"/>
              </w:rPr>
              <w:t>Density-based</w:t>
            </w:r>
          </w:p>
        </w:tc>
        <w:tc>
          <w:tcPr>
            <w:tcW w:type="dxa" w:w="3969"/>
            <w:tcMar>
              <w:top w:w="70" w:type="dxa"/>
              <w:start w:w="70" w:type="dxa"/>
              <w:bottom w:w="70" w:type="dxa"/>
              <w:end w:w="70" w:type="dxa"/>
            </w:tcMar>
            <w:vAlign w:val="center"/>
          </w:tcPr>
          <w:p>
            <w:r>
              <w:rPr>
                <w:sz w:val="15"/>
              </w:rPr>
              <w:t>GMM、KDE、VAE/flow、概率密度模型</w:t>
            </w:r>
          </w:p>
        </w:tc>
        <w:tc>
          <w:tcPr>
            <w:tcW w:type="dxa" w:w="4535"/>
            <w:tcMar>
              <w:top w:w="70" w:type="dxa"/>
              <w:start w:w="70" w:type="dxa"/>
              <w:bottom w:w="70" w:type="dxa"/>
              <w:end w:w="70" w:type="dxa"/>
            </w:tcMar>
            <w:vAlign w:val="center"/>
          </w:tcPr>
          <w:p>
            <w:r>
              <w:rPr>
                <w:sz w:val="15"/>
              </w:rPr>
              <w:t>低密度区域、联合分布外</w:t>
            </w:r>
          </w:p>
        </w:tc>
      </w:tr>
      <w:tr>
        <w:tc>
          <w:tcPr>
            <w:tcW w:type="dxa" w:w="2835"/>
            <w:tcMar>
              <w:top w:w="70" w:type="dxa"/>
              <w:start w:w="70" w:type="dxa"/>
              <w:bottom w:w="70" w:type="dxa"/>
              <w:end w:w="70" w:type="dxa"/>
            </w:tcMar>
            <w:vAlign w:val="center"/>
          </w:tcPr>
          <w:p>
            <w:r>
              <w:rPr>
                <w:sz w:val="15"/>
              </w:rPr>
              <w:t>Distance-based</w:t>
            </w:r>
          </w:p>
        </w:tc>
        <w:tc>
          <w:tcPr>
            <w:tcW w:type="dxa" w:w="3969"/>
            <w:tcMar>
              <w:top w:w="70" w:type="dxa"/>
              <w:start w:w="70" w:type="dxa"/>
              <w:bottom w:w="70" w:type="dxa"/>
              <w:end w:w="70" w:type="dxa"/>
            </w:tcMar>
            <w:vAlign w:val="center"/>
          </w:tcPr>
          <w:p>
            <w:r>
              <w:rPr>
                <w:sz w:val="15"/>
              </w:rPr>
              <w:t>Mahalanobis、kNN、PCA residual/orthogonal distance</w:t>
            </w:r>
          </w:p>
        </w:tc>
        <w:tc>
          <w:tcPr>
            <w:tcW w:type="dxa" w:w="4535"/>
            <w:tcMar>
              <w:top w:w="70" w:type="dxa"/>
              <w:start w:w="70" w:type="dxa"/>
              <w:bottom w:w="70" w:type="dxa"/>
              <w:end w:w="70" w:type="dxa"/>
            </w:tcMar>
            <w:vAlign w:val="center"/>
          </w:tcPr>
          <w:p>
            <w:r>
              <w:rPr>
                <w:sz w:val="15"/>
              </w:rPr>
              <w:t>远离正常中心/邻居、未知联合关系</w:t>
            </w:r>
          </w:p>
        </w:tc>
      </w:tr>
      <w:tr>
        <w:tc>
          <w:tcPr>
            <w:tcW w:type="dxa" w:w="2835"/>
            <w:tcMar>
              <w:top w:w="70" w:type="dxa"/>
              <w:start w:w="70" w:type="dxa"/>
              <w:bottom w:w="70" w:type="dxa"/>
              <w:end w:w="70" w:type="dxa"/>
            </w:tcMar>
            <w:vAlign w:val="center"/>
          </w:tcPr>
          <w:p>
            <w:r>
              <w:rPr>
                <w:sz w:val="15"/>
              </w:rPr>
              <w:t>Reconstruction-based</w:t>
            </w:r>
          </w:p>
        </w:tc>
        <w:tc>
          <w:tcPr>
            <w:tcW w:type="dxa" w:w="3969"/>
            <w:tcMar>
              <w:top w:w="70" w:type="dxa"/>
              <w:start w:w="70" w:type="dxa"/>
              <w:bottom w:w="70" w:type="dxa"/>
              <w:end w:w="70" w:type="dxa"/>
            </w:tcMar>
            <w:vAlign w:val="center"/>
          </w:tcPr>
          <w:p>
            <w:r>
              <w:rPr>
                <w:sz w:val="15"/>
              </w:rPr>
              <w:t>Autoencoder、VAE</w:t>
            </w:r>
          </w:p>
        </w:tc>
        <w:tc>
          <w:tcPr>
            <w:tcW w:type="dxa" w:w="4535"/>
            <w:tcMar>
              <w:top w:w="70" w:type="dxa"/>
              <w:start w:w="70" w:type="dxa"/>
              <w:bottom w:w="70" w:type="dxa"/>
              <w:end w:w="70" w:type="dxa"/>
            </w:tcMar>
            <w:vAlign w:val="center"/>
          </w:tcPr>
          <w:p>
            <w:r>
              <w:rPr>
                <w:sz w:val="15"/>
              </w:rPr>
              <w:t>复杂非线性关系、时序重构异常</w:t>
            </w:r>
          </w:p>
        </w:tc>
      </w:tr>
      <w:tr>
        <w:tc>
          <w:tcPr>
            <w:tcW w:type="dxa" w:w="2835"/>
            <w:tcMar>
              <w:top w:w="70" w:type="dxa"/>
              <w:start w:w="70" w:type="dxa"/>
              <w:bottom w:w="70" w:type="dxa"/>
              <w:end w:w="70" w:type="dxa"/>
            </w:tcMar>
            <w:vAlign w:val="center"/>
          </w:tcPr>
          <w:p>
            <w:r>
              <w:rPr>
                <w:sz w:val="15"/>
              </w:rPr>
              <w:t>Classification / OCC</w:t>
            </w:r>
          </w:p>
        </w:tc>
        <w:tc>
          <w:tcPr>
            <w:tcW w:type="dxa" w:w="3969"/>
            <w:tcMar>
              <w:top w:w="70" w:type="dxa"/>
              <w:start w:w="70" w:type="dxa"/>
              <w:bottom w:w="70" w:type="dxa"/>
              <w:end w:w="70" w:type="dxa"/>
            </w:tcMar>
            <w:vAlign w:val="center"/>
          </w:tcPr>
          <w:p>
            <w:r>
              <w:rPr>
                <w:sz w:val="15"/>
              </w:rPr>
              <w:t>One-Class SVM、DeepSVDD、Isolation Forest（在本文 OD/AD 部分出现）</w:t>
            </w:r>
          </w:p>
        </w:tc>
        <w:tc>
          <w:tcPr>
            <w:tcW w:type="dxa" w:w="4535"/>
            <w:tcMar>
              <w:top w:w="70" w:type="dxa"/>
              <w:start w:w="70" w:type="dxa"/>
              <w:bottom w:w="70" w:type="dxa"/>
              <w:end w:w="70" w:type="dxa"/>
            </w:tcMar>
            <w:vAlign w:val="center"/>
          </w:tcPr>
          <w:p>
            <w:r>
              <w:rPr>
                <w:sz w:val="15"/>
              </w:rPr>
              <w:t>学习正常域边界</w:t>
            </w:r>
          </w:p>
        </w:tc>
      </w:tr>
    </w:tbl>
    <w:p/>
    <w:p>
      <w:pPr>
        <w:pStyle w:val="Heading1"/>
      </w:pPr>
      <w:r>
        <w:t>11. 这篇论文对你的一个关键提醒：不要把“所有 P(X) 变化”都直接判成坏数据</w:t>
      </w:r>
    </w:p>
    <w:p>
      <w:r>
        <w:t>作者专门讨论“To Generalize, or To Detect?”：对许多任务，合理的 covariate shift 应该由模型泛化处理，而不是一律拒绝；只有模型不能或不希望泛化时才应作为 OOD 拒绝。因此，“训练分布不同”不自动等于“必须报警”。你的项目需要先定义安全边界：哪些输入偏移属于可以正常泛化的运行变化，哪些属于预测可靠性无法保证的学习外区域。</w:t>
      </w:r>
    </w:p>
    <w:p>
      <w:r>
        <w:t>这一点会直接影响你后面阈值设计。例如轻微季节变化可能只是 covariate shift，但仍应允许预测；而进入历史数据完全没有覆盖的流量—压力联合区域，则更适合作为学习外拒绝。</w:t>
      </w:r>
    </w:p>
    <w:p>
      <w:pPr>
        <w:pStyle w:val="Heading1"/>
      </w:pPr>
      <w:r>
        <w:t>12. 对本课题最合适的概念定义（建议汇报用）</w:t>
      </w:r>
    </w:p>
    <w:p>
      <w:r>
        <w:rPr>
          <w:b/>
        </w:rPr>
        <w:t>建议定义：</w:t>
      </w:r>
      <w:r>
        <w:t>“学習外入力データ”是指在当前目标回归模型的适用范围定义下，新输入 X 或时间窗口 X(t−L:t) 相对于训练阶段的输入分布、支持域、变量间关系或动态关系发生了足以使模型泛化可靠性无法保证的偏离。</w:t>
      </w:r>
    </w:p>
    <w:p>
      <w:r>
        <w:t>这个定义比简单写成“超出各变量 min/max”更准确，也比把 OOD 限定成“新类别”更符合你的工业多变量回归问题。</w:t>
      </w:r>
    </w:p>
    <w:p>
      <w:pPr>
        <w:pStyle w:val="Heading1"/>
      </w:pPr>
      <w:r>
        <w:t>13. 这篇论文与 S1 / S5 / S8 的衔接</w:t>
      </w:r>
    </w:p>
    <w:tbl>
      <w:tblPr>
        <w:tblStyle w:val="TableGrid"/>
        <w:tblW w:type="auto" w:w="0"/>
        <w:jc w:val="center"/>
        <w:tblLook w:firstColumn="1" w:firstRow="1" w:lastColumn="0" w:lastRow="0" w:noHBand="0" w:noVBand="1" w:val="04A0"/>
      </w:tblPr>
      <w:tblGrid>
        <w:gridCol w:w="5241"/>
        <w:gridCol w:w="5241"/>
      </w:tblGrid>
      <w:tr>
        <w:tc>
          <w:tcPr>
            <w:tcW w:type="dxa" w:w="1701"/>
            <w:shd w:fill="D9EAF7"/>
            <w:vAlign w:val="center"/>
          </w:tcPr>
          <w:p>
            <w:pPr>
              <w:jc w:val="center"/>
            </w:pPr>
            <w:r>
              <w:rPr>
                <w:b/>
                <w:sz w:val="15"/>
              </w:rPr>
              <w:t>文献</w:t>
            </w:r>
          </w:p>
        </w:tc>
        <w:tc>
          <w:tcPr>
            <w:tcW w:type="dxa" w:w="9638"/>
            <w:shd w:fill="D9EAF7"/>
            <w:vAlign w:val="center"/>
          </w:tcPr>
          <w:p>
            <w:pPr>
              <w:jc w:val="center"/>
            </w:pPr>
            <w:r>
              <w:rPr>
                <w:b/>
                <w:sz w:val="15"/>
              </w:rPr>
              <w:t>给我们的主要概念</w:t>
            </w:r>
          </w:p>
        </w:tc>
      </w:tr>
      <w:tr>
        <w:tc>
          <w:tcPr>
            <w:tcW w:type="dxa" w:w="1701"/>
            <w:tcMar>
              <w:top w:w="70" w:type="dxa"/>
              <w:start w:w="70" w:type="dxa"/>
              <w:bottom w:w="70" w:type="dxa"/>
              <w:end w:w="70" w:type="dxa"/>
            </w:tcMar>
            <w:vAlign w:val="center"/>
          </w:tcPr>
          <w:p>
            <w:r>
              <w:rPr>
                <w:sz w:val="15"/>
              </w:rPr>
              <w:t>S1</w:t>
            </w:r>
          </w:p>
        </w:tc>
        <w:tc>
          <w:tcPr>
            <w:tcW w:type="dxa" w:w="9638"/>
            <w:tcMar>
              <w:top w:w="70" w:type="dxa"/>
              <w:start w:w="70" w:type="dxa"/>
              <w:bottom w:w="70" w:type="dxa"/>
              <w:end w:w="70" w:type="dxa"/>
            </w:tcMar>
            <w:vAlign w:val="center"/>
          </w:tcPr>
          <w:p>
            <w:r>
              <w:rPr>
                <w:sz w:val="15"/>
              </w:rPr>
              <w:t>Point / Contextual / Collective anomaly，尤其补充时间序列中的 contextual anomaly。</w:t>
            </w:r>
          </w:p>
        </w:tc>
      </w:tr>
      <w:tr>
        <w:tc>
          <w:tcPr>
            <w:tcW w:type="dxa" w:w="1701"/>
            <w:tcMar>
              <w:top w:w="70" w:type="dxa"/>
              <w:start w:w="70" w:type="dxa"/>
              <w:bottom w:w="70" w:type="dxa"/>
              <w:end w:w="70" w:type="dxa"/>
            </w:tcMar>
            <w:vAlign w:val="center"/>
          </w:tcPr>
          <w:p>
            <w:r>
              <w:rPr>
                <w:sz w:val="15"/>
              </w:rPr>
              <w:t>S5</w:t>
            </w:r>
          </w:p>
        </w:tc>
        <w:tc>
          <w:tcPr>
            <w:tcW w:type="dxa" w:w="9638"/>
            <w:tcMar>
              <w:top w:w="70" w:type="dxa"/>
              <w:start w:w="70" w:type="dxa"/>
              <w:bottom w:w="70" w:type="dxa"/>
              <w:end w:w="70" w:type="dxa"/>
            </w:tcMar>
            <w:vAlign w:val="center"/>
          </w:tcPr>
          <w:p>
            <w:r>
              <w:rPr>
                <w:sz w:val="15"/>
              </w:rPr>
              <w:t>Covariate Shift 与 Concept Drift；OOD generalization 与 detection 的区别。</w:t>
            </w:r>
          </w:p>
        </w:tc>
      </w:tr>
      <w:tr>
        <w:tc>
          <w:tcPr>
            <w:tcW w:type="dxa" w:w="1701"/>
            <w:tcMar>
              <w:top w:w="70" w:type="dxa"/>
              <w:start w:w="70" w:type="dxa"/>
              <w:bottom w:w="70" w:type="dxa"/>
              <w:end w:w="70" w:type="dxa"/>
            </w:tcMar>
            <w:vAlign w:val="center"/>
          </w:tcPr>
          <w:p>
            <w:r>
              <w:rPr>
                <w:sz w:val="15"/>
              </w:rPr>
              <w:t>S8</w:t>
            </w:r>
          </w:p>
        </w:tc>
        <w:tc>
          <w:tcPr>
            <w:tcW w:type="dxa" w:w="9638"/>
            <w:tcMar>
              <w:top w:w="70" w:type="dxa"/>
              <w:start w:w="70" w:type="dxa"/>
              <w:bottom w:w="70" w:type="dxa"/>
              <w:end w:w="70" w:type="dxa"/>
            </w:tcMar>
            <w:vAlign w:val="center"/>
          </w:tcPr>
          <w:p>
            <w:r>
              <w:rPr>
                <w:sz w:val="15"/>
              </w:rPr>
              <w:t>工业过程里如何通过 PCA-Q、SVDD、动态监测等实际检测多变量异常。</w:t>
            </w:r>
          </w:p>
        </w:tc>
      </w:tr>
      <w:tr>
        <w:tc>
          <w:tcPr>
            <w:tcW w:type="dxa" w:w="1701"/>
            <w:tcMar>
              <w:top w:w="70" w:type="dxa"/>
              <w:start w:w="70" w:type="dxa"/>
              <w:bottom w:w="70" w:type="dxa"/>
              <w:end w:w="70" w:type="dxa"/>
            </w:tcMar>
            <w:vAlign w:val="center"/>
          </w:tcPr>
          <w:p>
            <w:r>
              <w:rPr>
                <w:sz w:val="15"/>
              </w:rPr>
              <w:t>S4</w:t>
            </w:r>
          </w:p>
        </w:tc>
        <w:tc>
          <w:tcPr>
            <w:tcW w:type="dxa" w:w="9638"/>
            <w:tcMar>
              <w:top w:w="70" w:type="dxa"/>
              <w:start w:w="70" w:type="dxa"/>
              <w:bottom w:w="70" w:type="dxa"/>
              <w:end w:w="70" w:type="dxa"/>
            </w:tcMar>
            <w:vAlign w:val="center"/>
          </w:tcPr>
          <w:p>
            <w:r>
              <w:rPr>
                <w:sz w:val="15"/>
              </w:rPr>
              <w:t>把 AD / ND / OSR / OOD / OD 统一起来，并明确“任务分类”和“方法分类”两套 taxonomy。</w:t>
            </w:r>
          </w:p>
        </w:tc>
      </w:tr>
    </w:tbl>
    <w:p/>
    <w:p>
      <w:pPr>
        <w:pStyle w:val="Heading1"/>
      </w:pPr>
      <w:r>
        <w:t>14. 最终结论</w:t>
      </w:r>
    </w:p>
    <w:p>
      <w:r>
        <w:t>S4 最重要的不是推荐某个单一算法，而是帮助我们把“学习外”定义清楚。对你的多变量时间序列回归任务，最合适的定位是：以训练数据定义 ID，在部署阶段对新 X 做 inductive 检测；不要求 ID 分类；重点检测 covariate/input shift；异常形态上尤其关注 contextual/collective anomaly；方法上优先考虑 density-based、distance-based、reconstruction-based 和 one-class boundary learning。主流图像 OOD 文献所强调的 semantic shift / unknown class 并不是你的主线。</w:t>
      </w:r>
    </w:p>
    <w:sectPr w:rsidR="00FC693F" w:rsidRPr="0006063C" w:rsidSect="00034616">
      <w:pgSz w:w="12240" w:h="15840"/>
      <w:pgMar w:top="850"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rial" w:hAnsi="Arial"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eastAsia="Microsoft YaHe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eastAsia="Microsoft YaHe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rial" w:hAnsi="Arial" w:eastAsia="Microsoft YaHe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