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Slide 11｜評価Datasetと評価指標</w:t>
      </w:r>
    </w:p>
    <w:p>
      <w:r>
        <w:t>ページの中心メッセージ：検知性能の数値だけでなく、「どのような学習外データに対する評価か」を合わせて確認する。</w:t>
      </w:r>
    </w:p>
    <w:p>
      <w:r>
        <w:t>• 各手法の評価では、まずDataset名だけでなく、学習内／学習外のGround Truthがどのように定義・付与されているかを整理する。</w:t>
      </w:r>
    </w:p>
    <w:p>
      <w:r>
        <w:t>• 評価Datasetについて、入力項目、出力項目、サンプル数・データ規模、Ground Truthの有無、学習外データの作成・ラベル付与方法を確認する。</w:t>
      </w:r>
    </w:p>
    <w:p>
      <w:r>
        <w:t>• 特に、評価対象の学習外データが「①範囲・分布外」「②低密度・学習不足領域」「③未知の変数間関係」のどれに該当するかを確認する。時系列の場合はPoint / Contextual / Collective anomalyとの対応も見る。</w:t>
      </w:r>
    </w:p>
    <w:p>
      <w:r>
        <w:t>• 主な評価指標として、AUROC、AUPRC、Precision、Recall、F1-score、FPR / FPR@TPRなどを整理する。</w:t>
      </w:r>
    </w:p>
    <w:p>
      <w:r>
        <w:t>• 社会インフラへの適用では、学習外入力の見逃しを減らすことだけでなく、正常入力を学習外と判定する誤警報を抑えることも重要である。</w:t>
      </w:r>
    </w:p>
    <w:p>
      <w:r>
        <w:t>• そのため、単一の指標だけで判断せず、Detection performanceとFalse Positiveのトレードオフ、および閾値設定方法を確認する。</w:t>
      </w:r>
    </w:p>
    <w:p>
      <w:r>
        <w:t>• また、実際の運用データではOODのGround Truthを準備できない場合があるため、ラベルなしの場合にどのように評価するかも今後の論点として整理する。</w:t>
      </w:r>
    </w:p>
    <w:p>
      <w:r>
        <w:t>表・レイアウト案：スライド中央に以下の比較表を大きく配置し、下部に評価時の注意点を1行で強調する。</w:t>
      </w:r>
    </w:p>
    <w:tbl>
      <w:tblPr>
        <w:tblStyle w:val="TableGrid"/>
        <w:tblW w:type="auto" w:w="0"/>
        <w:jc w:val="center"/>
        <w:tblLook w:firstColumn="1" w:firstRow="1" w:lastColumn="0" w:lastRow="0" w:noHBand="0" w:noVBand="1" w:val="04A0"/>
      </w:tblPr>
      <w:tblGrid>
        <w:gridCol w:w="1662"/>
        <w:gridCol w:w="1662"/>
        <w:gridCol w:w="1662"/>
        <w:gridCol w:w="1662"/>
        <w:gridCol w:w="1662"/>
        <w:gridCol w:w="1662"/>
      </w:tblGrid>
      <w:tr>
        <w:tc>
          <w:tcPr>
            <w:tcW w:type="dxa" w:w="1247"/>
            <w:vAlign w:val="center"/>
            <w:shd w:fill="D9EAF7"/>
          </w:tcPr>
          <w:p>
            <w:r>
              <w:rPr>
                <w:b/>
                <w:sz w:val="17"/>
              </w:rPr>
              <w:t>手法／論文</w:t>
            </w:r>
          </w:p>
        </w:tc>
        <w:tc>
          <w:tcPr>
            <w:tcW w:type="dxa" w:w="1417"/>
            <w:vAlign w:val="center"/>
            <w:shd w:fill="D9EAF7"/>
          </w:tcPr>
          <w:p>
            <w:r>
              <w:rPr>
                <w:b/>
                <w:sz w:val="17"/>
              </w:rPr>
              <w:t>評価Dataset</w:t>
            </w:r>
          </w:p>
        </w:tc>
        <w:tc>
          <w:tcPr>
            <w:tcW w:type="dxa" w:w="2268"/>
            <w:vAlign w:val="center"/>
            <w:shd w:fill="D9EAF7"/>
          </w:tcPr>
          <w:p>
            <w:r>
              <w:rPr>
                <w:b/>
                <w:sz w:val="17"/>
              </w:rPr>
              <w:t>学習外の定義・作成方法</w:t>
            </w:r>
          </w:p>
        </w:tc>
        <w:tc>
          <w:tcPr>
            <w:tcW w:type="dxa" w:w="1134"/>
            <w:vAlign w:val="center"/>
            <w:shd w:fill="D9EAF7"/>
          </w:tcPr>
          <w:p>
            <w:r>
              <w:rPr>
                <w:b/>
                <w:sz w:val="17"/>
              </w:rPr>
              <w:t>Ground Truth</w:t>
            </w:r>
          </w:p>
        </w:tc>
        <w:tc>
          <w:tcPr>
            <w:tcW w:type="dxa" w:w="1701"/>
            <w:vAlign w:val="center"/>
            <w:shd w:fill="D9EAF7"/>
          </w:tcPr>
          <w:p>
            <w:r>
              <w:rPr>
                <w:b/>
                <w:sz w:val="17"/>
              </w:rPr>
              <w:t>主な評価指標</w:t>
            </w:r>
          </w:p>
        </w:tc>
        <w:tc>
          <w:tcPr>
            <w:tcW w:type="dxa" w:w="2381"/>
            <w:vAlign w:val="center"/>
            <w:shd w:fill="D9EAF7"/>
          </w:tcPr>
          <w:p>
            <w:r>
              <w:rPr>
                <w:b/>
                <w:sz w:val="17"/>
              </w:rPr>
              <w:t>確認ポイント</w:t>
            </w:r>
          </w:p>
        </w:tc>
      </w:tr>
      <w:tr>
        <w:tc>
          <w:tcPr>
            <w:tcW w:type="dxa" w:w="1247"/>
            <w:vAlign w:val="center"/>
          </w:tcPr>
          <w:p>
            <w:r>
              <w:rPr>
                <w:sz w:val="16"/>
              </w:rPr>
              <w:t>手法 A</w:t>
            </w:r>
          </w:p>
        </w:tc>
        <w:tc>
          <w:tcPr>
            <w:tcW w:type="dxa" w:w="1417"/>
            <w:vAlign w:val="center"/>
          </w:tcPr>
          <w:p>
            <w:r>
              <w:rPr>
                <w:sz w:val="16"/>
              </w:rPr>
              <w:t>Dataset名</w:t>
            </w:r>
          </w:p>
        </w:tc>
        <w:tc>
          <w:tcPr>
            <w:tcW w:type="dxa" w:w="2268"/>
            <w:vAlign w:val="center"/>
          </w:tcPr>
          <w:p>
            <w:r>
              <w:rPr>
                <w:sz w:val="16"/>
              </w:rPr>
              <w:t>範囲外／分布shift 等</w:t>
            </w:r>
          </w:p>
        </w:tc>
        <w:tc>
          <w:tcPr>
            <w:tcW w:type="dxa" w:w="1134"/>
            <w:vAlign w:val="center"/>
          </w:tcPr>
          <w:p>
            <w:r>
              <w:rPr>
                <w:sz w:val="16"/>
              </w:rPr>
              <w:t>有／無</w:t>
            </w:r>
          </w:p>
        </w:tc>
        <w:tc>
          <w:tcPr>
            <w:tcW w:type="dxa" w:w="1701"/>
            <w:vAlign w:val="center"/>
          </w:tcPr>
          <w:p>
            <w:r>
              <w:rPr>
                <w:sz w:val="16"/>
              </w:rPr>
              <w:t>AUROC / F1 等</w:t>
            </w:r>
          </w:p>
        </w:tc>
        <w:tc>
          <w:tcPr>
            <w:tcW w:type="dxa" w:w="2381"/>
            <w:vAlign w:val="center"/>
          </w:tcPr>
          <w:p>
            <w:r>
              <w:rPr>
                <w:sz w:val="16"/>
              </w:rPr>
              <w:t>何をOODとして評価したか</w:t>
            </w:r>
          </w:p>
        </w:tc>
      </w:tr>
      <w:tr>
        <w:tc>
          <w:tcPr>
            <w:tcW w:type="dxa" w:w="1247"/>
            <w:vAlign w:val="center"/>
          </w:tcPr>
          <w:p>
            <w:r>
              <w:rPr>
                <w:sz w:val="16"/>
              </w:rPr>
              <w:t>手法 B</w:t>
            </w:r>
          </w:p>
        </w:tc>
        <w:tc>
          <w:tcPr>
            <w:tcW w:type="dxa" w:w="1417"/>
            <w:vAlign w:val="center"/>
          </w:tcPr>
          <w:p>
            <w:r>
              <w:rPr>
                <w:sz w:val="16"/>
              </w:rPr>
              <w:t>Dataset名</w:t>
            </w:r>
          </w:p>
        </w:tc>
        <w:tc>
          <w:tcPr>
            <w:tcW w:type="dxa" w:w="2268"/>
            <w:vAlign w:val="center"/>
          </w:tcPr>
          <w:p>
            <w:r>
              <w:rPr>
                <w:sz w:val="16"/>
              </w:rPr>
              <w:t>低密度領域 等</w:t>
            </w:r>
          </w:p>
        </w:tc>
        <w:tc>
          <w:tcPr>
            <w:tcW w:type="dxa" w:w="1134"/>
            <w:vAlign w:val="center"/>
          </w:tcPr>
          <w:p>
            <w:r>
              <w:rPr>
                <w:sz w:val="16"/>
              </w:rPr>
              <w:t>有／無</w:t>
            </w:r>
          </w:p>
        </w:tc>
        <w:tc>
          <w:tcPr>
            <w:tcW w:type="dxa" w:w="1701"/>
            <w:vAlign w:val="center"/>
          </w:tcPr>
          <w:p>
            <w:r>
              <w:rPr>
                <w:sz w:val="16"/>
              </w:rPr>
              <w:t>AUPRC / Recall 等</w:t>
            </w:r>
          </w:p>
        </w:tc>
        <w:tc>
          <w:tcPr>
            <w:tcW w:type="dxa" w:w="2381"/>
            <w:vAlign w:val="center"/>
          </w:tcPr>
          <w:p>
            <w:r>
              <w:rPr>
                <w:sz w:val="16"/>
              </w:rPr>
              <w:t>不均衡・閾値の扱い</w:t>
            </w:r>
          </w:p>
        </w:tc>
      </w:tr>
      <w:tr>
        <w:tc>
          <w:tcPr>
            <w:tcW w:type="dxa" w:w="1247"/>
            <w:vAlign w:val="center"/>
          </w:tcPr>
          <w:p>
            <w:r>
              <w:rPr>
                <w:sz w:val="16"/>
              </w:rPr>
              <w:t>手法 C</w:t>
            </w:r>
          </w:p>
        </w:tc>
        <w:tc>
          <w:tcPr>
            <w:tcW w:type="dxa" w:w="1417"/>
            <w:vAlign w:val="center"/>
          </w:tcPr>
          <w:p>
            <w:r>
              <w:rPr>
                <w:sz w:val="16"/>
              </w:rPr>
              <w:t>Dataset名</w:t>
            </w:r>
          </w:p>
        </w:tc>
        <w:tc>
          <w:tcPr>
            <w:tcW w:type="dxa" w:w="2268"/>
            <w:vAlign w:val="center"/>
          </w:tcPr>
          <w:p>
            <w:r>
              <w:rPr>
                <w:sz w:val="16"/>
              </w:rPr>
              <w:t>相関関係変化 等</w:t>
            </w:r>
          </w:p>
        </w:tc>
        <w:tc>
          <w:tcPr>
            <w:tcW w:type="dxa" w:w="1134"/>
            <w:vAlign w:val="center"/>
          </w:tcPr>
          <w:p>
            <w:r>
              <w:rPr>
                <w:sz w:val="16"/>
              </w:rPr>
              <w:t>有／無</w:t>
            </w:r>
          </w:p>
        </w:tc>
        <w:tc>
          <w:tcPr>
            <w:tcW w:type="dxa" w:w="1701"/>
            <w:vAlign w:val="center"/>
          </w:tcPr>
          <w:p>
            <w:r>
              <w:rPr>
                <w:sz w:val="16"/>
              </w:rPr>
              <w:t>FPR / FPR@TPR 等</w:t>
            </w:r>
          </w:p>
        </w:tc>
        <w:tc>
          <w:tcPr>
            <w:tcW w:type="dxa" w:w="2381"/>
            <w:vAlign w:val="center"/>
          </w:tcPr>
          <w:p>
            <w:r>
              <w:rPr>
                <w:sz w:val="16"/>
              </w:rPr>
              <w:t>誤警報とのtrade-off</w:t>
            </w:r>
          </w:p>
        </w:tc>
      </w:tr>
    </w:tbl>
    <w:p>
      <w:r>
        <w:rPr>
          <w:b/>
          <w:color w:val="C0504D"/>
        </w:rPr>
        <w:t>強調メッセージ：</w:t>
      </w:r>
      <w:r>
        <w:t xml:space="preserve"> 同じAUROCであっても、単純な範囲外OODを評価した結果と、各変数が範囲内のまま相関関係だけが変化したOODを評価した結果では意味が異なる。</w:t>
      </w:r>
    </w:p>
    <w:p>
      <w:r>
        <w:t>発表時間の目安：約1～1.5分</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Gothic" w:hAnsi="Yu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Yu Gothic" w:hAnsi="Yu Gothic"/>
      <w:b/>
      <w:bCs/>
      <w:color w:val="1F4E79"/>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