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深度神经网络与多变量时序异常检测比较研究</w:t>
      </w:r>
    </w:p>
    <w:p>
      <w:pPr>
        <w:snapToGrid w:val="0"/>
      </w:pPr>
      <w:r>
        <w:t>P05　中文精读与日本語研究報告　2026年9月9日</w:t>
      </w:r>
    </w:p>
    <w:p>
      <w:pPr>
        <w:snapToGrid w:val="0"/>
      </w:pPr>
      <w:r>
        <w:t>Do Deep Neural Networks Contribute to Multivariate Time Series Anomaly Detection?</w:t>
      </w:r>
    </w:p>
    <w:p>
      <w:pPr>
        <w:snapToGrid w:val="0"/>
      </w:pPr>
      <w:r>
        <w:t>这篇论文为本次实习提供了两条直接依据。第一，比较学習外检测方法时，应保留统计方法和传统机器学习基线，不能默认更复杂的深度模型更好。第二，WADI中阀门提前动作的案例，与“各输入项单独正常、但组合关系异常”的第三类学習外输入高度相关。</w:t>
      </w:r>
    </w:p>
    <w:p>
      <w:pPr>
        <w:snapToGrid w:val="0"/>
      </w:pPr>
      <w:r>
        <w:t>作者比较16种方法和5个数据集。研究发现没有一个方法家族在所有条件下稳定占优；深度方法在WADI的部分上下文异常上表现出优势，小数据条件下传统方法仍有竞争力。这些结论限定于本文所选方法、数据和评价设置，不代表深度学习无用，也不能直接推广到今天全部模型。</w:t>
      </w:r>
    </w:p>
    <w:p>
      <w:pPr>
        <w:snapToGrid w:val="0"/>
      </w:pPr>
      <w:r>
        <w:t>本报告首先解释论文各章和必要公式，然后提供日文研究报告、16种方法的统一比较、5个数据集的调查、约5分钟口头稿和问答。引用[R1]对应上传的35页作者稿，页码使用该稿页码。说明例、推导结果和研究建议均与原文实验结果分开标记。</w:t>
      </w:r>
    </w:p>
    <w:p>
      <w:pPr>
        <w:snapToGrid w:val="0"/>
      </w:pPr>
      <w:r>
        <w:t>最需要向带教说明的评价限制是：本文的F1是在归一化得分上搜索1000个阈值后选出的最高值，且使用窗口或时间容忍规则。因此它不等于预先固定阈值、逐点实时运行时能达到的性能。</w:t>
      </w:r>
    </w:p>
    <w:p>
      <w:pPr>
        <w:pStyle w:val="Heading1"/>
        <w:pageBreakBefore/>
        <w:snapToGrid w:val="0"/>
      </w:pPr>
      <w:r>
        <w:t>第一部分 中文逐章精读</w:t>
      </w:r>
    </w:p>
    <w:p>
      <w:pPr>
        <w:pStyle w:val="Heading2"/>
        <w:snapToGrid w:val="0"/>
      </w:pPr>
      <w:r>
        <w:t>1 研究问题和论证主线</w:t>
      </w:r>
    </w:p>
    <w:p>
      <w:pPr>
        <w:pStyle w:val="Heading3"/>
        <w:snapToGrid w:val="0"/>
      </w:pPr>
      <w:r>
        <w:t>Introduction 在讲什么</w:t>
      </w:r>
    </w:p>
    <w:p>
      <w:pPr>
        <w:snapToGrid w:val="0"/>
      </w:pPr>
      <w:r>
        <w:t>近年的异常检测论文经常只比较较新的学习方法。若只与深度网络比较，就算一个新网络胜出，也不能说明它优于统计控制图、PCA或简单距离方法。深度模型增加了训练和调参成本，实际部署需要知道这些成本是否换来了必要收益。[R1，第1节，页2至4]</w:t>
      </w:r>
    </w:p>
    <w:p>
      <w:pPr>
        <w:snapToGrid w:val="0"/>
      </w:pPr>
      <w:r>
        <w:t>作者提出的问题是：在多变量时间序列异常检测中，深度神经网络是否具有稳定且足以支持其复杂性的性能优势？本文的目标是通过跨家族实验检验这一判断，而不是提出一个新的检测器。</w:t>
      </w:r>
    </w:p>
    <w:p>
      <w:pPr>
        <w:pStyle w:val="Heading3"/>
        <w:snapToGrid w:val="0"/>
      </w:pPr>
      <w:r>
        <w:t>核心假设和最终想证明什么</w:t>
      </w:r>
    </w:p>
    <w:p>
      <w:pPr>
        <w:snapToGrid w:val="0"/>
      </w:pPr>
      <w:r>
        <w:t>作者把“复杂模型未必持续优于简单方法”作为研究动机，并观察方法类别、异常类型和数据量对结果的影响。统计检验另有明确的零假设，用来判断家族间得分分布的差异；研究动机与统计零假设不是同一个概念。</w:t>
      </w:r>
    </w:p>
    <w:p>
      <w:pPr>
        <w:snapToGrid w:val="0"/>
      </w:pPr>
      <w:r>
        <w:t>最后支持的判断是：不存在在本文所有条件下稳定领先的家族，应该在基准比较中重新纳入传统方法。对于上下文异常，深度方法的优势有WADI案例支持，但作者自己指出还需要更多数据集验证。[R1，第6节]</w:t>
      </w:r>
    </w:p>
    <w:p>
      <w:pPr>
        <w:pStyle w:val="Heading3"/>
        <w:snapToGrid w:val="0"/>
      </w:pPr>
      <w:r>
        <w:t>与三个检索条件的关系</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条件</w:t>
            </w:r>
          </w:p>
        </w:tc>
        <w:tc>
          <w:tcPr>
            <w:tcW w:type="dxa" w:w="3500"/>
            <w:vAlign w:val="center"/>
            <w:shd w:fill="E8EEF5"/>
          </w:tcPr>
          <w:p>
            <w:pPr>
              <w:pStyle w:val="TableText"/>
              <w:keepNext/>
            </w:pPr>
            <w:r>
              <w:rPr>
                <w:b/>
                <w:color w:val="1F4D78"/>
              </w:rPr>
              <w:t>判断</w:t>
            </w:r>
          </w:p>
        </w:tc>
        <w:tc>
          <w:tcPr>
            <w:tcW w:type="dxa" w:w="3810"/>
            <w:vAlign w:val="center"/>
            <w:shd w:fill="E8EEF5"/>
          </w:tcPr>
          <w:p>
            <w:pPr>
              <w:pStyle w:val="TableText"/>
              <w:keepNext/>
            </w:pPr>
            <w:r>
              <w:rPr>
                <w:b/>
                <w:color w:val="1F4D78"/>
              </w:rPr>
              <w:t>具体说明</w:t>
            </w:r>
          </w:p>
        </w:tc>
      </w:tr>
      <w:tr>
        <w:trPr>
          <w:cantSplit/>
        </w:trPr>
        <w:tc>
          <w:tcPr>
            <w:tcW w:type="dxa" w:w="2050"/>
            <w:vAlign w:val="center"/>
          </w:tcPr>
          <w:p>
            <w:pPr>
              <w:pStyle w:val="TableText"/>
              <w:keepNext/>
            </w:pPr>
            <w:r>
              <w:t>Anomaly detection 或 OOD</w:t>
            </w:r>
          </w:p>
        </w:tc>
        <w:tc>
          <w:tcPr>
            <w:tcW w:type="dxa" w:w="3500"/>
            <w:vAlign w:val="center"/>
          </w:tcPr>
          <w:p>
            <w:pPr>
              <w:pStyle w:val="TableText"/>
              <w:keepNext/>
            </w:pPr>
            <w:r>
              <w:t>✓ 直接研究异常检测</w:t>
            </w:r>
          </w:p>
        </w:tc>
        <w:tc>
          <w:tcPr>
            <w:tcW w:type="dxa" w:w="3810"/>
            <w:vAlign w:val="center"/>
          </w:tcPr>
          <w:p>
            <w:pPr>
              <w:pStyle w:val="TableText"/>
              <w:keepNext/>
            </w:pPr>
            <w:r>
              <w:t>正常历史之外的异常行为 不等于所有统计意义OOD</w:t>
            </w:r>
          </w:p>
        </w:tc>
      </w:tr>
      <w:tr>
        <w:trPr>
          <w:cantSplit/>
        </w:trPr>
        <w:tc>
          <w:tcPr>
            <w:tcW w:type="dxa" w:w="2050"/>
            <w:vAlign w:val="center"/>
          </w:tcPr>
          <w:p>
            <w:pPr>
              <w:pStyle w:val="TableText"/>
              <w:keepNext/>
            </w:pPr>
            <w:r>
              <w:t>多变量时间序列</w:t>
            </w:r>
          </w:p>
        </w:tc>
        <w:tc>
          <w:tcPr>
            <w:tcW w:type="dxa" w:w="3500"/>
            <w:vAlign w:val="center"/>
          </w:tcPr>
          <w:p>
            <w:pPr>
              <w:pStyle w:val="TableText"/>
              <w:keepNext/>
            </w:pPr>
            <w:r>
              <w:t>✓ 核心数据结构</w:t>
            </w:r>
          </w:p>
        </w:tc>
        <w:tc>
          <w:tcPr>
            <w:tcW w:type="dxa" w:w="3810"/>
            <w:vAlign w:val="center"/>
          </w:tcPr>
          <w:p>
            <w:pPr>
              <w:pStyle w:val="TableText"/>
              <w:keepNext/>
            </w:pPr>
            <w:r>
              <w:t>每时刻多个变量 部分方法再组成窗口</w:t>
            </w:r>
          </w:p>
        </w:tc>
      </w:tr>
      <w:tr>
        <w:trPr>
          <w:cantSplit/>
        </w:trPr>
        <w:tc>
          <w:tcPr>
            <w:tcW w:type="dxa" w:w="2050"/>
            <w:vAlign w:val="center"/>
          </w:tcPr>
          <w:p>
            <w:pPr>
              <w:pStyle w:val="TableText"/>
            </w:pPr>
            <w:r>
              <w:t>多变量回归模型</w:t>
            </w:r>
          </w:p>
        </w:tc>
        <w:tc>
          <w:tcPr>
            <w:tcW w:type="dxa" w:w="3500"/>
            <w:vAlign w:val="center"/>
          </w:tcPr>
          <w:p>
            <w:pPr>
              <w:pStyle w:val="TableText"/>
            </w:pPr>
            <w:r>
              <w:t>△ 含VAR等连续值预测方法</w:t>
            </w:r>
          </w:p>
        </w:tc>
        <w:tc>
          <w:tcPr>
            <w:tcW w:type="dxa" w:w="3810"/>
            <w:vAlign w:val="center"/>
          </w:tcPr>
          <w:p>
            <w:pPr>
              <w:pStyle w:val="TableText"/>
            </w:pPr>
            <w:r>
              <w:t>没有统一围绕一个既有业务回归AI判断其输入可靠性</w:t>
            </w:r>
          </w:p>
        </w:tc>
      </w:tr>
    </w:tbl>
    <w:p>
      <w:pPr>
        <w:spacing w:after="0"/>
        <w:snapToGrid w:val="0"/>
      </w:pPr>
    </w:p>
    <w:p>
      <w:pPr>
        <w:snapToGrid w:val="0"/>
      </w:pPr>
      <w:r>
        <w:t>如果把本篇放进文献总表，应标为“比较研究／异常检测／多变量时序”，并在回归列说明“包含预测式方法，但不是针对业务回归模型的统一OOD方案”。</w:t>
      </w:r>
    </w:p>
    <w:p>
      <w:pPr>
        <w:pStyle w:val="Heading3"/>
        <w:snapToGrid w:val="0"/>
      </w:pPr>
      <w:r>
        <w:t>本节真正重要的结论</w:t>
      </w:r>
    </w:p>
    <w:p>
      <w:pPr>
        <w:pStyle w:val="ReportBullet"/>
        <w:keepNext/>
        <w:numPr>
          <w:ilvl w:val="0"/>
          <w:numId w:val="51"/>
        </w:numPr>
        <w:snapToGrid w:val="0"/>
      </w:pPr>
      <w:r>
        <w:t>基线选择决定一个“提升”是否有意义。</w:t>
      </w:r>
    </w:p>
    <w:p>
      <w:pPr>
        <w:pStyle w:val="ReportBullet"/>
        <w:keepNext/>
        <w:numPr>
          <w:ilvl w:val="0"/>
          <w:numId w:val="51"/>
        </w:numPr>
        <w:snapToGrid w:val="0"/>
      </w:pPr>
      <w:r>
        <w:t>本篇提供实验比较证据，可以补充上一篇S6综述的方法分类。</w:t>
      </w:r>
    </w:p>
    <w:p>
      <w:pPr>
        <w:pStyle w:val="ReportBullet"/>
        <w:numPr>
          <w:ilvl w:val="0"/>
          <w:numId w:val="51"/>
        </w:numPr>
        <w:snapToGrid w:val="0"/>
      </w:pPr>
      <w:r>
        <w:t>检测到异常和判断业务回归模型不可靠，需要分别验证。</w:t>
      </w:r>
    </w:p>
    <w:p>
      <w:pPr>
        <w:pStyle w:val="Heading2"/>
        <w:snapToGrid w:val="0"/>
      </w:pPr>
      <w:r>
        <w:t>2 整体结构与各章作用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章节与作者稿页码</w:t>
            </w:r>
          </w:p>
        </w:tc>
        <w:tc>
          <w:tcPr>
            <w:tcW w:type="dxa" w:w="3500"/>
            <w:vAlign w:val="center"/>
            <w:shd w:fill="E8EEF5"/>
          </w:tcPr>
          <w:p>
            <w:pPr>
              <w:pStyle w:val="TableText"/>
            </w:pPr>
            <w:r>
              <w:rPr>
                <w:b/>
                <w:color w:val="1F4D78"/>
              </w:rPr>
              <w:t>主要内容</w:t>
            </w:r>
          </w:p>
        </w:tc>
        <w:tc>
          <w:tcPr>
            <w:tcW w:type="dxa" w:w="3810"/>
            <w:vAlign w:val="center"/>
            <w:shd w:fill="E8EEF5"/>
          </w:tcPr>
          <w:p>
            <w:pPr>
              <w:pStyle w:val="TableText"/>
            </w:pPr>
            <w:r>
              <w:rPr>
                <w:b/>
                <w:color w:val="1F4D78"/>
              </w:rPr>
              <w:t>在论证中的作用</w:t>
            </w:r>
          </w:p>
        </w:tc>
      </w:tr>
      <w:tr>
        <w:trPr>
          <w:cantSplit/>
        </w:trPr>
        <w:tc>
          <w:tcPr>
            <w:tcW w:type="dxa" w:w="2050"/>
            <w:vAlign w:val="center"/>
          </w:tcPr>
          <w:p>
            <w:pPr>
              <w:pStyle w:val="TableText"/>
            </w:pPr>
            <w:r>
              <w:t>1 Introduction 页2至4</w:t>
            </w:r>
          </w:p>
        </w:tc>
        <w:tc>
          <w:tcPr>
            <w:tcW w:type="dxa" w:w="3500"/>
            <w:vAlign w:val="center"/>
          </w:tcPr>
          <w:p>
            <w:pPr>
              <w:pStyle w:val="TableText"/>
            </w:pPr>
            <w:r>
              <w:t>复杂模型的收益是否充分</w:t>
            </w:r>
          </w:p>
        </w:tc>
        <w:tc>
          <w:tcPr>
            <w:tcW w:type="dxa" w:w="3810"/>
            <w:vAlign w:val="center"/>
          </w:tcPr>
          <w:p>
            <w:pPr>
              <w:pStyle w:val="TableText"/>
            </w:pPr>
            <w:r>
              <w:t>提出比较问题</w:t>
            </w:r>
          </w:p>
        </w:tc>
      </w:tr>
      <w:tr>
        <w:trPr>
          <w:cantSplit/>
        </w:trPr>
        <w:tc>
          <w:tcPr>
            <w:tcW w:type="dxa" w:w="2050"/>
            <w:vAlign w:val="center"/>
          </w:tcPr>
          <w:p>
            <w:pPr>
              <w:pStyle w:val="TableText"/>
            </w:pPr>
            <w:r>
              <w:t>2 Related Works 页5至6</w:t>
            </w:r>
          </w:p>
        </w:tc>
        <w:tc>
          <w:tcPr>
            <w:tcW w:type="dxa" w:w="3500"/>
            <w:vAlign w:val="center"/>
          </w:tcPr>
          <w:p>
            <w:pPr>
              <w:pStyle w:val="TableText"/>
            </w:pPr>
            <w:r>
              <w:t>其他领域对DNN收益的质疑</w:t>
            </w:r>
          </w:p>
        </w:tc>
        <w:tc>
          <w:tcPr>
            <w:tcW w:type="dxa" w:w="3810"/>
            <w:vAlign w:val="center"/>
          </w:tcPr>
          <w:p>
            <w:pPr>
              <w:pStyle w:val="TableText"/>
            </w:pPr>
            <w:r>
              <w:t>解释为什么值得重新检验</w:t>
            </w:r>
          </w:p>
        </w:tc>
      </w:tr>
      <w:tr>
        <w:trPr>
          <w:cantSplit/>
        </w:trPr>
        <w:tc>
          <w:tcPr>
            <w:tcW w:type="dxa" w:w="2050"/>
            <w:vAlign w:val="center"/>
          </w:tcPr>
          <w:p>
            <w:pPr>
              <w:pStyle w:val="TableText"/>
            </w:pPr>
            <w:r>
              <w:t>3 Definitions 页6至8</w:t>
            </w:r>
          </w:p>
        </w:tc>
        <w:tc>
          <w:tcPr>
            <w:tcW w:type="dxa" w:w="3500"/>
            <w:vAlign w:val="center"/>
          </w:tcPr>
          <w:p>
            <w:pPr>
              <w:pStyle w:val="TableText"/>
            </w:pPr>
            <w:r>
              <w:t>序列 异常类型 无监督设定</w:t>
            </w:r>
          </w:p>
        </w:tc>
        <w:tc>
          <w:tcPr>
            <w:tcW w:type="dxa" w:w="3810"/>
            <w:vAlign w:val="center"/>
          </w:tcPr>
          <w:p>
            <w:pPr>
              <w:pStyle w:val="TableText"/>
            </w:pPr>
            <w:r>
              <w:t>明确检测对象和标签</w:t>
            </w:r>
          </w:p>
        </w:tc>
      </w:tr>
      <w:tr>
        <w:trPr>
          <w:cantSplit/>
        </w:trPr>
        <w:tc>
          <w:tcPr>
            <w:tcW w:type="dxa" w:w="2050"/>
            <w:vAlign w:val="center"/>
          </w:tcPr>
          <w:p>
            <w:pPr>
              <w:pStyle w:val="TableText"/>
            </w:pPr>
            <w:r>
              <w:t>4 Methods 页9至19</w:t>
            </w:r>
          </w:p>
        </w:tc>
        <w:tc>
          <w:tcPr>
            <w:tcW w:type="dxa" w:w="3500"/>
            <w:vAlign w:val="center"/>
          </w:tcPr>
          <w:p>
            <w:pPr>
              <w:pStyle w:val="TableText"/>
            </w:pPr>
            <w:r>
              <w:t>7种传统 4种ML 5种DNN</w:t>
            </w:r>
          </w:p>
        </w:tc>
        <w:tc>
          <w:tcPr>
            <w:tcW w:type="dxa" w:w="3810"/>
            <w:vAlign w:val="center"/>
          </w:tcPr>
          <w:p>
            <w:pPr>
              <w:pStyle w:val="TableText"/>
            </w:pPr>
            <w:r>
              <w:t>规定比较对象及检测依据</w:t>
            </w:r>
          </w:p>
        </w:tc>
      </w:tr>
      <w:tr>
        <w:trPr>
          <w:cantSplit/>
        </w:trPr>
        <w:tc>
          <w:tcPr>
            <w:tcW w:type="dxa" w:w="2050"/>
            <w:vAlign w:val="center"/>
          </w:tcPr>
          <w:p>
            <w:pPr>
              <w:pStyle w:val="TableText"/>
            </w:pPr>
            <w:r>
              <w:t>5.1 Setup 页19至21</w:t>
            </w:r>
          </w:p>
        </w:tc>
        <w:tc>
          <w:tcPr>
            <w:tcW w:type="dxa" w:w="3500"/>
            <w:vAlign w:val="center"/>
          </w:tcPr>
          <w:p>
            <w:pPr>
              <w:pStyle w:val="TableText"/>
            </w:pPr>
            <w:r>
              <w:t>数据划分 F1 AP 评价规则</w:t>
            </w:r>
          </w:p>
        </w:tc>
        <w:tc>
          <w:tcPr>
            <w:tcW w:type="dxa" w:w="3810"/>
            <w:vAlign w:val="center"/>
          </w:tcPr>
          <w:p>
            <w:pPr>
              <w:pStyle w:val="TableText"/>
            </w:pPr>
            <w:r>
              <w:t>定义比较是否公平</w:t>
            </w:r>
          </w:p>
        </w:tc>
      </w:tr>
      <w:tr>
        <w:trPr>
          <w:cantSplit/>
        </w:trPr>
        <w:tc>
          <w:tcPr>
            <w:tcW w:type="dxa" w:w="2050"/>
            <w:vAlign w:val="center"/>
          </w:tcPr>
          <w:p>
            <w:pPr>
              <w:pStyle w:val="TableText"/>
            </w:pPr>
            <w:r>
              <w:t>5.2 Performance 页21至24</w:t>
            </w:r>
          </w:p>
        </w:tc>
        <w:tc>
          <w:tcPr>
            <w:tcW w:type="dxa" w:w="3500"/>
            <w:vAlign w:val="center"/>
          </w:tcPr>
          <w:p>
            <w:pPr>
              <w:pStyle w:val="TableText"/>
            </w:pPr>
            <w:r>
              <w:t>家族得分 箱线图 统计检验</w:t>
            </w:r>
          </w:p>
        </w:tc>
        <w:tc>
          <w:tcPr>
            <w:tcW w:type="dxa" w:w="3810"/>
            <w:vAlign w:val="center"/>
          </w:tcPr>
          <w:p>
            <w:pPr>
              <w:pStyle w:val="TableText"/>
            </w:pPr>
            <w:r>
              <w:t>检验是否有稳定优势</w:t>
            </w:r>
          </w:p>
        </w:tc>
      </w:tr>
      <w:tr>
        <w:trPr>
          <w:cantSplit/>
        </w:trPr>
        <w:tc>
          <w:tcPr>
            <w:tcW w:type="dxa" w:w="2050"/>
            <w:vAlign w:val="center"/>
          </w:tcPr>
          <w:p>
            <w:pPr>
              <w:pStyle w:val="TableText"/>
            </w:pPr>
            <w:r>
              <w:t>5.3 WADI 页22至26</w:t>
            </w:r>
          </w:p>
        </w:tc>
        <w:tc>
          <w:tcPr>
            <w:tcW w:type="dxa" w:w="3500"/>
            <w:vAlign w:val="center"/>
          </w:tcPr>
          <w:p>
            <w:pPr>
              <w:pStyle w:val="TableText"/>
            </w:pPr>
            <w:r>
              <w:t>漏检事件和阀门液位案例</w:t>
            </w:r>
          </w:p>
        </w:tc>
        <w:tc>
          <w:tcPr>
            <w:tcW w:type="dxa" w:w="3810"/>
            <w:vAlign w:val="center"/>
          </w:tcPr>
          <w:p>
            <w:pPr>
              <w:pStyle w:val="TableText"/>
            </w:pPr>
            <w:r>
              <w:t>解释优势可能来自什么异常</w:t>
            </w:r>
          </w:p>
        </w:tc>
      </w:tr>
      <w:tr>
        <w:trPr>
          <w:cantSplit/>
        </w:trPr>
        <w:tc>
          <w:tcPr>
            <w:tcW w:type="dxa" w:w="2050"/>
            <w:vAlign w:val="center"/>
          </w:tcPr>
          <w:p>
            <w:pPr>
              <w:pStyle w:val="TableText"/>
            </w:pPr>
            <w:r>
              <w:t>5.4 Training size 页24至26</w:t>
            </w:r>
          </w:p>
        </w:tc>
        <w:tc>
          <w:tcPr>
            <w:tcW w:type="dxa" w:w="3500"/>
            <w:vAlign w:val="center"/>
          </w:tcPr>
          <w:p>
            <w:pPr>
              <w:pStyle w:val="TableText"/>
            </w:pPr>
            <w:r>
              <w:t>保留最近10%至75%训练数据</w:t>
            </w:r>
          </w:p>
        </w:tc>
        <w:tc>
          <w:tcPr>
            <w:tcW w:type="dxa" w:w="3810"/>
            <w:vAlign w:val="center"/>
          </w:tcPr>
          <w:p>
            <w:pPr>
              <w:pStyle w:val="TableText"/>
            </w:pPr>
            <w:r>
              <w:t>观察数据量条件的影响</w:t>
            </w:r>
          </w:p>
        </w:tc>
      </w:tr>
      <w:tr>
        <w:trPr>
          <w:cantSplit/>
        </w:trPr>
        <w:tc>
          <w:tcPr>
            <w:tcW w:type="dxa" w:w="2050"/>
            <w:vAlign w:val="center"/>
          </w:tcPr>
          <w:p>
            <w:pPr>
              <w:pStyle w:val="TableText"/>
            </w:pPr>
            <w:r>
              <w:t>5.5 Discussion 页26至28</w:t>
            </w:r>
          </w:p>
        </w:tc>
        <w:tc>
          <w:tcPr>
            <w:tcW w:type="dxa" w:w="3500"/>
            <w:vAlign w:val="center"/>
          </w:tcPr>
          <w:p>
            <w:pPr>
              <w:pStyle w:val="TableText"/>
            </w:pPr>
            <w:r>
              <w:t>计算 扩展性 复现性</w:t>
            </w:r>
          </w:p>
        </w:tc>
        <w:tc>
          <w:tcPr>
            <w:tcW w:type="dxa" w:w="3810"/>
            <w:vAlign w:val="center"/>
          </w:tcPr>
          <w:p>
            <w:pPr>
              <w:pStyle w:val="TableText"/>
            </w:pPr>
            <w:r>
              <w:t>形成选择方法的实践建议</w:t>
            </w:r>
          </w:p>
        </w:tc>
      </w:tr>
      <w:tr>
        <w:trPr>
          <w:cantSplit/>
        </w:trPr>
        <w:tc>
          <w:tcPr>
            <w:tcW w:type="dxa" w:w="2050"/>
            <w:vAlign w:val="center"/>
          </w:tcPr>
          <w:p>
            <w:pPr>
              <w:pStyle w:val="TableText"/>
            </w:pPr>
            <w:r>
              <w:t>6 Conclusion 页28至30</w:t>
            </w:r>
          </w:p>
        </w:tc>
        <w:tc>
          <w:tcPr>
            <w:tcW w:type="dxa" w:w="3500"/>
            <w:vAlign w:val="center"/>
          </w:tcPr>
          <w:p>
            <w:pPr>
              <w:pStyle w:val="TableText"/>
            </w:pPr>
            <w:r>
              <w:t>综合结论与证据边界</w:t>
            </w:r>
          </w:p>
        </w:tc>
        <w:tc>
          <w:tcPr>
            <w:tcW w:type="dxa" w:w="3810"/>
            <w:vAlign w:val="center"/>
          </w:tcPr>
          <w:p>
            <w:pPr>
              <w:pStyle w:val="TableText"/>
            </w:pPr>
            <w:r>
              <w:t>回答研究问题</w:t>
            </w:r>
          </w:p>
        </w:tc>
      </w:tr>
    </w:tbl>
    <w:p>
      <w:pPr>
        <w:spacing w:after="0"/>
        <w:snapToGrid w:val="0"/>
      </w:pPr>
    </w:p>
    <w:p>
      <w:pPr>
        <w:snapToGrid w:val="0"/>
      </w:pPr>
      <w:r>
        <w:t>参考文献延伸到第35页。图和表浮动排版导致各节页码重叠；例如第5.3节开始于第22页，而表2位于第24页。</w:t>
      </w:r>
    </w:p>
    <w:p>
      <w:pPr>
        <w:pStyle w:val="Heading3"/>
        <w:snapToGrid w:val="0"/>
      </w:pPr>
      <w:r>
        <w:t>Related Works 应如何理解</w:t>
      </w:r>
    </w:p>
    <w:p>
      <w:pPr>
        <w:snapToGrid w:val="0"/>
      </w:pPr>
      <w:r>
        <w:t>作者引用图像重建、医学分割和预测竞赛等工作，说明“增加复杂度未必改善结果”的研究动机。这些任务不是本篇的异常检测实验，不能用那些结果直接证明统计异常检测更好。[R1，第2节]</w:t>
      </w:r>
    </w:p>
    <w:p>
      <w:pPr>
        <w:snapToGrid w:val="0"/>
      </w:pPr>
      <w:r>
        <w:t>该节的作用是提出疑问而非提前给出答案。本次汇报无需逐篇展开与实习关联较弱的图像论文，重点是理解为什么实验要同时覆盖三类方法。</w:t>
      </w:r>
    </w:p>
    <w:p>
      <w:pPr>
        <w:pStyle w:val="Heading3"/>
        <w:snapToGrid w:val="0"/>
      </w:pPr>
      <w:r>
        <w:t>本节结论</w:t>
      </w:r>
    </w:p>
    <w:p>
      <w:pPr>
        <w:pStyle w:val="ReportBullet"/>
        <w:keepNext/>
        <w:numPr>
          <w:ilvl w:val="0"/>
          <w:numId w:val="51"/>
        </w:numPr>
        <w:snapToGrid w:val="0"/>
      </w:pPr>
      <w:r>
        <w:t>这篇包含作者实际执行的比较实验，不能当作纯综述。</w:t>
      </w:r>
    </w:p>
    <w:p>
      <w:pPr>
        <w:pStyle w:val="ReportBullet"/>
        <w:numPr>
          <w:ilvl w:val="0"/>
          <w:numId w:val="51"/>
        </w:numPr>
        <w:snapToGrid w:val="0"/>
      </w:pPr>
      <w:r>
        <w:t>第5节是精读重点，方法描述要与评价规则一起看。</w:t>
      </w:r>
    </w:p>
    <w:p>
      <w:pPr>
        <w:pStyle w:val="Heading2"/>
        <w:snapToGrid w:val="0"/>
      </w:pPr>
      <w:r>
        <w:t>3 定义章节和学習外的含义</w:t>
      </w:r>
    </w:p>
    <w:p>
      <w:pPr>
        <w:pStyle w:val="Heading3"/>
        <w:snapToGrid w:val="0"/>
      </w:pPr>
      <w:r>
        <w:t>多变量时序和窗口</w:t>
      </w:r>
    </w:p>
    <w:p>
      <w:pPr>
        <w:snapToGrid w:val="0"/>
      </w:pPr>
      <w:r>
        <w:t>每个时刻的观测x_t属于m维实数空间，整条序列是按时间排列的观测集合。窗口W_t含最近K个时刻。[R1，第3节及第4.3节]</w:t>
      </w:r>
    </w:p>
    <w:p>
      <w:pPr>
        <w:pStyle w:val="EquationText"/>
        <w:jc w:val="center"/>
        <w:snapToGrid w:val="0"/>
      </w:pPr>
      <w:r/>
      <m:oMath>
        <m:sSub>
          <m:e>
            <m:r>
              <m:t>x</m:t>
            </m:r>
          </m:e>
          <m:sub>
            <m:r>
              <m:t>t</m:t>
            </m:r>
          </m:sub>
        </m:sSub>
        <m:r>
          <m:t> </m:t>
        </m:r>
        <m:r>
          <m:t>∈</m:t>
        </m:r>
        <m:r>
          <m:t> </m:t>
        </m:r>
        <m:sSup>
          <m:e>
            <m:r>
              <m:t>ℝ</m:t>
            </m:r>
          </m:e>
          <m:sup>
            <m:r>
              <m:t>m</m:t>
            </m:r>
          </m:sup>
        </m:sSup>
        <m:r>
          <m:t> </m:t>
        </m:r>
        <m:r>
          <m:t>;</m:t>
        </m:r>
        <m:r>
          <m:t> </m:t>
        </m:r>
        <m:sSub>
          <m:e>
            <m:r>
              <m:t>W</m:t>
            </m:r>
          </m:e>
          <m:sub>
            <m:r>
              <m:t>t</m:t>
            </m:r>
          </m:sub>
        </m:sSub>
        <m:r>
          <m:t> </m:t>
        </m:r>
        <m:r>
          <m:t>=</m:t>
        </m:r>
        <m:r>
          <m:t> </m:t>
        </m:r>
        <m:r>
          <m:t>(</m:t>
        </m:r>
        <m:sSub>
          <m:e>
            <m:r>
              <m:t>x</m:t>
            </m:r>
          </m:e>
          <m:sub>
            <m:r>
              <m:t>t</m:t>
            </m:r>
            <m:r>
              <m:t>−</m:t>
            </m:r>
            <m:r>
              <m:t>K</m:t>
            </m:r>
            <m:r>
              <m:t>+</m:t>
            </m:r>
            <m:r>
              <m:t>1</m:t>
            </m:r>
          </m:sub>
        </m:sSub>
        <m:r>
          <m:t>,</m:t>
        </m:r>
        <m:r>
          <m:t> </m:t>
        </m:r>
        <m:r>
          <m:t>…</m:t>
        </m:r>
        <m:r>
          <m:t>,</m:t>
        </m:r>
        <m:r>
          <m:t> </m:t>
        </m:r>
        <m:sSub>
          <m:e>
            <m:r>
              <m:t>x</m:t>
            </m:r>
          </m:e>
          <m:sub>
            <m:r>
              <m:t>t</m:t>
            </m:r>
          </m:sub>
        </m:sSub>
        <m:r>
          <m:t>)</m:t>
        </m:r>
      </m:oMath>
    </w:p>
    <w:p>
      <w:pPr>
        <w:snapToGrid w:val="0"/>
      </w:pPr>
      <w:r>
        <w:t>m是变量数量，K是输入窗口长度。若m=2、K=3，一次窗口输入可写成[(1,2),(2,4),(3,6)]，共有6个标量。扁平化时变成6维向量；RNN则可保留3×2结构。这两种做法接收相同数值，却带有不同的结构假设。</w:t>
      </w:r>
    </w:p>
    <w:p>
      <w:pPr>
        <w:snapToGrid w:val="0"/>
      </w:pPr>
      <w:r>
        <w:t>本文使用的“无监督”设定是假定训练数据只有正常点，通过学习正常性检测后续异常。这更具体地说是正常数据训练或one-class/novelty detection设定。一般的无标签训练集并不自动没有异常。</w:t>
      </w:r>
    </w:p>
    <w:p>
      <w:pPr>
        <w:pStyle w:val="Heading3"/>
        <w:snapToGrid w:val="0"/>
      </w:pPr>
      <w:r>
        <w:t>三种异常与用户三类学習外的关系</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论文分类</w:t>
            </w:r>
          </w:p>
        </w:tc>
        <w:tc>
          <w:tcPr>
            <w:tcW w:type="dxa" w:w="3500"/>
            <w:vAlign w:val="center"/>
            <w:shd w:fill="E8EEF5"/>
          </w:tcPr>
          <w:p>
            <w:pPr>
              <w:pStyle w:val="TableText"/>
              <w:keepNext/>
            </w:pPr>
            <w:r>
              <w:rPr>
                <w:b/>
                <w:color w:val="1F4D78"/>
              </w:rPr>
              <w:t>含义与例子</w:t>
            </w:r>
          </w:p>
        </w:tc>
        <w:tc>
          <w:tcPr>
            <w:tcW w:type="dxa" w:w="3810"/>
            <w:vAlign w:val="center"/>
            <w:shd w:fill="E8EEF5"/>
          </w:tcPr>
          <w:p>
            <w:pPr>
              <w:pStyle w:val="TableText"/>
              <w:keepNext/>
            </w:pPr>
            <w:r>
              <w:rPr>
                <w:b/>
                <w:color w:val="1F4D78"/>
              </w:rPr>
              <w:t>与①②③的关系</w:t>
            </w:r>
          </w:p>
        </w:tc>
      </w:tr>
      <w:tr>
        <w:trPr>
          <w:cantSplit/>
        </w:trPr>
        <w:tc>
          <w:tcPr>
            <w:tcW w:type="dxa" w:w="2050"/>
            <w:vAlign w:val="center"/>
          </w:tcPr>
          <w:p>
            <w:pPr>
              <w:pStyle w:val="TableText"/>
              <w:keepNext/>
            </w:pPr>
            <w:r>
              <w:t>Point anomaly</w:t>
            </w:r>
          </w:p>
        </w:tc>
        <w:tc>
          <w:tcPr>
            <w:tcW w:type="dxa" w:w="3500"/>
            <w:vAlign w:val="center"/>
          </w:tcPr>
          <w:p>
            <w:pPr>
              <w:pStyle w:val="TableText"/>
              <w:keepNext/>
            </w:pPr>
            <w:r>
              <w:t>一个点明显不同于其余数据</w:t>
            </w:r>
          </w:p>
        </w:tc>
        <w:tc>
          <w:tcPr>
            <w:tcW w:type="dxa" w:w="3810"/>
            <w:vAlign w:val="center"/>
          </w:tcPr>
          <w:p>
            <w:pPr>
              <w:pStyle w:val="TableText"/>
              <w:keepNext/>
            </w:pPr>
            <w:r>
              <w:t>可能是①越界或联合分布偏离</w:t>
            </w:r>
          </w:p>
        </w:tc>
      </w:tr>
      <w:tr>
        <w:trPr>
          <w:cantSplit/>
        </w:trPr>
        <w:tc>
          <w:tcPr>
            <w:tcW w:type="dxa" w:w="2050"/>
            <w:vAlign w:val="center"/>
          </w:tcPr>
          <w:p>
            <w:pPr>
              <w:pStyle w:val="TableText"/>
              <w:keepNext/>
            </w:pPr>
            <w:r>
              <w:t>Contextual anomaly</w:t>
            </w:r>
          </w:p>
        </w:tc>
        <w:tc>
          <w:tcPr>
            <w:tcW w:type="dxa" w:w="3500"/>
            <w:vAlign w:val="center"/>
          </w:tcPr>
          <w:p>
            <w:pPr>
              <w:pStyle w:val="TableText"/>
              <w:keepNext/>
            </w:pPr>
            <w:r>
              <w:t>某上下文异常 换个上下文可正常</w:t>
            </w:r>
          </w:p>
        </w:tc>
        <w:tc>
          <w:tcPr>
            <w:tcW w:type="dxa" w:w="3810"/>
            <w:vAlign w:val="center"/>
          </w:tcPr>
          <w:p>
            <w:pPr>
              <w:pStyle w:val="TableText"/>
              <w:keepNext/>
            </w:pPr>
            <w:r>
              <w:t>可能是③变量组合关系异常 也可能只是时间上下文变化</w:t>
            </w:r>
          </w:p>
        </w:tc>
      </w:tr>
      <w:tr>
        <w:trPr>
          <w:cantSplit/>
        </w:trPr>
        <w:tc>
          <w:tcPr>
            <w:tcW w:type="dxa" w:w="2050"/>
            <w:vAlign w:val="center"/>
          </w:tcPr>
          <w:p>
            <w:pPr>
              <w:pStyle w:val="TableText"/>
            </w:pPr>
            <w:r>
              <w:t>Collective anomaly</w:t>
            </w:r>
          </w:p>
        </w:tc>
        <w:tc>
          <w:tcPr>
            <w:tcW w:type="dxa" w:w="3500"/>
            <w:vAlign w:val="center"/>
          </w:tcPr>
          <w:p>
            <w:pPr>
              <w:pStyle w:val="TableText"/>
            </w:pPr>
            <w:r>
              <w:t>单点可以正常 一段共同出现异常</w:t>
            </w:r>
          </w:p>
        </w:tc>
        <w:tc>
          <w:tcPr>
            <w:tcW w:type="dxa" w:w="3810"/>
            <w:vAlign w:val="center"/>
          </w:tcPr>
          <w:p>
            <w:pPr>
              <w:pStyle w:val="TableText"/>
            </w:pPr>
            <w:r>
              <w:t>把窗口作为输入时可表现为①或③</w:t>
            </w:r>
          </w:p>
        </w:tc>
      </w:tr>
    </w:tbl>
    <w:p>
      <w:pPr>
        <w:spacing w:after="0"/>
        <w:snapToGrid w:val="0"/>
      </w:pPr>
    </w:p>
    <w:p>
      <w:pPr>
        <w:snapToGrid w:val="0"/>
      </w:pPr>
      <w:r>
        <w:t>用户①为训练分布或范围之外；②为训练数据稀少、学习不足；③为各项在范围内但组合或相关关系不同。它们与point/contextual/collective不是同一条分类轴。特别是②没有被本文定义成独立异常类型。</w:t>
      </w:r>
    </w:p>
    <w:p>
      <w:pPr>
        <w:snapToGrid w:val="0"/>
      </w:pPr>
      <w:r>
        <w:t>如果①中的分布指完整联合分布，那么③本身属于联合分布偏离的一种。为研究原因可分别记录，但不能把三类说成严格互斥的数学划分。</w:t>
      </w:r>
    </w:p>
    <w:p>
      <w:pPr>
        <w:pStyle w:val="Heading3"/>
        <w:snapToGrid w:val="0"/>
      </w:pPr>
      <w:r>
        <w:t>关键假设的直观含义</w:t>
      </w:r>
    </w:p>
    <w:p>
      <w:pPr>
        <w:snapToGrid w:val="0"/>
      </w:pPr>
      <w:r>
        <w:t>正常数据具有可学习的结构，异常通常偏离该结构且较少见。但“少见”不必然是故障。正常的首次工况可能罕见；反复出现的故障也可能不稀少。检测分数表达模型定义的偏离程度，不直接给出物理异常真值。</w:t>
      </w:r>
    </w:p>
    <w:p>
      <w:pPr>
        <w:pStyle w:val="Heading3"/>
        <w:snapToGrid w:val="0"/>
      </w:pPr>
      <w:r>
        <w:t>本节结论</w:t>
      </w:r>
    </w:p>
    <w:p>
      <w:pPr>
        <w:pStyle w:val="ReportBullet"/>
        <w:keepNext/>
        <w:numPr>
          <w:ilvl w:val="0"/>
          <w:numId w:val="51"/>
        </w:numPr>
        <w:snapToGrid w:val="0"/>
      </w:pPr>
      <w:r>
        <w:t>本文重点是从正常数据学习后检测异常。</w:t>
      </w:r>
    </w:p>
    <w:p>
      <w:pPr>
        <w:pStyle w:val="ReportBullet"/>
        <w:keepNext/>
        <w:numPr>
          <w:ilvl w:val="0"/>
          <w:numId w:val="51"/>
        </w:numPr>
        <w:snapToGrid w:val="0"/>
      </w:pPr>
      <w:r>
        <w:t>WADI上下文案例对应③，但不是全部contextual anomaly都对应③。</w:t>
      </w:r>
    </w:p>
    <w:p>
      <w:pPr>
        <w:pStyle w:val="ReportBullet"/>
        <w:numPr>
          <w:ilvl w:val="0"/>
          <w:numId w:val="51"/>
        </w:numPr>
        <w:snapToGrid w:val="0"/>
      </w:pPr>
      <w:r>
        <w:t>减少总训练量的实验不能直接等同于验证②低密度区域。</w:t>
      </w:r>
    </w:p>
    <w:p>
      <w:pPr>
        <w:pStyle w:val="Heading2"/>
        <w:snapToGrid w:val="0"/>
      </w:pPr>
      <w:r>
        <w:t>4 方法分类及传统方法的解释</w:t>
      </w:r>
    </w:p>
    <w:p>
      <w:pPr>
        <w:pStyle w:val="Heading3"/>
        <w:snapToGrid w:val="0"/>
      </w:pPr>
      <w:r>
        <w:t>这一节为什么重要</w:t>
      </w:r>
    </w:p>
    <w:p>
      <w:pPr>
        <w:snapToGrid w:val="0"/>
      </w:pPr>
      <w:r>
        <w:t>第4节先把方法分成传统、机器学习和深度网络三家族，再解释每类内部机制。它让实验不局限在同一技术路线。[R1，第4节]</w:t>
      </w:r>
    </w:p>
    <w:p>
      <w:pPr>
        <w:snapToGrid w:val="0"/>
      </w:pPr>
      <w:r>
        <w:t>三家族是一种比较组织方式，不是严格互斥的数学概念。DNN也是机器学习；PCA和VAR也需要从数据估计参数。因此总报告应同时记录“作者家族”和“检测依据”，不能把传统方法写成完全不学习。</w:t>
      </w:r>
    </w:p>
    <w:p>
      <w:pPr>
        <w:pStyle w:val="Heading3"/>
        <w:snapToGrid w:val="0"/>
      </w:pPr>
      <w:r>
        <w:t>控制图 MCUSUM 和 MEWMA</w:t>
      </w:r>
    </w:p>
    <w:p>
      <w:pPr>
        <w:snapToGrid w:val="0"/>
      </w:pPr>
      <w:r>
        <w:t>MCUSUM把小的持续偏移积累起来。单次偏差不大，但反复同向出现会推动累计统计量超过阈值。原文给出简化递推：</w:t>
      </w:r>
    </w:p>
    <w:p>
      <w:pPr>
        <w:pStyle w:val="EquationText"/>
        <w:jc w:val="center"/>
        <w:snapToGrid w:val="0"/>
      </w:pPr>
      <w:r/>
      <m:oMath>
        <m:sSub>
          <m:e>
            <m:r>
              <m:t>g</m:t>
            </m:r>
          </m:e>
          <m:sub>
            <m:r>
              <m:t>t</m:t>
            </m:r>
          </m:sub>
        </m:sSub>
        <m:r>
          <m:t> </m:t>
        </m:r>
        <m:r>
          <m:t>=</m:t>
        </m:r>
        <m:r>
          <m:t> </m:t>
        </m:r>
        <m:r>
          <m:t>m</m:t>
        </m:r>
        <m:r>
          <m:t>a</m:t>
        </m:r>
        <m:r>
          <m:t>x</m:t>
        </m:r>
        <m:r>
          <m:t>(</m:t>
        </m:r>
        <m:r>
          <m:t>0</m:t>
        </m:r>
        <m:r>
          <m:t>,</m:t>
        </m:r>
        <m:r>
          <m:t> </m:t>
        </m:r>
        <m:sSub>
          <m:e>
            <m:r>
              <m:t>S</m:t>
            </m:r>
          </m:e>
          <m:sub>
            <m:r>
              <m:t>t</m:t>
            </m:r>
          </m:sub>
        </m:sSub>
        <m:r>
          <m:t> </m:t>
        </m:r>
        <m:r>
          <m:t>−</m:t>
        </m:r>
        <m:r>
          <m:t> </m:t>
        </m:r>
        <m:r>
          <m:t>μ</m:t>
        </m:r>
        <m:r>
          <m:t> </m:t>
        </m:r>
        <m:r>
          <m:t>+</m:t>
        </m:r>
        <m:r>
          <m:t> </m:t>
        </m:r>
        <m:sSub>
          <m:e>
            <m:r>
              <m:t>g</m:t>
            </m:r>
          </m:e>
          <m:sub>
            <m:r>
              <m:t>t</m:t>
            </m:r>
            <m:r>
              <m:t>−</m:t>
            </m:r>
            <m:r>
              <m:t>1</m:t>
            </m:r>
          </m:sub>
        </m:sSub>
        <m:r>
          <m:t>)</m:t>
        </m:r>
      </m:oMath>
    </w:p>
    <w:p>
      <w:pPr>
        <w:snapToGrid w:val="0"/>
      </w:pPr>
      <w:r>
        <w:t>S_t是某个监控统计量，μ是正常参考值，g_t是累计偏差。超过阈值h报警并重置。它不是一个完整指定协方差、参考值和多元方向的通用MCUSUM实现。</w:t>
      </w:r>
    </w:p>
    <w:p>
      <w:pPr>
        <w:snapToGrid w:val="0"/>
      </w:pPr>
      <w:r>
        <w:t>说明例：若正常参考统计量为0，连续偏差为0.2、0.2、0.2，累计量为0.2、0.4、0.6。阈值0.5在第三步触发。此例解释持续漂移，不能视为本文实验参数。</w:t>
      </w:r>
    </w:p>
    <w:p>
      <w:pPr>
        <w:snapToGrid w:val="0"/>
      </w:pPr>
      <w:r>
        <w:t>MEWMA按指数权重平滑近期观测：</w:t>
      </w:r>
    </w:p>
    <w:p>
      <w:pPr>
        <w:pStyle w:val="EquationText"/>
        <w:jc w:val="center"/>
        <w:snapToGrid w:val="0"/>
      </w:pPr>
      <w:r/>
      <m:oMath>
        <m:sSub>
          <m:e>
            <m:r>
              <m:t>g</m:t>
            </m:r>
          </m:e>
          <m:sub>
            <m:r>
              <m:t>t</m:t>
            </m:r>
          </m:sub>
        </m:sSub>
        <m:r>
          <m:t> </m:t>
        </m:r>
        <m:r>
          <m:t>=</m:t>
        </m:r>
        <m:r>
          <m:t> </m:t>
        </m:r>
        <m:r>
          <m:t>λ</m:t>
        </m:r>
        <m:sSub>
          <m:e>
            <m:r>
              <m:t>x</m:t>
            </m:r>
          </m:e>
          <m:sub>
            <m:r>
              <m:t>t</m:t>
            </m:r>
          </m:sub>
        </m:sSub>
        <m:r>
          <m:t> </m:t>
        </m:r>
        <m:r>
          <m:t>+</m:t>
        </m:r>
        <m:r>
          <m:t> </m:t>
        </m:r>
        <m:r>
          <m:t>(</m:t>
        </m:r>
        <m:r>
          <m:t>1</m:t>
        </m:r>
        <m:r>
          <m:t>−</m:t>
        </m:r>
        <m:r>
          <m:t>λ</m:t>
        </m:r>
        <m:r>
          <m:t>)</m:t>
        </m:r>
        <m:sSub>
          <m:e>
            <m:r>
              <m:t>g</m:t>
            </m:r>
          </m:e>
          <m:sub>
            <m:r>
              <m:t>t</m:t>
            </m:r>
            <m:r>
              <m:t>−</m:t>
            </m:r>
            <m:r>
              <m:t>1</m:t>
            </m:r>
          </m:sub>
        </m:sSub>
      </m:oMath>
    </w:p>
    <w:p>
      <w:pPr>
        <w:snapToGrid w:val="0"/>
      </w:pPr>
      <w:r>
        <w:t>λ接近1时更重视当前值；接近0时记忆更长。二维例：λ=0.2、上一状态(0,0)、当前偏差(2,−1)，新状态为(0.4,−0.2)。完整多元控制图还需把向量转成基于正常协方差等信息的标量监控统计量；上式本身不是最终异常判定。</w:t>
      </w:r>
    </w:p>
    <w:p>
      <w:pPr>
        <w:snapToGrid w:val="0"/>
      </w:pPr>
      <w:r>
        <w:t>这些方法可监控均值或持续变化，但自相关、模式切换、协方差估计都会影响误报警。多元统计量可能利用变量关系，不能断言传统控制图只会检测单列越界。</w:t>
      </w:r>
    </w:p>
    <w:p>
      <w:pPr>
        <w:pStyle w:val="Heading3"/>
        <w:snapToGrid w:val="0"/>
      </w:pPr>
      <w:r>
        <w:t>VAR 为什么同时属于回归和时序方法</w:t>
      </w:r>
    </w:p>
    <w:p>
      <w:pPr>
        <w:snapToGrid w:val="0"/>
      </w:pPr>
      <w:r>
        <w:t>VAR用每个变量自己的过去以及其他变量的过去预测当前值。一个通用VAR(p)写法是：</w:t>
      </w:r>
    </w:p>
    <w:p>
      <w:pPr>
        <w:pStyle w:val="EquationText"/>
        <w:jc w:val="center"/>
        <w:snapToGrid w:val="0"/>
      </w:pPr>
      <w:r/>
      <m:oMath>
        <m:sSub>
          <m:e>
            <m:r>
              <m:t>x</m:t>
            </m:r>
          </m:e>
          <m:sub>
            <m:r>
              <m:t>t</m:t>
            </m:r>
          </m:sub>
        </m:sSub>
        <m:r>
          <m:t> </m:t>
        </m:r>
        <m:r>
          <m:t>=</m:t>
        </m:r>
        <m:r>
          <m:t> </m:t>
        </m:r>
        <m:r>
          <m:t>c</m:t>
        </m:r>
        <m:r>
          <m:t> </m:t>
        </m:r>
        <m:r>
          <m:t>+</m:t>
        </m:r>
        <m:r>
          <m:t> </m:t>
        </m:r>
        <m:sSup>
          <m:e>
            <m:sSub>
              <m:e>
                <m:r>
                  <m:t>Σ</m:t>
                </m:r>
              </m:e>
              <m:sub>
                <m:r>
                  <m:t>ℓ</m:t>
                </m:r>
                <m:r>
                  <m:t>=</m:t>
                </m:r>
                <m:r>
                  <m:t>1</m:t>
                </m:r>
              </m:sub>
            </m:sSub>
          </m:e>
          <m:sup>
            <m:r>
              <m:t>p</m:t>
            </m:r>
          </m:sup>
        </m:sSup>
        <m:r>
          <m:t> </m:t>
        </m:r>
        <m:sSub>
          <m:e>
            <m:r>
              <m:t>A</m:t>
            </m:r>
          </m:e>
          <m:sub>
            <m:r>
              <m:t>ℓ</m:t>
            </m:r>
          </m:sub>
        </m:sSub>
        <m:r>
          <m:t> </m:t>
        </m:r>
        <m:sSub>
          <m:e>
            <m:r>
              <m:t>x</m:t>
            </m:r>
          </m:e>
          <m:sub>
            <m:r>
              <m:t>t</m:t>
            </m:r>
            <m:r>
              <m:t>−</m:t>
            </m:r>
            <m:r>
              <m:t>ℓ</m:t>
            </m:r>
          </m:sub>
        </m:sSub>
        <m:r>
          <m:t> </m:t>
        </m:r>
        <m:r>
          <m:t>+</m:t>
        </m:r>
        <m:r>
          <m:t> </m:t>
        </m:r>
        <m:sSub>
          <m:e>
            <m:r>
              <m:t>ε</m:t>
            </m:r>
          </m:e>
          <m:sub>
            <m:r>
              <m:t>t</m:t>
            </m:r>
          </m:sub>
        </m:sSub>
      </m:oMath>
    </w:p>
    <w:p>
      <w:pPr>
        <w:snapToGrid w:val="0"/>
      </w:pPr>
      <w:r>
        <w:t>c是截距，A_ℓ是m×m系数矩阵，p是滞后阶数，ε_t是残差。预测后以残差大小或残差的协方差标准化值评分。这个展开式用于解释原文机制，原文没有给出统一的p或残差聚合参数。</w:t>
      </w:r>
    </w:p>
    <w:p>
      <w:pPr>
        <w:snapToGrid w:val="0"/>
      </w:pPr>
      <w:r>
        <w:t>二维例：p=1，c=0，A第一行为(0.8,0.1)、第二行为(0.2,0.7)。上一观测(10,20)预测出(10,16)。当前实际(10,20)产生残差(0,4)。残差说明当前动态与学到的线性关系不同，可能涉及③，也可能来自未建模的正常变化。</w:t>
      </w:r>
    </w:p>
    <w:p>
      <w:pPr>
        <w:snapToGrid w:val="0"/>
      </w:pPr>
      <w:r>
        <w:t>VAR是本篇与“多变量回归模型”最明确的联系，但它在这里承担异常检测器的预测功能，并不是一个外部末端压力模型。</w:t>
      </w:r>
    </w:p>
    <w:p>
      <w:pPr>
        <w:pStyle w:val="Heading3"/>
        <w:snapToGrid w:val="0"/>
      </w:pPr>
      <w:r>
        <w:t>PCA 与线性重构的二维例子</w:t>
      </w:r>
    </w:p>
    <w:p>
      <w:pPr>
        <w:snapToGrid w:val="0"/>
      </w:pPr>
      <w:r>
        <w:t>PCA寻找正常数据主要变化方向，再检查新数据在正常子空间之外的残差。说明公式为：</w:t>
      </w:r>
    </w:p>
    <w:p>
      <w:pPr>
        <w:pStyle w:val="EquationText"/>
        <w:jc w:val="center"/>
        <w:snapToGrid w:val="0"/>
      </w:pPr>
      <w:r/>
      <m:oMath>
        <m:acc>
          <m:accPr>
            <m:chr m:val="̂"/>
          </m:accPr>
          <m:e>
            <m:r>
              <m:t>x</m:t>
            </m:r>
          </m:e>
        </m:acc>
        <m:r>
          <m:t> </m:t>
        </m:r>
        <m:r>
          <m:t>=</m:t>
        </m:r>
        <m:r>
          <m:t> </m:t>
        </m:r>
        <m:r>
          <m:t>μ</m:t>
        </m:r>
        <m:r>
          <m:t> </m:t>
        </m:r>
        <m:r>
          <m:t>+</m:t>
        </m:r>
        <m:r>
          <m:t> </m:t>
        </m:r>
        <m:sSub>
          <m:e>
            <m:r>
              <m:t>U</m:t>
            </m:r>
          </m:e>
          <m:sub>
            <m:r>
              <m:t>r</m:t>
            </m:r>
          </m:sub>
        </m:sSub>
        <m:r>
          <m:t> </m:t>
        </m:r>
        <m:sSub>
          <m:e>
            <m:r>
              <m:t>U</m:t>
            </m:r>
          </m:e>
          <m:sub>
            <m:r>
              <m:t>r</m:t>
            </m:r>
          </m:sub>
        </m:sSub>
        <m:r>
          <m:t>ᵀ</m:t>
        </m:r>
        <m:r>
          <m:t>(</m:t>
        </m:r>
        <m:r>
          <m:t>x</m:t>
        </m:r>
        <m:r>
          <m:t>−</m:t>
        </m:r>
        <m:r>
          <m:t>μ</m:t>
        </m:r>
        <m:r>
          <m:t>)</m:t>
        </m:r>
        <m:r>
          <m:t> </m:t>
        </m:r>
        <m:r>
          <m:t>;</m:t>
        </m:r>
        <m:r>
          <m:t> </m:t>
        </m:r>
        <m:r>
          <m:t>Q</m:t>
        </m:r>
        <m:r>
          <m:t> </m:t>
        </m:r>
        <m:r>
          <m:t>=</m:t>
        </m:r>
        <m:r>
          <m:t> </m:t>
        </m:r>
        <m:r>
          <m:t>‖</m:t>
        </m:r>
        <m:r>
          <m:t>x</m:t>
        </m:r>
        <m:r>
          <m:t>−</m:t>
        </m:r>
        <m:acc>
          <m:accPr>
            <m:chr m:val="̂"/>
          </m:accPr>
          <m:e>
            <m:r>
              <m:t>x</m:t>
            </m:r>
          </m:e>
        </m:acc>
        <m:r>
          <m:t>‖</m:t>
        </m:r>
        <m:r>
          <m:t>²</m:t>
        </m:r>
      </m:oMath>
    </w:p>
    <w:p>
      <w:pPr>
        <w:snapToGrid w:val="0"/>
      </w:pPr>
      <w:r>
        <w:t>μ是正常均值，U_r含r个主方向，Q是残差平方和。Q大表示正常线性关系解释不了输入。原文引用Q统计量阈值，但本次F1实验仍采用阈值搜索。[R1，第4.2.3节及第5.2节]</w:t>
      </w:r>
    </w:p>
    <w:p>
      <w:pPr>
        <w:snapToGrid w:val="0"/>
      </w:pPr>
      <w:r>
        <w:t>正常二维点沿x₂=x₁分布，新输入(1,3)投影到(2,2)，Q=2；每列仍在历史[1,3]内。这表明线性PCA也可能检出③，不能从WADI中DNN的优势推出③只能用神经网络。</w:t>
      </w:r>
    </w:p>
    <w:p>
      <w:pPr>
        <w:snapToGrid w:val="0"/>
      </w:pPr>
      <w:r>
        <w:t>另一方面，沿主方向远离训练区域的点可能Q很小。若目标是①范围外或②稀疏区，单用Q未必足够，可另研究得分空间距离。该补充是研究建议，不是本文新算法。</w:t>
      </w:r>
    </w:p>
    <w:p>
      <w:pPr>
        <w:pStyle w:val="Heading3"/>
        <w:snapToGrid w:val="0"/>
      </w:pPr>
      <w:r>
        <w:t>SSA ICA 和 Matrix Profile</w:t>
      </w:r>
    </w:p>
    <w:p>
      <w:pPr>
        <w:snapToGrid w:val="0"/>
      </w:pPr>
      <w:r>
        <w:t>SSA用延迟嵌入与子空间思想刻画时间结构，适合从序列形状的改变判断异常。窗口长度、保留秩和距离定义影响结果，本文介绍不足以直接复现一个统一配置。</w:t>
      </w:r>
    </w:p>
    <w:p>
      <w:pPr>
        <w:snapToGrid w:val="0"/>
      </w:pPr>
      <w:r>
        <w:t>ICA尝试分离统计独立且通常非高斯的成分，原文讨论以峰度相关统计量识别异常。峰度衡量尾部或分布形状；高峰度不是每个异常点的通用定义，负峰度也不能一概说成均匀分布。</w:t>
      </w:r>
    </w:p>
    <w:p>
      <w:pPr>
        <w:snapToGrid w:val="0"/>
      </w:pPr>
      <w:r>
        <w:t>Matrix Profile为每个子序列记录与其他子序列的最近距离：</w:t>
      </w:r>
    </w:p>
    <w:p>
      <w:pPr>
        <w:pStyle w:val="EquationText"/>
        <w:jc w:val="center"/>
        <w:snapToGrid w:val="0"/>
      </w:pPr>
      <w:r/>
      <m:oMath>
        <m:r>
          <m:t>M</m:t>
        </m:r>
        <m:r>
          <m:t>P</m:t>
        </m:r>
        <m:r>
          <m:t>(</m:t>
        </m:r>
        <m:r>
          <m:t>i</m:t>
        </m:r>
        <m:r>
          <m:t>)</m:t>
        </m:r>
        <m:r>
          <m:t> </m:t>
        </m:r>
        <m:r>
          <m:t>=</m:t>
        </m:r>
        <m:r>
          <m:t> </m:t>
        </m:r>
        <m:r>
          <m:t>m</m:t>
        </m:r>
        <m:r>
          <m:t>i</m:t>
        </m:r>
        <m:sSub>
          <m:e>
            <m:r>
              <m:t>n</m:t>
            </m:r>
          </m:e>
          <m:sub>
            <m:r>
              <m:t>j</m:t>
            </m:r>
            <m:r>
              <m:t> </m:t>
            </m:r>
            <m:r>
              <m:t>∈</m:t>
            </m:r>
            <m:r>
              <m:t> </m:t>
            </m:r>
            <m:sSub>
              <m:e>
                <m:r>
                  <m:t>A</m:t>
                </m:r>
              </m:e>
              <m:sub>
                <m:r>
                  <m:t>i</m:t>
                </m:r>
              </m:sub>
            </m:sSub>
          </m:sub>
        </m:sSub>
        <m:r>
          <m:t> </m:t>
        </m:r>
        <m:r>
          <m:t>d</m:t>
        </m:r>
        <m:r>
          <m:t>(</m:t>
        </m:r>
        <m:sSub>
          <m:e>
            <m:r>
              <m:t>W</m:t>
            </m:r>
          </m:e>
          <m:sub>
            <m:r>
              <m:t>i</m:t>
            </m:r>
          </m:sub>
        </m:sSub>
        <m:r>
          <m:t>,</m:t>
        </m:r>
        <m:sSub>
          <m:e>
            <m:r>
              <m:t>W</m:t>
            </m:r>
          </m:e>
          <m:sub>
            <m:r>
              <m:t>j</m:t>
            </m:r>
          </m:sub>
        </m:sSub>
        <m:r>
          <m:t>)</m:t>
        </m:r>
      </m:oMath>
    </w:p>
    <w:p>
      <w:pPr>
        <w:snapToGrid w:val="0"/>
      </w:pPr>
      <w:r>
        <w:t>W_i是查询窗口，A_i是允许比较的参考窗口索引，d常用z标准化欧氏距离。实际应用要排除自身及过近重叠片段，在线参考集合也不能含未来窗口。</w:t>
      </w:r>
    </w:p>
    <w:p>
      <w:pPr>
        <w:snapToGrid w:val="0"/>
      </w:pPr>
      <w:r>
        <w:t>说明例：参考窗口为(0,1)和(0,1.1)，查询(3,3)的原始欧氏最近距离约3.55。这只是距离直觉示例，不是z标准化MP结果。z标准化会弱化绝对幅值信息，常量窗口也需特殊处理。</w:t>
      </w:r>
    </w:p>
    <w:p>
      <w:pPr>
        <w:pStyle w:val="Heading3"/>
        <w:snapToGrid w:val="0"/>
      </w:pPr>
      <w:r>
        <w:t>本节结论</w:t>
      </w:r>
    </w:p>
    <w:p>
      <w:pPr>
        <w:pStyle w:val="ReportBullet"/>
        <w:keepNext/>
        <w:numPr>
          <w:ilvl w:val="0"/>
          <w:numId w:val="51"/>
        </w:numPr>
        <w:snapToGrid w:val="0"/>
      </w:pPr>
      <w:r>
        <w:t>传统方法可以利用跨变量和时间结构。</w:t>
      </w:r>
    </w:p>
    <w:p>
      <w:pPr>
        <w:pStyle w:val="ReportBullet"/>
        <w:keepNext/>
        <w:numPr>
          <w:ilvl w:val="0"/>
          <w:numId w:val="51"/>
        </w:numPr>
        <w:snapToGrid w:val="0"/>
      </w:pPr>
      <w:r>
        <w:t>同一数据中，范围偏离、关系偏离和时间模式偏离可能需要不同分数。</w:t>
      </w:r>
    </w:p>
    <w:p>
      <w:pPr>
        <w:pStyle w:val="ReportBullet"/>
        <w:numPr>
          <w:ilvl w:val="0"/>
          <w:numId w:val="51"/>
        </w:numPr>
        <w:snapToGrid w:val="0"/>
      </w:pPr>
      <w:r>
        <w:t>本文的若干方法描述是概念级的，参数和实现需另外核对。</w:t>
      </w:r>
    </w:p>
    <w:p>
      <w:pPr>
        <w:pStyle w:val="Heading2"/>
        <w:snapToGrid w:val="0"/>
      </w:pPr>
      <w:r>
        <w:t>5 传统机器学习方法的精读</w:t>
      </w:r>
    </w:p>
    <w:p>
      <w:pPr>
        <w:pStyle w:val="Heading3"/>
        <w:snapToGrid w:val="0"/>
      </w:pPr>
      <w:r>
        <w:t>这一节在讲什么和为什么讲</w:t>
      </w:r>
    </w:p>
    <w:p>
      <w:pPr>
        <w:snapToGrid w:val="0"/>
      </w:pPr>
      <w:r>
        <w:t>第4.3节加入不依赖深层网络的非线性方法，覆盖随机隔离、局部邻域、密度簇和正常边界。这样可以判断收益究竟来自非线性建模，还是一定需要深度网络。[R1，页14至16]</w:t>
      </w:r>
    </w:p>
    <w:p>
      <w:pPr>
        <w:pStyle w:val="Heading3"/>
        <w:snapToGrid w:val="0"/>
      </w:pPr>
      <w:r>
        <w:t>Isolation Forest</w:t>
      </w:r>
    </w:p>
    <w:p>
      <w:pPr>
        <w:snapToGrid w:val="0"/>
      </w:pPr>
      <w:r>
        <w:t>随机选择变量和切分位置，记录一个样本被单独隔离所需的路径长度。异常常更容易被隔离。原始路径越短越异常；软件通常会做归一化并定义自己的得分方向，不能把路径长度和“越大越异常”直接混用。</w:t>
      </w:r>
    </w:p>
    <w:p>
      <w:pPr>
        <w:snapToGrid w:val="0"/>
      </w:pPr>
      <w:r>
        <w:t>在窗口扁平化输入中，IF可以间接利用多个时间位置的数值，却没有自动获得RNN那样的时间递推结构。轴对齐切分对复杂相关关系的效率也需要验证。</w:t>
      </w:r>
    </w:p>
    <w:p>
      <w:pPr>
        <w:pStyle w:val="Heading3"/>
        <w:snapToGrid w:val="0"/>
      </w:pPr>
      <w:r>
        <w:t>LOF 关注相对局部密度</w:t>
      </w:r>
    </w:p>
    <w:p>
      <w:pPr>
        <w:snapToGrid w:val="0"/>
      </w:pPr>
      <w:r>
        <w:t>LOF比较一个点的局部可达密度与邻居的密度，理解所需的概括式为：</w:t>
      </w:r>
    </w:p>
    <w:p>
      <w:pPr>
        <w:pStyle w:val="EquationText"/>
        <w:jc w:val="center"/>
        <w:snapToGrid w:val="0"/>
      </w:pPr>
      <w:r/>
      <m:oMath>
        <m:r>
          <m:t>L</m:t>
        </m:r>
        <m:r>
          <m:t>O</m:t>
        </m:r>
        <m:sSub>
          <m:e>
            <m:r>
              <m:t>F</m:t>
            </m:r>
          </m:e>
          <m:sub>
            <m:r>
              <m:t>k</m:t>
            </m:r>
          </m:sub>
        </m:sSub>
        <m:r>
          <m:t>(</m:t>
        </m:r>
        <m:r>
          <m:t>x</m:t>
        </m:r>
        <m:r>
          <m:t>)</m:t>
        </m:r>
        <m:r>
          <m:t> </m:t>
        </m:r>
        <m:r>
          <m:t>=</m:t>
        </m:r>
        <m:r>
          <m:t> </m:t>
        </m:r>
        <m:r>
          <m:t>(</m:t>
        </m:r>
        <m:r>
          <m:t>1</m:t>
        </m:r>
        <m:r>
          <m:t>/</m:t>
        </m:r>
        <m:r>
          <m:t>|</m:t>
        </m:r>
        <m:sSub>
          <m:e>
            <m:r>
              <m:t>N</m:t>
            </m:r>
          </m:e>
          <m:sub>
            <m:r>
              <m:t>k</m:t>
            </m:r>
          </m:sub>
        </m:sSub>
        <m:r>
          <m:t>(</m:t>
        </m:r>
        <m:r>
          <m:t>x</m:t>
        </m:r>
        <m:r>
          <m:t>)</m:t>
        </m:r>
        <m:r>
          <m:t>|</m:t>
        </m:r>
        <m:r>
          <m:t>)</m:t>
        </m:r>
        <m:r>
          <m:t> </m:t>
        </m:r>
        <m:sSub>
          <m:e>
            <m:r>
              <m:t>Σ</m:t>
            </m:r>
          </m:e>
          <m:sub>
            <m:r>
              <m:t>o</m:t>
            </m:r>
            <m:r>
              <m:t> </m:t>
            </m:r>
            <m:r>
              <m:t>∈</m:t>
            </m:r>
            <m:r>
              <m:t> </m:t>
            </m:r>
            <m:sSub>
              <m:e>
                <m:r>
                  <m:t>N</m:t>
                </m:r>
              </m:e>
              <m:sub>
                <m:r>
                  <m:t>k</m:t>
                </m:r>
              </m:sub>
            </m:sSub>
            <m:r>
              <m:t>(</m:t>
            </m:r>
            <m:r>
              <m:t>x</m:t>
            </m:r>
            <m:r>
              <m:t>)</m:t>
            </m:r>
          </m:sub>
        </m:sSub>
        <m:r>
          <m:t> </m:t>
        </m:r>
        <m:r>
          <m:t>l</m:t>
        </m:r>
        <m:r>
          <m:t>r</m:t>
        </m:r>
        <m:sSub>
          <m:e>
            <m:r>
              <m:t>d</m:t>
            </m:r>
          </m:e>
          <m:sub>
            <m:r>
              <m:t>k</m:t>
            </m:r>
          </m:sub>
        </m:sSub>
        <m:r>
          <m:t>(</m:t>
        </m:r>
        <m:r>
          <m:t>o</m:t>
        </m:r>
        <m:r>
          <m:t>)</m:t>
        </m:r>
        <m:r>
          <m:t>/</m:t>
        </m:r>
        <m:r>
          <m:t>l</m:t>
        </m:r>
        <m:r>
          <m:t>r</m:t>
        </m:r>
        <m:sSub>
          <m:e>
            <m:r>
              <m:t>d</m:t>
            </m:r>
          </m:e>
          <m:sub>
            <m:r>
              <m:t>k</m:t>
            </m:r>
          </m:sub>
        </m:sSub>
        <m:r>
          <m:t>(</m:t>
        </m:r>
        <m:r>
          <m:t>x</m:t>
        </m:r>
        <m:r>
          <m:t>)</m:t>
        </m:r>
      </m:oMath>
    </w:p>
    <w:p>
      <w:pPr>
        <w:snapToGrid w:val="0"/>
      </w:pPr>
      <w:r>
        <w:t>N_k(x)是邻居集，lrd是局部可达密度。它不只是简单距离倒数；正式定义需通过可达距离平滑过近邻居的影响。</w:t>
      </w:r>
    </w:p>
    <w:p>
      <w:pPr>
        <w:snapToGrid w:val="0"/>
      </w:pPr>
      <w:r>
        <w:t>说明例：某点的lrd为0.5，两个邻居的lrd都为2，则LOF=4，表示它相对邻居更稀疏。若它位于一个整体稀疏但均匀的正常簇，自己与邻居都为0.5，则LOF约1。因此LOF不保证识别所有②低密度区域；它检测的是局部相对稀疏程度。</w:t>
      </w:r>
    </w:p>
    <w:p>
      <w:pPr>
        <w:pStyle w:val="Heading3"/>
        <w:snapToGrid w:val="0"/>
      </w:pPr>
      <w:r>
        <w:t>DBSCAN</w:t>
      </w:r>
    </w:p>
    <w:p>
      <w:pPr>
        <w:snapToGrid w:val="0"/>
      </w:pPr>
      <w:r>
        <w:t>DBSCAN用邻域半径和最小邻居数定义密集簇。本文把窗口视为点，并以到最近簇的距离产生异常分数。标准DBSCAN本身是聚类算法，给新样本连续评分需要明确额外规则。正文未完整规定该扩展，复现时不能仅调用聚类标签代替本文全部评分流程。</w:t>
      </w:r>
    </w:p>
    <w:p>
      <w:pPr>
        <w:pStyle w:val="Heading3"/>
        <w:snapToGrid w:val="0"/>
      </w:pPr>
      <w:r>
        <w:t>OC SVM</w:t>
      </w:r>
    </w:p>
    <w:p>
      <w:pPr>
        <w:snapToGrid w:val="0"/>
      </w:pPr>
      <w:r>
        <w:t>OC-SVM学习正常分布的支持区域，核函数可产生非线性边界。原文把它描述为包围训练数据的最小超球，这更接近SVDD的表述；通常的OC-SVM使用特征空间超平面，不能把两者不加条件地等同。[R1，第4.3.3节；R7]</w:t>
      </w:r>
    </w:p>
    <w:p>
      <w:pPr>
        <w:snapToGrid w:val="0"/>
      </w:pPr>
      <w:r>
        <w:t>对常用实现，decision_function正值表示较正常，负值表示较异常；若统一成大分数为异常，可取负号。ν和核宽度控制边界形状等性质，ν不等于未来测试异常率的已知真值。</w:t>
      </w:r>
    </w:p>
    <w:p>
      <w:pPr>
        <w:pStyle w:val="Heading3"/>
        <w:snapToGrid w:val="0"/>
      </w:pPr>
      <w:r>
        <w:t>本节结论</w:t>
      </w:r>
    </w:p>
    <w:p>
      <w:pPr>
        <w:pStyle w:val="ReportBullet"/>
        <w:keepNext/>
        <w:numPr>
          <w:ilvl w:val="0"/>
          <w:numId w:val="51"/>
        </w:numPr>
        <w:snapToGrid w:val="0"/>
      </w:pPr>
      <w:r>
        <w:t>不同检测器对“低密度”的含义不同。</w:t>
      </w:r>
    </w:p>
    <w:p>
      <w:pPr>
        <w:pStyle w:val="ReportBullet"/>
        <w:keepNext/>
        <w:numPr>
          <w:ilvl w:val="0"/>
          <w:numId w:val="51"/>
        </w:numPr>
        <w:snapToGrid w:val="0"/>
      </w:pPr>
      <w:r>
        <w:t>分数方向必须统一，才能比较AP与阈值。</w:t>
      </w:r>
    </w:p>
    <w:p>
      <w:pPr>
        <w:pStyle w:val="ReportBullet"/>
        <w:numPr>
          <w:ilvl w:val="0"/>
          <w:numId w:val="51"/>
        </w:numPr>
        <w:snapToGrid w:val="0"/>
      </w:pPr>
      <w:r>
        <w:t>本文ML方法采用窗口的说法不能替代实际K、stride和新样本评分实现。</w:t>
      </w:r>
    </w:p>
    <w:p>
      <w:pPr>
        <w:pStyle w:val="Heading2"/>
        <w:snapToGrid w:val="0"/>
      </w:pPr>
      <w:r>
        <w:t>6 深度方法的精读</w:t>
      </w:r>
    </w:p>
    <w:p>
      <w:pPr>
        <w:pStyle w:val="Heading3"/>
        <w:snapToGrid w:val="0"/>
      </w:pPr>
      <w:r>
        <w:t>这一节在讲什么和为什么讲</w:t>
      </w:r>
    </w:p>
    <w:p>
      <w:pPr>
        <w:snapToGrid w:val="0"/>
      </w:pPr>
      <w:r>
        <w:t>作者选取AE、USAD、LSTM-VAE、DAGMM、OmniAnomaly五种方法，主要围绕重构和概率表示。实验没有覆盖全部深度学习路线，尤其不能把这些结果推广到未测试的Transformer、图模型或后续新方法。[R1，第4.4节]</w:t>
      </w:r>
    </w:p>
    <w:p>
      <w:pPr>
        <w:pStyle w:val="Heading3"/>
        <w:snapToGrid w:val="0"/>
      </w:pPr>
      <w:r>
        <w:t>AE与USAD</w:t>
      </w:r>
    </w:p>
    <w:p>
      <w:pPr>
        <w:snapToGrid w:val="0"/>
      </w:pPr>
      <w:r>
        <w:t>AE先压缩窗口W为潜变量z，再重构窗口。常见说明式为：</w:t>
      </w:r>
    </w:p>
    <w:p>
      <w:pPr>
        <w:pStyle w:val="EquationText"/>
        <w:jc w:val="center"/>
        <w:snapToGrid w:val="0"/>
      </w:pPr>
      <w:r/>
      <m:oMath>
        <m:r>
          <m:t>z</m:t>
        </m:r>
        <m:r>
          <m:t> </m:t>
        </m:r>
        <m:r>
          <m:t>=</m:t>
        </m:r>
        <m:r>
          <m:t> </m:t>
        </m:r>
        <m:sSub>
          <m:e>
            <m:r>
              <m:t>E</m:t>
            </m:r>
          </m:e>
          <m:sub>
            <m:r>
              <m:t>θ</m:t>
            </m:r>
          </m:sub>
        </m:sSub>
        <m:r>
          <m:t>(</m:t>
        </m:r>
        <m:r>
          <m:t>W</m:t>
        </m:r>
        <m:r>
          <m:t>)</m:t>
        </m:r>
        <m:r>
          <m:t> </m:t>
        </m:r>
        <m:r>
          <m:t>;</m:t>
        </m:r>
        <m:r>
          <m:t> </m:t>
        </m:r>
        <m:acc>
          <m:accPr>
            <m:chr m:val="̂"/>
          </m:accPr>
          <m:e>
            <m:r>
              <m:t>W</m:t>
            </m:r>
          </m:e>
        </m:acc>
        <m:r>
          <m:t> </m:t>
        </m:r>
        <m:r>
          <m:t>=</m:t>
        </m:r>
        <m:r>
          <m:t> </m:t>
        </m:r>
        <m:sSub>
          <m:e>
            <m:r>
              <m:t>D</m:t>
            </m:r>
          </m:e>
          <m:sub>
            <m:r>
              <m:t>φ</m:t>
            </m:r>
          </m:sub>
        </m:sSub>
        <m:r>
          <m:t>(</m:t>
        </m:r>
        <m:r>
          <m:t>z</m:t>
        </m:r>
        <m:r>
          <m:t>)</m:t>
        </m:r>
        <m:r>
          <m:t> </m:t>
        </m:r>
        <m:r>
          <m:t>;</m:t>
        </m:r>
        <m:r>
          <m:t> </m:t>
        </m:r>
        <m:r>
          <m:t>s</m:t>
        </m:r>
        <m:r>
          <m:t>(</m:t>
        </m:r>
        <m:r>
          <m:t>W</m:t>
        </m:r>
        <m:r>
          <m:t>)</m:t>
        </m:r>
        <m:r>
          <m:t>=</m:t>
        </m:r>
        <m:r>
          <m:t>‖</m:t>
        </m:r>
        <m:r>
          <m:t>W</m:t>
        </m:r>
        <m:r>
          <m:t>−</m:t>
        </m:r>
        <m:acc>
          <m:accPr>
            <m:chr m:val="̂"/>
          </m:accPr>
          <m:e>
            <m:r>
              <m:t>W</m:t>
            </m:r>
          </m:e>
        </m:acc>
        <m:r>
          <m:t>‖</m:t>
        </m:r>
        <m:r>
          <m:t>²</m:t>
        </m:r>
      </m:oMath>
    </w:p>
    <w:p>
      <w:pPr>
        <w:snapToGrid w:val="0"/>
      </w:pPr>
      <w:r>
        <w:t>E是编码器，D是解码器，θ与φ是参数。正常窗口通常易恢复；异常若也能被网络复制，则分数可能不高。</w:t>
      </w:r>
    </w:p>
    <w:p>
      <w:pPr>
        <w:snapToGrid w:val="0"/>
      </w:pPr>
      <w:r>
        <w:t>二维例：正常关系为x₂=x₁，新点(1,3)重构为(2,2)，平方误差和为2。这个例子与PCA相同，但AE可以表达非线性正常流形。是否实际学到所需关系取决于样本覆盖、网络容量和损失。</w:t>
      </w:r>
    </w:p>
    <w:p>
      <w:pPr>
        <w:snapToGrid w:val="0"/>
      </w:pPr>
      <w:r>
        <w:t>USAD使用共享编码器的两个解码器，结合重构学习与对抗目标。本文只给机制性描述，未完整列出阶段损失、权重和异常分数组合，因此不能据此为USAD填上任意默认超参数。USAD原论文作者与本篇作者有重合；这不说明结果不可靠，但比较仍要按一致调参预算与独立复现来评价。</w:t>
      </w:r>
    </w:p>
    <w:p>
      <w:pPr>
        <w:pStyle w:val="Heading3"/>
        <w:snapToGrid w:val="0"/>
      </w:pPr>
      <w:r>
        <w:t>概率模型与似然</w:t>
      </w:r>
    </w:p>
    <w:p>
      <w:pPr>
        <w:snapToGrid w:val="0"/>
      </w:pPr>
      <w:r>
        <w:t>LSTM-VAE结合时间建模和概率潜变量；DAGMM把低维表示及重构特征送入高斯混合模型；OmniAnomaly使用GRU、随机潜变量联系和normalizing flow提高概率表示能力。</w:t>
      </w:r>
    </w:p>
    <w:p>
      <w:pPr>
        <w:snapToGrid w:val="0"/>
      </w:pPr>
      <w:r>
        <w:t>为统一方向，可把正常似然p(W)转换为异常分数：</w:t>
      </w:r>
    </w:p>
    <w:p>
      <w:pPr>
        <w:pStyle w:val="EquationText"/>
        <w:jc w:val="center"/>
        <w:snapToGrid w:val="0"/>
      </w:pPr>
      <w:r/>
      <m:oMath>
        <m:r>
          <m:t>s</m:t>
        </m:r>
        <m:r>
          <m:t>(</m:t>
        </m:r>
        <m:r>
          <m:t>W</m:t>
        </m:r>
        <m:r>
          <m:t>)</m:t>
        </m:r>
        <m:r>
          <m:t> </m:t>
        </m:r>
        <m:r>
          <m:t>=</m:t>
        </m:r>
        <m:r>
          <m:t> </m:t>
        </m:r>
        <m:r>
          <m:t>−</m:t>
        </m:r>
        <m:r>
          <m:t>l</m:t>
        </m:r>
        <m:r>
          <m:t>o</m:t>
        </m:r>
        <m:r>
          <m:t>g</m:t>
        </m:r>
        <m:r>
          <m:t> </m:t>
        </m:r>
        <m:r>
          <m:t>p</m:t>
        </m:r>
        <m:r>
          <m:t>(</m:t>
        </m:r>
        <m:r>
          <m:t>W</m:t>
        </m:r>
        <m:r>
          <m:t>)</m:t>
        </m:r>
      </m:oMath>
    </w:p>
    <w:p>
      <w:pPr>
        <w:snapToGrid w:val="0"/>
      </w:pPr>
      <w:r>
        <w:t>这是解释性统一记号，VAE实际常用条件重构概率或近似目标，不能把它们都视为精确边缘密度p(W)。例如p=0.1时分数约2.303，p=0.001时约6.908；概率越低，异常分数越大。</w:t>
      </w:r>
    </w:p>
    <w:p>
      <w:pPr>
        <w:snapToGrid w:val="0"/>
      </w:pPr>
      <w:r>
        <w:t>DAGMM的能量依据是潜在表示的混合密度，不只是原始重构误差。OmniAnomaly在本文中的原始重构概率越高越正常，因此它与AE误差的方向相反。[R1，第4.4节]</w:t>
      </w:r>
    </w:p>
    <w:p>
      <w:pPr>
        <w:pStyle w:val="Heading3"/>
        <w:snapToGrid w:val="0"/>
      </w:pPr>
      <w:r>
        <w:t>对三类学習外的意义</w:t>
      </w:r>
    </w:p>
    <w:p>
      <w:pPr>
        <w:snapToGrid w:val="0"/>
      </w:pPr>
      <w:r>
        <w:t>非线性表示可能捕捉③，但论文没有给出③的独立逐样本标签与完整性能表。密度式分数与②相关，却不能证明业务AI在该区域一定学习不足。①越界也不保证得到高重构误差或低生成似然，仍需针对性测试。</w:t>
      </w:r>
    </w:p>
    <w:p>
      <w:pPr>
        <w:pStyle w:val="Heading3"/>
        <w:snapToGrid w:val="0"/>
      </w:pPr>
      <w:r>
        <w:t>本节结论</w:t>
      </w:r>
    </w:p>
    <w:p>
      <w:pPr>
        <w:pStyle w:val="ReportBullet"/>
        <w:keepNext/>
        <w:numPr>
          <w:ilvl w:val="0"/>
          <w:numId w:val="51"/>
        </w:numPr>
        <w:snapToGrid w:val="0"/>
      </w:pPr>
      <w:r>
        <w:t>本文DNN样本主要来自重构与概率模型。</w:t>
      </w:r>
    </w:p>
    <w:p>
      <w:pPr>
        <w:pStyle w:val="ReportBullet"/>
        <w:keepNext/>
        <w:numPr>
          <w:ilvl w:val="0"/>
          <w:numId w:val="51"/>
        </w:numPr>
        <w:snapToGrid w:val="0"/>
      </w:pPr>
      <w:r>
        <w:t>表示能力强不自动等于异常可分性更好。</w:t>
      </w:r>
    </w:p>
    <w:p>
      <w:pPr>
        <w:pStyle w:val="ReportBullet"/>
        <w:numPr>
          <w:ilvl w:val="0"/>
          <w:numId w:val="51"/>
        </w:numPr>
        <w:snapToGrid w:val="0"/>
      </w:pPr>
      <w:r>
        <w:t>似然、重构误差和业务回归不确定性是不同量。</w:t>
      </w:r>
    </w:p>
    <w:p>
      <w:pPr>
        <w:pStyle w:val="Heading2"/>
        <w:snapToGrid w:val="0"/>
      </w:pPr>
      <w:r>
        <w:t>7 实验设置和评价公式</w:t>
      </w:r>
    </w:p>
    <w:p>
      <w:pPr>
        <w:pStyle w:val="Heading3"/>
        <w:snapToGrid w:val="0"/>
      </w:pPr>
      <w:r>
        <w:t>这一节的作用</w:t>
      </w:r>
    </w:p>
    <w:p>
      <w:pPr>
        <w:snapToGrid w:val="0"/>
      </w:pPr>
      <w:r>
        <w:t>第5.1节决定“正确检测”到底按什么单位计算，第5.2节又规定阈值如何选择。不理解这些内容，后面的F1比较就容易被误当作逐点在线准确率。[R1，页19至22]</w:t>
      </w:r>
    </w:p>
    <w:p>
      <w:pPr>
        <w:pStyle w:val="Heading3"/>
        <w:snapToGrid w:val="0"/>
      </w:pPr>
      <w:r>
        <w:t>F1与AP</w:t>
      </w:r>
    </w:p>
    <w:p>
      <w:pPr>
        <w:pStyle w:val="EquationText"/>
        <w:jc w:val="center"/>
        <w:snapToGrid w:val="0"/>
      </w:pPr>
      <w:r/>
      <m:oMath>
        <m:r>
          <m:t>P</m:t>
        </m:r>
        <m:r>
          <m:t>r</m:t>
        </m:r>
        <m:r>
          <m:t>e</m:t>
        </m:r>
        <m:r>
          <m:t>c</m:t>
        </m:r>
        <m:r>
          <m:t>i</m:t>
        </m:r>
        <m:r>
          <m:t>s</m:t>
        </m:r>
        <m:r>
          <m:t>i</m:t>
        </m:r>
        <m:r>
          <m:t>o</m:t>
        </m:r>
        <m:r>
          <m:t>n</m:t>
        </m:r>
        <m:r>
          <m:t> </m:t>
        </m:r>
        <m:r>
          <m:t>=</m:t>
        </m:r>
        <m:r>
          <m:t> </m:t>
        </m:r>
        <m:r>
          <m:t>T</m:t>
        </m:r>
        <m:r>
          <m:t>P</m:t>
        </m:r>
        <m:r>
          <m:t>/</m:t>
        </m:r>
        <m:r>
          <m:t>(</m:t>
        </m:r>
        <m:r>
          <m:t>T</m:t>
        </m:r>
        <m:r>
          <m:t>P</m:t>
        </m:r>
        <m:r>
          <m:t>+</m:t>
        </m:r>
        <m:r>
          <m:t>F</m:t>
        </m:r>
        <m:r>
          <m:t>P</m:t>
        </m:r>
        <m:r>
          <m:t>)</m:t>
        </m:r>
        <m:r>
          <m:t> </m:t>
        </m:r>
        <m:r>
          <m:t>;</m:t>
        </m:r>
        <m:r>
          <m:t> </m:t>
        </m:r>
        <m:r>
          <m:t>R</m:t>
        </m:r>
        <m:r>
          <m:t>e</m:t>
        </m:r>
        <m:r>
          <m:t>c</m:t>
        </m:r>
        <m:r>
          <m:t>a</m:t>
        </m:r>
        <m:r>
          <m:t>l</m:t>
        </m:r>
        <m:r>
          <m:t>l</m:t>
        </m:r>
        <m:r>
          <m:t> </m:t>
        </m:r>
        <m:r>
          <m:t>=</m:t>
        </m:r>
        <m:r>
          <m:t> </m:t>
        </m:r>
        <m:r>
          <m:t>T</m:t>
        </m:r>
        <m:r>
          <m:t>P</m:t>
        </m:r>
        <m:r>
          <m:t>/</m:t>
        </m:r>
        <m:r>
          <m:t>(</m:t>
        </m:r>
        <m:r>
          <m:t>T</m:t>
        </m:r>
        <m:r>
          <m:t>P</m:t>
        </m:r>
        <m:r>
          <m:t>+</m:t>
        </m:r>
        <m:r>
          <m:t>F</m:t>
        </m:r>
        <m:r>
          <m:t>N</m:t>
        </m:r>
        <m:r>
          <m:t>)</m:t>
        </m:r>
      </m:oMath>
    </w:p>
    <w:p>
      <w:pPr>
        <w:pStyle w:val="EquationText"/>
        <w:jc w:val="center"/>
        <w:snapToGrid w:val="0"/>
      </w:pPr>
      <w:r/>
      <m:oMath>
        <m:r>
          <m:t>F</m:t>
        </m:r>
        <m:r>
          <m:t>1</m:t>
        </m:r>
        <m:r>
          <m:t> </m:t>
        </m:r>
        <m:r>
          <m:t>=</m:t>
        </m:r>
        <m:r>
          <m:t> </m:t>
        </m:r>
        <m:r>
          <m:t>2</m:t>
        </m:r>
        <m:r>
          <m:t>T</m:t>
        </m:r>
        <m:r>
          <m:t>P</m:t>
        </m:r>
        <m:r>
          <m:t>/</m:t>
        </m:r>
        <m:r>
          <m:t>(</m:t>
        </m:r>
        <m:r>
          <m:t>2</m:t>
        </m:r>
        <m:r>
          <m:t>T</m:t>
        </m:r>
        <m:r>
          <m:t>P</m:t>
        </m:r>
        <m:r>
          <m:t>+</m:t>
        </m:r>
        <m:r>
          <m:t>F</m:t>
        </m:r>
        <m:r>
          <m:t>P</m:t>
        </m:r>
        <m:r>
          <m:t>+</m:t>
        </m:r>
        <m:r>
          <m:t>F</m:t>
        </m:r>
        <m:r>
          <m:t>N</m:t>
        </m:r>
        <m:r>
          <m:t>)</m:t>
        </m:r>
      </m:oMath>
    </w:p>
    <w:p>
      <w:pPr>
        <w:snapToGrid w:val="0"/>
      </w:pPr>
      <w:r>
        <w:t>TP为正确检测到的异常单位，FP为误报，FN为漏报。本文使用窗口及容忍规则，因此单位不是无条件的原始单时刻点。</w:t>
      </w:r>
    </w:p>
    <w:p>
      <w:pPr>
        <w:snapToGrid w:val="0"/>
      </w:pPr>
      <w:r>
        <w:t>说明例：10个异常单位检出8个，另有2个正常单位被误报，则Precision=0.8、Recall=0.8、F1=0.8。若评价规则允许附近预测也算命中，TP会改变，同一预测序列的F1也会改变。</w:t>
      </w:r>
    </w:p>
    <w:p>
      <w:pPr>
        <w:snapToGrid w:val="0"/>
      </w:pPr>
      <w:r>
        <w:t>AP对精确率召回率曲线求离散加权汇总：</w:t>
      </w:r>
    </w:p>
    <w:p>
      <w:pPr>
        <w:pStyle w:val="EquationText"/>
        <w:jc w:val="center"/>
        <w:snapToGrid w:val="0"/>
      </w:pPr>
      <w:r/>
      <m:oMath>
        <m:r>
          <m:t>A</m:t>
        </m:r>
        <m:r>
          <m:t>P</m:t>
        </m:r>
        <m:r>
          <m:t> </m:t>
        </m:r>
        <m:r>
          <m:t>=</m:t>
        </m:r>
        <m:r>
          <m:t> </m:t>
        </m:r>
        <m:sSub>
          <m:e>
            <m:r>
              <m:t>Σ</m:t>
            </m:r>
          </m:e>
          <m:sub>
            <m:r>
              <m:t>n</m:t>
            </m:r>
          </m:sub>
        </m:sSub>
        <m:r>
          <m:t> </m:t>
        </m:r>
        <m:r>
          <m:t>(</m:t>
        </m:r>
        <m:sSub>
          <m:e>
            <m:r>
              <m:t>R</m:t>
            </m:r>
          </m:e>
          <m:sub>
            <m:r>
              <m:t>n</m:t>
            </m:r>
          </m:sub>
        </m:sSub>
        <m:r>
          <m:t> </m:t>
        </m:r>
        <m:r>
          <m:t>−</m:t>
        </m:r>
        <m:r>
          <m:t> </m:t>
        </m:r>
        <m:sSub>
          <m:e>
            <m:r>
              <m:t>R</m:t>
            </m:r>
          </m:e>
          <m:sub>
            <m:r>
              <m:t>n</m:t>
            </m:r>
            <m:r>
              <m:t>−</m:t>
            </m:r>
            <m:r>
              <m:t>1</m:t>
            </m:r>
          </m:sub>
        </m:sSub>
        <m:r>
          <m:t>)</m:t>
        </m:r>
        <m:sSub>
          <m:e>
            <m:r>
              <m:t>P</m:t>
            </m:r>
          </m:e>
          <m:sub>
            <m:r>
              <m:t>n</m:t>
            </m:r>
          </m:sub>
        </m:sSub>
      </m:oMath>
    </w:p>
    <w:p>
      <w:pPr>
        <w:snapToGrid w:val="0"/>
      </w:pPr>
      <w:r>
        <w:t>P_n、R_n为按分数阈值排序后某一步的Precision与Recall。AP评价异常是否排在前面，不需要先选唯一阈值；它也依赖标签处理与异常比例，并非与所有评价约定无关。</w:t>
      </w:r>
    </w:p>
    <w:p>
      <w:pPr>
        <w:snapToGrid w:val="0"/>
      </w:pPr>
      <w:r>
        <w:t>说明例：按异常得分从高到低排序的四个标签为[1,0,1,0]。第一个正例处Precision=1，第二个正例处Precision=2/3，两个召回增量都为1/2，因此AP=5/6≈0.833。AP通常不同于用梯形法计算的PR曲线面积。</w:t>
      </w:r>
    </w:p>
    <w:p>
      <w:pPr>
        <w:pStyle w:val="Heading3"/>
        <w:snapToGrid w:val="0"/>
      </w:pPr>
      <w:r>
        <w:t>本文对时间窗口的宽容</w:t>
      </w:r>
    </w:p>
    <w:p>
      <w:pPr>
        <w:snapToGrid w:val="0"/>
      </w:pPr>
      <w:r>
        <w:t>原文表示窗口中只要有点被检测为异常就将窗口视为异常；对不使用窗口的方法，在异常前后一个滑窗长度范围内的检测也可计为命中。文字没有完整说明所有真实标签、预测聚合、重叠窗口和AP处理步骤。</w:t>
      </w:r>
    </w:p>
    <w:p>
      <w:pPr>
        <w:snapToGrid w:val="0"/>
      </w:pPr>
      <w:r>
        <w:t>这不是足够精确的代码规范，也不能直接称为“任意事件命中一次就把整个长事件全部补正”的标准point-adjust。能确认的是：本文评价允许一定时间范围的容忍，与严格逐点判定有区别。K的具体数值在所给稿正文没有明确统一列出，不应从别篇论文或作者其他版本移植。</w:t>
      </w:r>
    </w:p>
    <w:p>
      <w:pPr>
        <w:pStyle w:val="Heading3"/>
        <w:snapToGrid w:val="0"/>
      </w:pPr>
      <w:r>
        <w:t>最高F1为何不能当部署结果</w:t>
      </w:r>
    </w:p>
    <w:p>
      <w:pPr>
        <w:snapToGrid w:val="0"/>
      </w:pPr>
      <w:r>
        <w:t>归一化分数后，以0.001为步长测试1000个阈值，报告其中最高F1。这需要使用评价标签来识别最优阈值，是事后选择的best-F1。它可用于观察可分性，但不是独立校正阈值下的泛化性能。</w:t>
      </w:r>
    </w:p>
    <w:p>
      <w:pPr>
        <w:snapToGrid w:val="0"/>
      </w:pPr>
      <w:r>
        <w:t>说明例：三个阈值在测试集上的F1为0.6、0.8、0.7，论文式报告会取0.8；实际部署事先不知道哪一个最好。严格验证应在训练之外的校正期间确定阈值，再冻结后评估测试集。</w:t>
      </w:r>
    </w:p>
    <w:p>
      <w:pPr>
        <w:pStyle w:val="Heading3"/>
        <w:snapToGrid w:val="0"/>
      </w:pPr>
      <w:r>
        <w:t>本节结论</w:t>
      </w:r>
    </w:p>
    <w:p>
      <w:pPr>
        <w:pStyle w:val="ReportBullet"/>
        <w:keepNext/>
        <w:numPr>
          <w:ilvl w:val="0"/>
          <w:numId w:val="51"/>
        </w:numPr>
        <w:snapToGrid w:val="0"/>
      </w:pPr>
      <w:r>
        <w:t>必须同时记录评价粒度、时间容忍与阈值选择方式。</w:t>
      </w:r>
    </w:p>
    <w:p>
      <w:pPr>
        <w:pStyle w:val="ReportBullet"/>
        <w:keepNext/>
        <w:numPr>
          <w:ilvl w:val="0"/>
          <w:numId w:val="51"/>
        </w:numPr>
        <w:snapToGrid w:val="0"/>
      </w:pPr>
      <w:r>
        <w:t>本文F1是事后阈值搜索结果；AP提供补充排序信息。</w:t>
      </w:r>
    </w:p>
    <w:p>
      <w:pPr>
        <w:pStyle w:val="ReportBullet"/>
        <w:numPr>
          <w:ilvl w:val="0"/>
          <w:numId w:val="51"/>
        </w:numPr>
        <w:snapToGrid w:val="0"/>
      </w:pPr>
      <w:r>
        <w:t>所给稿没有足够的完整实现配置来一键复现实验。</w:t>
      </w:r>
    </w:p>
    <w:p>
      <w:pPr>
        <w:pStyle w:val="Heading2"/>
        <w:snapToGrid w:val="0"/>
      </w:pPr>
      <w:r>
        <w:t>8 家族比较结果与统计检验</w:t>
      </w:r>
    </w:p>
    <w:p>
      <w:pPr>
        <w:pStyle w:val="Heading3"/>
        <w:snapToGrid w:val="0"/>
      </w:pPr>
      <w:r>
        <w:t>作者发现了什么</w:t>
      </w:r>
    </w:p>
    <w:p>
      <w:pPr>
        <w:snapToGrid w:val="0"/>
      </w:pPr>
      <w:r>
        <w:t>按作者正文，DNN家族平均F1在五个数据集中的四个较高，SMAP上ML较高。AP方面，传统方法在MSL平均表现最好，其余数据集通常位于DNN之后。总体差异需要结合统计检验，不能仅看均值高低。[R1，第5.2节，图2]</w:t>
      </w:r>
    </w:p>
    <w:p>
      <w:pPr>
        <w:snapToGrid w:val="0"/>
      </w:pPr>
      <w:r>
        <w:t>箱线图反映家族内不同算法的得分分布，不能当成某个算法多随机种子重复实验的置信区间。传统、ML、DNN分别只有7、4、5种方法，家族平均值也受具体纳入的方法影响。</w:t>
      </w:r>
    </w:p>
    <w:p>
      <w:pPr>
        <w:pStyle w:val="Heading3"/>
        <w:snapToGrid w:val="0"/>
      </w:pPr>
      <w:r>
        <w:t>Kruskal Wallis和Dunn检验</w:t>
      </w:r>
    </w:p>
    <w:p>
      <w:pPr>
        <w:snapToGrid w:val="0"/>
      </w:pPr>
      <w:r>
        <w:t>Kruskal–Wallis是比较多组分布的秩检验。作者将其用于三家族，并按中位数相同的零假设解释；严格把它解释成中位数检验需要考虑分布形状等条件。Dunn用于后续成对比较。</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检验对象</w:t>
            </w:r>
          </w:p>
        </w:tc>
        <w:tc>
          <w:tcPr>
            <w:tcW w:type="dxa" w:w="3500"/>
            <w:vAlign w:val="center"/>
            <w:shd w:fill="E8EEF5"/>
          </w:tcPr>
          <w:p>
            <w:pPr>
              <w:pStyle w:val="TableText"/>
              <w:keepNext/>
            </w:pPr>
            <w:r>
              <w:rPr>
                <w:b/>
                <w:color w:val="1F4D78"/>
              </w:rPr>
              <w:t>原文报告</w:t>
            </w:r>
          </w:p>
        </w:tc>
        <w:tc>
          <w:tcPr>
            <w:tcW w:type="dxa" w:w="3810"/>
            <w:vAlign w:val="center"/>
            <w:shd w:fill="E8EEF5"/>
          </w:tcPr>
          <w:p>
            <w:pPr>
              <w:pStyle w:val="TableText"/>
              <w:keepNext/>
            </w:pPr>
            <w:r>
              <w:rPr>
                <w:b/>
                <w:color w:val="1F4D78"/>
              </w:rPr>
              <w:t>可以得出的判断</w:t>
            </w:r>
          </w:p>
        </w:tc>
      </w:tr>
      <w:tr>
        <w:trPr>
          <w:cantSplit/>
        </w:trPr>
        <w:tc>
          <w:tcPr>
            <w:tcW w:type="dxa" w:w="2050"/>
            <w:vAlign w:val="center"/>
          </w:tcPr>
          <w:p>
            <w:pPr>
              <w:pStyle w:val="TableText"/>
              <w:keepNext/>
            </w:pPr>
            <w:r>
              <w:t>F1 三家族总体</w:t>
            </w:r>
          </w:p>
        </w:tc>
        <w:tc>
          <w:tcPr>
            <w:tcW w:type="dxa" w:w="3500"/>
            <w:vAlign w:val="center"/>
          </w:tcPr>
          <w:p>
            <w:pPr>
              <w:pStyle w:val="TableText"/>
              <w:keepNext/>
            </w:pPr>
            <w:r>
              <w:t>仅SMD拒绝零假设 p&lt;0.05</w:t>
            </w:r>
          </w:p>
        </w:tc>
        <w:tc>
          <w:tcPr>
            <w:tcW w:type="dxa" w:w="3810"/>
            <w:vAlign w:val="center"/>
          </w:tcPr>
          <w:p>
            <w:pPr>
              <w:pStyle w:val="TableText"/>
              <w:keepNext/>
            </w:pPr>
            <w:r>
              <w:t>其他4个数据集未检出显著差异</w:t>
            </w:r>
          </w:p>
        </w:tc>
      </w:tr>
      <w:tr>
        <w:trPr>
          <w:cantSplit/>
        </w:trPr>
        <w:tc>
          <w:tcPr>
            <w:tcW w:type="dxa" w:w="2050"/>
            <w:vAlign w:val="center"/>
          </w:tcPr>
          <w:p>
            <w:pPr>
              <w:pStyle w:val="TableText"/>
              <w:keepNext/>
            </w:pPr>
            <w:r>
              <w:t>AP 三家族总体</w:t>
            </w:r>
          </w:p>
        </w:tc>
        <w:tc>
          <w:tcPr>
            <w:tcW w:type="dxa" w:w="3500"/>
            <w:vAlign w:val="center"/>
          </w:tcPr>
          <w:p>
            <w:pPr>
              <w:pStyle w:val="TableText"/>
              <w:keepNext/>
            </w:pPr>
            <w:r>
              <w:t>SWaT与WADI拒绝零假设 p&lt;0.05</w:t>
            </w:r>
          </w:p>
        </w:tc>
        <w:tc>
          <w:tcPr>
            <w:tcW w:type="dxa" w:w="3810"/>
            <w:vAlign w:val="center"/>
          </w:tcPr>
          <w:p>
            <w:pPr>
              <w:pStyle w:val="TableText"/>
              <w:keepNext/>
            </w:pPr>
            <w:r>
              <w:t>其他3个数据集未检出显著差异</w:t>
            </w:r>
          </w:p>
        </w:tc>
      </w:tr>
      <w:tr>
        <w:trPr>
          <w:cantSplit/>
        </w:trPr>
        <w:tc>
          <w:tcPr>
            <w:tcW w:type="dxa" w:w="2050"/>
            <w:vAlign w:val="center"/>
          </w:tcPr>
          <w:p>
            <w:pPr>
              <w:pStyle w:val="TableText"/>
              <w:keepNext/>
            </w:pPr>
            <w:r>
              <w:t>AP Dunn WADI</w:t>
            </w:r>
          </w:p>
        </w:tc>
        <w:tc>
          <w:tcPr>
            <w:tcW w:type="dxa" w:w="3500"/>
            <w:vAlign w:val="center"/>
          </w:tcPr>
          <w:p>
            <w:pPr>
              <w:pStyle w:val="TableText"/>
              <w:keepNext/>
            </w:pPr>
            <w:r>
              <w:t>DNN与传统方法差异显著 p&lt;0.05</w:t>
            </w:r>
          </w:p>
        </w:tc>
        <w:tc>
          <w:tcPr>
            <w:tcW w:type="dxa" w:w="3810"/>
            <w:vAlign w:val="center"/>
          </w:tcPr>
          <w:p>
            <w:pPr>
              <w:pStyle w:val="TableText"/>
              <w:keepNext/>
            </w:pPr>
            <w:r>
              <w:t>支持该数据集上这两个家族的差异</w:t>
            </w:r>
          </w:p>
        </w:tc>
      </w:tr>
      <w:tr>
        <w:trPr>
          <w:cantSplit/>
        </w:trPr>
        <w:tc>
          <w:tcPr>
            <w:tcW w:type="dxa" w:w="2050"/>
            <w:vAlign w:val="center"/>
          </w:tcPr>
          <w:p>
            <w:pPr>
              <w:pStyle w:val="TableText"/>
            </w:pPr>
            <w:r>
              <w:t>AP Dunn SWaT</w:t>
            </w:r>
          </w:p>
        </w:tc>
        <w:tc>
          <w:tcPr>
            <w:tcW w:type="dxa" w:w="3500"/>
            <w:vAlign w:val="center"/>
          </w:tcPr>
          <w:p>
            <w:pPr>
              <w:pStyle w:val="TableText"/>
            </w:pPr>
            <w:r>
              <w:t>正文称弱证据 但p范围书写矛盾</w:t>
            </w:r>
          </w:p>
        </w:tc>
        <w:tc>
          <w:tcPr>
            <w:tcW w:type="dxa" w:w="3810"/>
            <w:vAlign w:val="center"/>
          </w:tcPr>
          <w:p>
            <w:pPr>
              <w:pStyle w:val="TableText"/>
            </w:pPr>
            <w:r>
              <w:t>不能据此填写可信的精确p范围</w:t>
            </w:r>
          </w:p>
        </w:tc>
      </w:tr>
    </w:tbl>
    <w:p>
      <w:pPr>
        <w:spacing w:after="0"/>
        <w:snapToGrid w:val="0"/>
      </w:pPr>
    </w:p>
    <w:p>
      <w:pPr>
        <w:snapToGrid w:val="0"/>
      </w:pPr>
      <w:r>
        <w:t>原文写“0.1 &lt; p &lt; 0.05”，这是不可能成立的不等式，可能是排版笔误。报告不擅自修正为另一范围。原文也未完整给出全部精确p值、效应量和多重比较校正细节。</w:t>
      </w:r>
    </w:p>
    <w:p>
      <w:pPr>
        <w:snapToGrid w:val="0"/>
      </w:pPr>
      <w:r>
        <w:t>未拒绝零假设不等于证明三家族等效，更不能证明每种传统方法与每种DNN都一样好。SMD的F1总体显著也不自动指明究竟哪一对家族有差异。</w:t>
      </w:r>
    </w:p>
    <w:p>
      <w:pPr>
        <w:pStyle w:val="Heading3"/>
        <w:snapToGrid w:val="0"/>
      </w:pPr>
      <w:r>
        <w:t>如何读取表2</w:t>
      </w:r>
    </w:p>
    <w:p>
      <w:pPr>
        <w:snapToGrid w:val="0"/>
      </w:pPr>
      <w:r>
        <w:t>表2列出每家族内的最好与最差方法，没有给完整的16×5精确数值矩阵。下面是原表“最好方法”转录，不是跨家族总冠军表。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pPr>
            <w:r>
              <w:rPr>
                <w:b/>
                <w:color w:val="1F4D78"/>
              </w:rPr>
              <w:t>数据与指标</w:t>
            </w:r>
          </w:p>
        </w:tc>
        <w:tc>
          <w:tcPr>
            <w:tcW w:type="dxa" w:w="2200"/>
            <w:vAlign w:val="center"/>
            <w:shd w:fill="E8EEF5"/>
          </w:tcPr>
          <w:p>
            <w:pPr>
              <w:pStyle w:val="TableText"/>
            </w:pPr>
            <w:r>
              <w:rPr>
                <w:b/>
                <w:color w:val="1F4D78"/>
              </w:rPr>
              <w:t>传统家族内最好</w:t>
            </w:r>
          </w:p>
        </w:tc>
        <w:tc>
          <w:tcPr>
            <w:tcW w:type="dxa" w:w="2200"/>
            <w:vAlign w:val="center"/>
            <w:shd w:fill="E8EEF5"/>
          </w:tcPr>
          <w:p>
            <w:pPr>
              <w:pStyle w:val="TableText"/>
            </w:pPr>
            <w:r>
              <w:rPr>
                <w:b/>
                <w:color w:val="1F4D78"/>
              </w:rPr>
              <w:t>ML家族内最好</w:t>
            </w:r>
          </w:p>
        </w:tc>
        <w:tc>
          <w:tcPr>
            <w:tcW w:type="dxa" w:w="2660"/>
            <w:vAlign w:val="center"/>
            <w:shd w:fill="E8EEF5"/>
          </w:tcPr>
          <w:p>
            <w:pPr>
              <w:pStyle w:val="TableText"/>
            </w:pPr>
            <w:r>
              <w:rPr>
                <w:b/>
                <w:color w:val="1F4D78"/>
              </w:rPr>
              <w:t>DNN家族内最好</w:t>
            </w:r>
          </w:p>
        </w:tc>
      </w:tr>
      <w:tr>
        <w:trPr>
          <w:cantSplit/>
        </w:trPr>
        <w:tc>
          <w:tcPr>
            <w:tcW w:type="dxa" w:w="2300"/>
            <w:vAlign w:val="center"/>
          </w:tcPr>
          <w:p>
            <w:pPr>
              <w:pStyle w:val="TableText"/>
            </w:pPr>
            <w:r>
              <w:t>SWaT AP</w:t>
            </w:r>
          </w:p>
        </w:tc>
        <w:tc>
          <w:tcPr>
            <w:tcW w:type="dxa" w:w="2200"/>
            <w:vAlign w:val="center"/>
          </w:tcPr>
          <w:p>
            <w:pPr>
              <w:pStyle w:val="TableText"/>
            </w:pPr>
            <w:r>
              <w:t>PCA</w:t>
            </w:r>
          </w:p>
        </w:tc>
        <w:tc>
          <w:tcPr>
            <w:tcW w:type="dxa" w:w="2200"/>
            <w:vAlign w:val="center"/>
          </w:tcPr>
          <w:p>
            <w:pPr>
              <w:pStyle w:val="TableText"/>
            </w:pPr>
            <w:r>
              <w:t>OC SVM</w:t>
            </w:r>
          </w:p>
        </w:tc>
        <w:tc>
          <w:tcPr>
            <w:tcW w:type="dxa" w:w="2660"/>
            <w:vAlign w:val="center"/>
          </w:tcPr>
          <w:p>
            <w:pPr>
              <w:pStyle w:val="TableText"/>
            </w:pPr>
            <w:r>
              <w:t>USAD</w:t>
            </w:r>
          </w:p>
        </w:tc>
      </w:tr>
      <w:tr>
        <w:trPr>
          <w:cantSplit/>
        </w:trPr>
        <w:tc>
          <w:tcPr>
            <w:tcW w:type="dxa" w:w="2300"/>
            <w:vAlign w:val="center"/>
          </w:tcPr>
          <w:p>
            <w:pPr>
              <w:pStyle w:val="TableText"/>
            </w:pPr>
            <w:r>
              <w:t>SWaT F1</w:t>
            </w:r>
          </w:p>
        </w:tc>
        <w:tc>
          <w:tcPr>
            <w:tcW w:type="dxa" w:w="2200"/>
            <w:vAlign w:val="center"/>
          </w:tcPr>
          <w:p>
            <w:pPr>
              <w:pStyle w:val="TableText"/>
            </w:pPr>
            <w:r>
              <w:t>MP</w:t>
            </w:r>
          </w:p>
        </w:tc>
        <w:tc>
          <w:tcPr>
            <w:tcW w:type="dxa" w:w="2200"/>
            <w:vAlign w:val="center"/>
          </w:tcPr>
          <w:p>
            <w:pPr>
              <w:pStyle w:val="TableText"/>
            </w:pPr>
            <w:r>
              <w:t>LOF</w:t>
            </w:r>
          </w:p>
        </w:tc>
        <w:tc>
          <w:tcPr>
            <w:tcW w:type="dxa" w:w="2660"/>
            <w:vAlign w:val="center"/>
          </w:tcPr>
          <w:p>
            <w:pPr>
              <w:pStyle w:val="TableText"/>
            </w:pPr>
            <w:r>
              <w:t>USAD</w:t>
            </w:r>
          </w:p>
        </w:tc>
      </w:tr>
      <w:tr>
        <w:trPr>
          <w:cantSplit/>
        </w:trPr>
        <w:tc>
          <w:tcPr>
            <w:tcW w:type="dxa" w:w="2300"/>
            <w:vAlign w:val="center"/>
          </w:tcPr>
          <w:p>
            <w:pPr>
              <w:pStyle w:val="TableText"/>
            </w:pPr>
            <w:r>
              <w:t>WADI AP</w:t>
            </w:r>
          </w:p>
        </w:tc>
        <w:tc>
          <w:tcPr>
            <w:tcW w:type="dxa" w:w="2200"/>
            <w:vAlign w:val="center"/>
          </w:tcPr>
          <w:p>
            <w:pPr>
              <w:pStyle w:val="TableText"/>
            </w:pPr>
            <w:r>
              <w:t>PCA</w:t>
            </w:r>
          </w:p>
        </w:tc>
        <w:tc>
          <w:tcPr>
            <w:tcW w:type="dxa" w:w="2200"/>
            <w:vAlign w:val="center"/>
          </w:tcPr>
          <w:p>
            <w:pPr>
              <w:pStyle w:val="TableText"/>
            </w:pPr>
            <w:r>
              <w:t>LOF</w:t>
            </w:r>
          </w:p>
        </w:tc>
        <w:tc>
          <w:tcPr>
            <w:tcW w:type="dxa" w:w="2660"/>
            <w:vAlign w:val="center"/>
          </w:tcPr>
          <w:p>
            <w:pPr>
              <w:pStyle w:val="TableText"/>
            </w:pPr>
            <w:r>
              <w:t>USAD</w:t>
            </w:r>
          </w:p>
        </w:tc>
      </w:tr>
      <w:tr>
        <w:trPr>
          <w:cantSplit/>
        </w:trPr>
        <w:tc>
          <w:tcPr>
            <w:tcW w:type="dxa" w:w="2300"/>
            <w:vAlign w:val="center"/>
          </w:tcPr>
          <w:p>
            <w:pPr>
              <w:pStyle w:val="TableText"/>
            </w:pPr>
            <w:r>
              <w:t>WADI F1</w:t>
            </w:r>
          </w:p>
        </w:tc>
        <w:tc>
          <w:tcPr>
            <w:tcW w:type="dxa" w:w="2200"/>
            <w:vAlign w:val="center"/>
          </w:tcPr>
          <w:p>
            <w:pPr>
              <w:pStyle w:val="TableText"/>
            </w:pPr>
            <w:r>
              <w:t>MEWMA</w:t>
            </w:r>
          </w:p>
        </w:tc>
        <w:tc>
          <w:tcPr>
            <w:tcW w:type="dxa" w:w="2200"/>
            <w:vAlign w:val="center"/>
          </w:tcPr>
          <w:p>
            <w:pPr>
              <w:pStyle w:val="TableText"/>
            </w:pPr>
            <w:r>
              <w:t>IF</w:t>
            </w:r>
          </w:p>
        </w:tc>
        <w:tc>
          <w:tcPr>
            <w:tcW w:type="dxa" w:w="2660"/>
            <w:vAlign w:val="center"/>
          </w:tcPr>
          <w:p>
            <w:pPr>
              <w:pStyle w:val="TableText"/>
            </w:pPr>
            <w:r>
              <w:t>USAD</w:t>
            </w:r>
          </w:p>
        </w:tc>
      </w:tr>
      <w:tr>
        <w:trPr>
          <w:cantSplit/>
        </w:trPr>
        <w:tc>
          <w:tcPr>
            <w:tcW w:type="dxa" w:w="2300"/>
            <w:vAlign w:val="center"/>
          </w:tcPr>
          <w:p>
            <w:pPr>
              <w:pStyle w:val="TableText"/>
            </w:pPr>
            <w:r>
              <w:t>SMD AP</w:t>
            </w:r>
          </w:p>
        </w:tc>
        <w:tc>
          <w:tcPr>
            <w:tcW w:type="dxa" w:w="2200"/>
            <w:vAlign w:val="center"/>
          </w:tcPr>
          <w:p>
            <w:pPr>
              <w:pStyle w:val="TableText"/>
            </w:pPr>
            <w:r>
              <w:t>ICA</w:t>
            </w:r>
          </w:p>
        </w:tc>
        <w:tc>
          <w:tcPr>
            <w:tcW w:type="dxa" w:w="2200"/>
            <w:vAlign w:val="center"/>
          </w:tcPr>
          <w:p>
            <w:pPr>
              <w:pStyle w:val="TableText"/>
            </w:pPr>
            <w:r>
              <w:t>OC SVM</w:t>
            </w:r>
          </w:p>
        </w:tc>
        <w:tc>
          <w:tcPr>
            <w:tcW w:type="dxa" w:w="2660"/>
            <w:vAlign w:val="center"/>
          </w:tcPr>
          <w:p>
            <w:pPr>
              <w:pStyle w:val="TableText"/>
            </w:pPr>
            <w:r>
              <w:t>OmniAnomaly</w:t>
            </w:r>
          </w:p>
        </w:tc>
      </w:tr>
      <w:tr>
        <w:trPr>
          <w:cantSplit/>
        </w:trPr>
        <w:tc>
          <w:tcPr>
            <w:tcW w:type="dxa" w:w="2300"/>
            <w:vAlign w:val="center"/>
          </w:tcPr>
          <w:p>
            <w:pPr>
              <w:pStyle w:val="TableText"/>
            </w:pPr>
            <w:r>
              <w:t>SMD F1</w:t>
            </w:r>
          </w:p>
        </w:tc>
        <w:tc>
          <w:tcPr>
            <w:tcW w:type="dxa" w:w="2200"/>
            <w:vAlign w:val="center"/>
          </w:tcPr>
          <w:p>
            <w:pPr>
              <w:pStyle w:val="TableText"/>
            </w:pPr>
            <w:r>
              <w:t>ICA</w:t>
            </w:r>
          </w:p>
        </w:tc>
        <w:tc>
          <w:tcPr>
            <w:tcW w:type="dxa" w:w="2200"/>
            <w:vAlign w:val="center"/>
          </w:tcPr>
          <w:p>
            <w:pPr>
              <w:pStyle w:val="TableText"/>
            </w:pPr>
            <w:r>
              <w:t>IF</w:t>
            </w:r>
          </w:p>
        </w:tc>
        <w:tc>
          <w:tcPr>
            <w:tcW w:type="dxa" w:w="2660"/>
            <w:vAlign w:val="center"/>
          </w:tcPr>
          <w:p>
            <w:pPr>
              <w:pStyle w:val="TableText"/>
            </w:pPr>
            <w:r>
              <w:t>OmniAnomaly</w:t>
            </w:r>
          </w:p>
        </w:tc>
      </w:tr>
      <w:tr>
        <w:trPr>
          <w:cantSplit/>
        </w:trPr>
        <w:tc>
          <w:tcPr>
            <w:tcW w:type="dxa" w:w="2300"/>
            <w:vAlign w:val="center"/>
          </w:tcPr>
          <w:p>
            <w:pPr>
              <w:pStyle w:val="TableText"/>
            </w:pPr>
            <w:r>
              <w:t>SMAP AP</w:t>
            </w:r>
          </w:p>
        </w:tc>
        <w:tc>
          <w:tcPr>
            <w:tcW w:type="dxa" w:w="2200"/>
            <w:vAlign w:val="center"/>
          </w:tcPr>
          <w:p>
            <w:pPr>
              <w:pStyle w:val="TableText"/>
            </w:pPr>
            <w:r>
              <w:t>MCUSUM</w:t>
            </w:r>
          </w:p>
        </w:tc>
        <w:tc>
          <w:tcPr>
            <w:tcW w:type="dxa" w:w="2200"/>
            <w:vAlign w:val="center"/>
          </w:tcPr>
          <w:p>
            <w:pPr>
              <w:pStyle w:val="TableText"/>
            </w:pPr>
            <w:r>
              <w:t>OC SVM</w:t>
            </w:r>
          </w:p>
        </w:tc>
        <w:tc>
          <w:tcPr>
            <w:tcW w:type="dxa" w:w="2660"/>
            <w:vAlign w:val="center"/>
          </w:tcPr>
          <w:p>
            <w:pPr>
              <w:pStyle w:val="TableText"/>
            </w:pPr>
            <w:r>
              <w:t>OmniAnomaly</w:t>
            </w:r>
          </w:p>
        </w:tc>
      </w:tr>
      <w:tr>
        <w:trPr>
          <w:cantSplit/>
        </w:trPr>
        <w:tc>
          <w:tcPr>
            <w:tcW w:type="dxa" w:w="2300"/>
            <w:vAlign w:val="center"/>
          </w:tcPr>
          <w:p>
            <w:pPr>
              <w:pStyle w:val="TableText"/>
            </w:pPr>
            <w:r>
              <w:t>SMAP F1</w:t>
            </w:r>
          </w:p>
        </w:tc>
        <w:tc>
          <w:tcPr>
            <w:tcW w:type="dxa" w:w="2200"/>
            <w:vAlign w:val="center"/>
          </w:tcPr>
          <w:p>
            <w:pPr>
              <w:pStyle w:val="TableText"/>
            </w:pPr>
            <w:r>
              <w:t>ICA</w:t>
            </w:r>
          </w:p>
        </w:tc>
        <w:tc>
          <w:tcPr>
            <w:tcW w:type="dxa" w:w="2200"/>
            <w:vAlign w:val="center"/>
          </w:tcPr>
          <w:p>
            <w:pPr>
              <w:pStyle w:val="TableText"/>
            </w:pPr>
            <w:r>
              <w:t>LOF</w:t>
            </w:r>
          </w:p>
        </w:tc>
        <w:tc>
          <w:tcPr>
            <w:tcW w:type="dxa" w:w="2660"/>
            <w:vAlign w:val="center"/>
          </w:tcPr>
          <w:p>
            <w:pPr>
              <w:pStyle w:val="TableText"/>
            </w:pPr>
            <w:r>
              <w:t>USAD</w:t>
            </w:r>
          </w:p>
        </w:tc>
      </w:tr>
      <w:tr>
        <w:trPr>
          <w:cantSplit/>
        </w:trPr>
        <w:tc>
          <w:tcPr>
            <w:tcW w:type="dxa" w:w="2300"/>
            <w:vAlign w:val="center"/>
          </w:tcPr>
          <w:p>
            <w:pPr>
              <w:pStyle w:val="TableText"/>
            </w:pPr>
            <w:r>
              <w:t>MSL AP</w:t>
            </w:r>
          </w:p>
        </w:tc>
        <w:tc>
          <w:tcPr>
            <w:tcW w:type="dxa" w:w="2200"/>
            <w:vAlign w:val="center"/>
          </w:tcPr>
          <w:p>
            <w:pPr>
              <w:pStyle w:val="TableText"/>
            </w:pPr>
            <w:r>
              <w:t>SSA</w:t>
            </w:r>
          </w:p>
        </w:tc>
        <w:tc>
          <w:tcPr>
            <w:tcW w:type="dxa" w:w="2200"/>
            <w:vAlign w:val="center"/>
          </w:tcPr>
          <w:p>
            <w:pPr>
              <w:pStyle w:val="TableText"/>
            </w:pPr>
            <w:r>
              <w:t>OC SVM</w:t>
            </w:r>
          </w:p>
        </w:tc>
        <w:tc>
          <w:tcPr>
            <w:tcW w:type="dxa" w:w="2660"/>
            <w:vAlign w:val="center"/>
          </w:tcPr>
          <w:p>
            <w:pPr>
              <w:pStyle w:val="TableText"/>
            </w:pPr>
            <w:r>
              <w:t>USAD</w:t>
            </w:r>
          </w:p>
        </w:tc>
      </w:tr>
      <w:tr>
        <w:trPr>
          <w:cantSplit/>
        </w:trPr>
        <w:tc>
          <w:tcPr>
            <w:tcW w:type="dxa" w:w="2300"/>
            <w:vAlign w:val="center"/>
          </w:tcPr>
          <w:p>
            <w:pPr>
              <w:pStyle w:val="TableText"/>
            </w:pPr>
            <w:r>
              <w:t>MSL F1</w:t>
            </w:r>
          </w:p>
        </w:tc>
        <w:tc>
          <w:tcPr>
            <w:tcW w:type="dxa" w:w="2200"/>
            <w:vAlign w:val="center"/>
          </w:tcPr>
          <w:p>
            <w:pPr>
              <w:pStyle w:val="TableText"/>
            </w:pPr>
            <w:r>
              <w:t>ICA</w:t>
            </w:r>
          </w:p>
        </w:tc>
        <w:tc>
          <w:tcPr>
            <w:tcW w:type="dxa" w:w="2200"/>
            <w:vAlign w:val="center"/>
          </w:tcPr>
          <w:p>
            <w:pPr>
              <w:pStyle w:val="TableText"/>
            </w:pPr>
            <w:r>
              <w:t>IF</w:t>
            </w:r>
          </w:p>
        </w:tc>
        <w:tc>
          <w:tcPr>
            <w:tcW w:type="dxa" w:w="2660"/>
            <w:vAlign w:val="center"/>
          </w:tcPr>
          <w:p>
            <w:pPr>
              <w:pStyle w:val="TableText"/>
            </w:pPr>
            <w:r>
              <w:t>USAD</w:t>
            </w:r>
          </w:p>
        </w:tc>
      </w:tr>
    </w:tbl>
    <w:p>
      <w:pPr>
        <w:spacing w:after="0"/>
        <w:snapToGrid w:val="0"/>
      </w:pPr>
    </w:p>
    <w:p>
      <w:pPr>
        <w:snapToGrid w:val="0"/>
      </w:pPr>
      <w:r>
        <w:t>表2还注明VAR和SSA在SWaT、WADI中执行10天后仍未收敛，MP在WADI也出现该情况。这里应记录为本实验未完成或扩展性问题，不能给出虚构零分，也不能说这些算法理论上总是无法运行。</w:t>
      </w:r>
    </w:p>
    <w:p>
      <w:pPr>
        <w:pStyle w:val="Heading3"/>
        <w:snapToGrid w:val="0"/>
      </w:pPr>
      <w:r>
        <w:t>本节结论</w:t>
      </w:r>
    </w:p>
    <w:p>
      <w:pPr>
        <w:pStyle w:val="ReportBullet"/>
        <w:keepNext/>
        <w:numPr>
          <w:ilvl w:val="0"/>
          <w:numId w:val="51"/>
        </w:numPr>
        <w:snapToGrid w:val="0"/>
      </w:pPr>
      <w:r>
        <w:t>部分均值领先不等于持续且普遍的优势。</w:t>
      </w:r>
    </w:p>
    <w:p>
      <w:pPr>
        <w:pStyle w:val="ReportBullet"/>
        <w:keepNext/>
        <w:numPr>
          <w:ilvl w:val="0"/>
          <w:numId w:val="51"/>
        </w:numPr>
        <w:snapToGrid w:val="0"/>
      </w:pPr>
      <w:r>
        <w:t>未显著与等效是两种不同结论。</w:t>
      </w:r>
    </w:p>
    <w:p>
      <w:pPr>
        <w:pStyle w:val="ReportBullet"/>
        <w:numPr>
          <w:ilvl w:val="0"/>
          <w:numId w:val="51"/>
        </w:numPr>
        <w:snapToGrid w:val="0"/>
      </w:pPr>
      <w:r>
        <w:t>排名必须绑定数据集、指标、阈值和纳入的方法集合。</w:t>
      </w:r>
    </w:p>
    <w:p>
      <w:pPr>
        <w:pStyle w:val="Heading2"/>
        <w:snapToGrid w:val="0"/>
      </w:pPr>
      <w:r>
        <w:t>9 WADI案例与第三类学習外输入</w:t>
      </w:r>
    </w:p>
    <w:p>
      <w:pPr>
        <w:pStyle w:val="Heading3"/>
        <w:snapToGrid w:val="0"/>
      </w:pPr>
      <w:r>
        <w:t>为什么专门分析WADI</w:t>
      </w:r>
    </w:p>
    <w:p>
      <w:pPr>
        <w:snapToGrid w:val="0"/>
      </w:pPr>
      <w:r>
        <w:t>WADI的AP后续成对比较显示DNN与传统方法之间的差异。作者进一步看哪些事件被漏掉，试图把总体分数差异解释为具体异常类型差异。[R1，第5.3节，图3至4]</w:t>
      </w:r>
    </w:p>
    <w:p>
      <w:pPr>
        <w:pStyle w:val="Heading3"/>
        <w:snapToGrid w:val="0"/>
      </w:pPr>
      <w:r>
        <w:t>原文案例的物理含义</w:t>
      </w:r>
    </w:p>
    <w:p>
      <w:pPr>
        <w:snapToGrid w:val="0"/>
      </w:pPr>
      <w:r>
        <w:t>1_MV_001是电动阀状态变量，1_LT_001是液位变量。正常动作应在液位到达约40的切换条件后发生；异常时液位尚未降到该条件，阀状态已变为2并开始补水。液位本身没有极端越界，阀状态2也不是从未见过的数值，异常在动作时机与液位的关系。</w:t>
      </w:r>
    </w:p>
    <w:p>
      <w:pPr>
        <w:snapToGrid w:val="0"/>
      </w:pPr>
      <w:r>
        <w:t>这与③高度相关，但应描述为条件动作规则或时序关系异常。它不一定表现为全局Pearson相关系数明显变化。阀门在补水后可能继续开启一段时间，所以也不能粗暴写成“任何液位大于40且阀状态为2都是异常”。应识别开启这一转换事件及其前后状态。</w:t>
      </w:r>
    </w:p>
    <w:p>
      <w:pPr>
        <w:snapToGrid w:val="0"/>
      </w:pPr>
      <w:r>
        <w:t>说明例：正常在液位从41下降到39时发生阀状态1→2；异常在液位45时就发生1→2。45和2都可能单独出现在正常记录里，但这个状态转换组合未遵循正常控制规律。例中41、39、45是教学数值，原文明确提供的是阈值40和状态2。</w:t>
      </w:r>
    </w:p>
    <w:p>
      <w:pPr>
        <w:pStyle w:val="Heading3"/>
        <w:snapToGrid w:val="0"/>
      </w:pPr>
      <w:r>
        <w:t>图3的统计单位</w:t>
      </w:r>
    </w:p>
    <w:p>
      <w:pPr>
        <w:snapToGrid w:val="0"/>
      </w:pPr>
      <w:r>
        <w:t>论文分析14个异常事件，DNN家族中没有任何方法检出的事件为4个；传统和ML家族的讨论中相应漏检为7个。作者把其中3个额外被DNN检出的异常解释为上下文异常。</w:t>
      </w:r>
    </w:p>
    <w:p>
      <w:pPr>
        <w:snapToGrid w:val="0"/>
      </w:pPr>
      <w:r>
        <w:t>如果按14个事件粗算，DNN家族“至少有一个方法命中”的覆盖为10/14，约71.4%。这是根据原文计数的推导，不是任何一个DNN的召回率，也不是把所有DNN集成部署后的F1。没有相应误报合并统计，无法评价这样的家族并集系统。</w:t>
      </w:r>
    </w:p>
    <w:p>
      <w:pPr>
        <w:snapToGrid w:val="0"/>
      </w:pPr>
      <w:r>
        <w:t>WADI提供者的原始A1说明为15次攻击，而本文分析14个异常事件；攻击、标签区间和处理后事件可能不同。本文没有充分解释这个差异，不能把14和15互相替换。[R3]</w:t>
      </w:r>
    </w:p>
    <w:p>
      <w:pPr>
        <w:pStyle w:val="Heading3"/>
        <w:snapToGrid w:val="0"/>
      </w:pPr>
      <w:r>
        <w:t>能证明DNN是必要的吗</w:t>
      </w:r>
    </w:p>
    <w:p>
      <w:pPr>
        <w:snapToGrid w:val="0"/>
      </w:pPr>
      <w:r>
        <w:t>只能说明本文所测DNN在这几个案例上具有额外检出能力。PCA、VAR、核方法、关系特征与基于控制规则的方法也可能表达关系异常；本文没有穷尽所有这样的传统方案，也没有独立③标签的大规模统计。因此“DNN可能有价值”比“③必须用DNN”更符合证据。</w:t>
      </w:r>
    </w:p>
    <w:p>
      <w:pPr>
        <w:pStyle w:val="Heading3"/>
        <w:snapToGrid w:val="0"/>
      </w:pPr>
      <w:r>
        <w:t>本节结论</w:t>
      </w:r>
    </w:p>
    <w:p>
      <w:pPr>
        <w:pStyle w:val="ReportBullet"/>
        <w:keepNext/>
        <w:numPr>
          <w:ilvl w:val="0"/>
          <w:numId w:val="51"/>
        </w:numPr>
        <w:snapToGrid w:val="0"/>
      </w:pPr>
      <w:r>
        <w:t>这是本篇与社内控制系统最直接的联系。</w:t>
      </w:r>
    </w:p>
    <w:p>
      <w:pPr>
        <w:pStyle w:val="ReportBullet"/>
        <w:keepNext/>
        <w:numPr>
          <w:ilvl w:val="0"/>
          <w:numId w:val="51"/>
        </w:numPr>
        <w:snapToGrid w:val="0"/>
      </w:pPr>
      <w:r>
        <w:t>应检查状态转换关系，而不只看单时刻数值上下限。</w:t>
      </w:r>
    </w:p>
    <w:p>
      <w:pPr>
        <w:pStyle w:val="ReportBullet"/>
        <w:numPr>
          <w:ilvl w:val="0"/>
          <w:numId w:val="51"/>
        </w:numPr>
        <w:snapToGrid w:val="0"/>
      </w:pPr>
      <w:r>
        <w:t>家族并集的事件覆盖不等于单模型性能。</w:t>
      </w:r>
    </w:p>
    <w:p>
      <w:pPr>
        <w:pStyle w:val="Heading2"/>
        <w:snapToGrid w:val="0"/>
      </w:pPr>
      <w:r>
        <w:t>10 数据量实验与讨论</w:t>
      </w:r>
    </w:p>
    <w:p>
      <w:pPr>
        <w:pStyle w:val="Heading3"/>
        <w:snapToGrid w:val="0"/>
      </w:pPr>
      <w:r>
        <w:t>这一节在讲什么以及作用</w:t>
      </w:r>
    </w:p>
    <w:p>
      <w:pPr>
        <w:snapToGrid w:val="0"/>
      </w:pPr>
      <w:r>
        <w:t>作者在SWaT与WADI保留最接近测试期间的最近10%、25%、50%、75%训练点，重新训练每个方法，并比较AP。[R1，第5.4节，图5]</w:t>
      </w:r>
    </w:p>
    <w:p>
      <w:pPr>
        <w:snapToGrid w:val="0"/>
      </w:pPr>
      <w:r>
        <w:t>作者观察到在较小训练集下传统方法总体更有竞争力，部分学习方法随样本增加有所改善。正文举例说SWaT中MP、PCA、ICA在保留50%及以下时很强；IF在WADI并不完全随数据量单调改善。</w:t>
      </w:r>
    </w:p>
    <w:p>
      <w:pPr>
        <w:pStyle w:val="Heading3"/>
        <w:snapToGrid w:val="0"/>
      </w:pPr>
      <w:r>
        <w:t>为什么不能写成需要至少一半数据</w:t>
      </w:r>
    </w:p>
    <w:p>
      <w:pPr>
        <w:snapToGrid w:val="0"/>
      </w:pPr>
      <w:r>
        <w:t>百分比是相对各自原始训练集，不是普适样本门槛。SWaT的10%约49,680点，WADI的10%约120,960点；它们本身都不是十几个样本的few-shot任务。</w:t>
      </w:r>
    </w:p>
    <w:p>
      <w:pPr>
        <w:snapToGrid w:val="0"/>
      </w:pPr>
      <w:r>
        <w:t>保留“最近的数据”同时改变样本数、历史覆盖和时间接近程度，未单独控制每一种影响。因此结果不能完全归因于样本量，也不能直接证明②某个局部稀疏区域的检出性能。正确研究②还需按工况或输入区域分层减少样本，并评估该区域与业务AI误差。</w:t>
      </w:r>
    </w:p>
    <w:p>
      <w:pPr>
        <w:snapToGrid w:val="0"/>
      </w:pPr>
      <w:r>
        <w:t>图5没有提供对应完整精确数值表，不能从低分辨率柱形图生成多位小数。报告保留作者的定性趋势，不把“超过50%”写成工程准入规则。</w:t>
      </w:r>
    </w:p>
    <w:p>
      <w:pPr>
        <w:pStyle w:val="Heading3"/>
        <w:snapToGrid w:val="0"/>
      </w:pPr>
      <w:r>
        <w:t>计算量与复现性的讨论</w:t>
      </w:r>
    </w:p>
    <w:p>
      <w:pPr>
        <w:snapToGrid w:val="0"/>
      </w:pPr>
      <w:r>
        <w:t>作者承认没有详细比较各方法计算时间。DNN训练可能昂贵，但固定模型推理可较快；MP需要与参考子序列比较，一些传统方法在大数据上反而难扩展。不能把“传统”自动标为实时，把“深度”自动标为慢。</w:t>
      </w:r>
    </w:p>
    <w:p>
      <w:pPr>
        <w:snapToGrid w:val="0"/>
      </w:pPr>
      <w:r>
        <w:t>原文说传统方法不需要训练，表述过宽。PCA要估计均值和主方向，VAR要估计系数，控制图要校正参数；它们通常没有神经网络那样的多轮梯度训练，但仍有拟合或校正成本。</w:t>
      </w:r>
    </w:p>
    <w:p>
      <w:pPr>
        <w:pStyle w:val="Heading3"/>
        <w:snapToGrid w:val="0"/>
      </w:pPr>
      <w:r>
        <w:t>本节结论</w:t>
      </w:r>
    </w:p>
    <w:p>
      <w:pPr>
        <w:pStyle w:val="ReportBullet"/>
        <w:keepNext/>
        <w:numPr>
          <w:ilvl w:val="0"/>
          <w:numId w:val="51"/>
        </w:numPr>
        <w:snapToGrid w:val="0"/>
      </w:pPr>
      <w:r>
        <w:t>正常工况覆盖比孤立的训练点数更有解释力。</w:t>
      </w:r>
    </w:p>
    <w:p>
      <w:pPr>
        <w:pStyle w:val="ReportBullet"/>
        <w:keepNext/>
        <w:numPr>
          <w:ilvl w:val="0"/>
          <w:numId w:val="51"/>
        </w:numPr>
        <w:snapToGrid w:val="0"/>
      </w:pPr>
      <w:r>
        <w:t>本文支持保留小数据基线，但没有统一最低样本量。</w:t>
      </w:r>
    </w:p>
    <w:p>
      <w:pPr>
        <w:pStyle w:val="ReportBullet"/>
        <w:numPr>
          <w:ilvl w:val="0"/>
          <w:numId w:val="51"/>
        </w:numPr>
        <w:snapToGrid w:val="0"/>
      </w:pPr>
      <w:r>
        <w:t>运行时间和硬件证据不足，实时性需要另测。</w:t>
      </w:r>
    </w:p>
    <w:p>
      <w:pPr>
        <w:pStyle w:val="Heading1"/>
        <w:pageBreakBefore/>
        <w:snapToGrid w:val="0"/>
      </w:pPr>
      <w:r>
        <w:t>第二部分 日本語研究報告</w:t>
      </w:r>
    </w:p>
    <w:p>
      <w:pPr>
        <w:pStyle w:val="Heading2"/>
        <w:snapToGrid w:val="0"/>
      </w:pPr>
      <w:r>
        <w:t>1 文献情報と位置付け</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Do Deep Neural Networks Contribute to Multivariate Time Series Anomaly Detection?</w:t>
            </w:r>
          </w:p>
        </w:tc>
      </w:tr>
      <w:tr>
        <w:trPr>
          <w:cantSplit/>
        </w:trPr>
        <w:tc>
          <w:tcPr>
            <w:tcW w:type="dxa" w:w="2400"/>
            <w:vAlign w:val="center"/>
          </w:tcPr>
          <w:p>
            <w:pPr>
              <w:pStyle w:val="TableText"/>
            </w:pPr>
            <w:r>
              <w:t>著者</w:t>
            </w:r>
          </w:p>
        </w:tc>
        <w:tc>
          <w:tcPr>
            <w:tcW w:type="dxa" w:w="6960"/>
            <w:vAlign w:val="center"/>
          </w:tcPr>
          <w:p>
            <w:pPr>
              <w:pStyle w:val="TableText"/>
            </w:pPr>
            <w:r>
              <w:t>Julien Audibert Pietro Michiardi Frédéric Guyard Sébastien Marti Maria A. Zuluaga</w:t>
            </w:r>
          </w:p>
        </w:tc>
      </w:tr>
      <w:tr>
        <w:trPr>
          <w:cantSplit/>
        </w:trPr>
        <w:tc>
          <w:tcPr>
            <w:tcW w:type="dxa" w:w="2400"/>
            <w:vAlign w:val="center"/>
          </w:tcPr>
          <w:p>
            <w:pPr>
              <w:pStyle w:val="TableText"/>
            </w:pPr>
            <w:r>
              <w:t>発表先と年</w:t>
            </w:r>
          </w:p>
        </w:tc>
        <w:tc>
          <w:tcPr>
            <w:tcW w:type="dxa" w:w="6960"/>
            <w:vAlign w:val="center"/>
          </w:tcPr>
          <w:p>
            <w:pPr>
              <w:pStyle w:val="TableText"/>
            </w:pPr>
            <w:r>
              <w:t>Pattern Recognition 第132巻 論文番号108945 2022年12月号</w:t>
            </w:r>
          </w:p>
        </w:tc>
      </w:tr>
      <w:tr>
        <w:trPr>
          <w:cantSplit/>
        </w:trPr>
        <w:tc>
          <w:tcPr>
            <w:tcW w:type="dxa" w:w="2400"/>
            <w:vAlign w:val="center"/>
          </w:tcPr>
          <w:p>
            <w:pPr>
              <w:pStyle w:val="TableText"/>
            </w:pPr>
            <w:r>
              <w:t>DOI</w:t>
            </w:r>
          </w:p>
        </w:tc>
        <w:tc>
          <w:tcPr>
            <w:tcW w:type="dxa" w:w="6960"/>
            <w:vAlign w:val="center"/>
          </w:tcPr>
          <w:p>
            <w:pPr>
              <w:pStyle w:val="TableText"/>
            </w:pPr>
            <w:r>
              <w:t>10.1016/j.patcog.2022.108945</w:t>
            </w:r>
          </w:p>
        </w:tc>
      </w:tr>
      <w:tr>
        <w:trPr>
          <w:cantSplit/>
        </w:trPr>
        <w:tc>
          <w:tcPr>
            <w:tcW w:type="dxa" w:w="2400"/>
            <w:vAlign w:val="center"/>
          </w:tcPr>
          <w:p>
            <w:pPr>
              <w:pStyle w:val="TableText"/>
            </w:pPr>
            <w:r>
              <w:t>使用版</w:t>
            </w:r>
          </w:p>
        </w:tc>
        <w:tc>
          <w:tcPr>
            <w:tcW w:type="dxa" w:w="6960"/>
            <w:vAlign w:val="center"/>
          </w:tcPr>
          <w:p>
            <w:pPr>
              <w:pStyle w:val="TableText"/>
            </w:pPr>
            <w:r>
              <w:t>添付著者稿 全35頁 表紙に2022年5月31日の原稿日付</w:t>
            </w:r>
          </w:p>
        </w:tc>
      </w:tr>
      <w:tr>
        <w:trPr>
          <w:cantSplit/>
        </w:trPr>
        <w:tc>
          <w:tcPr>
            <w:tcW w:type="dxa" w:w="2400"/>
            <w:vAlign w:val="center"/>
          </w:tcPr>
          <w:p>
            <w:pPr>
              <w:pStyle w:val="TableText"/>
            </w:pPr>
            <w:r>
              <w:t>研究種別</w:t>
            </w:r>
          </w:p>
        </w:tc>
        <w:tc>
          <w:tcPr>
            <w:tcW w:type="dxa" w:w="6960"/>
            <w:vAlign w:val="center"/>
          </w:tcPr>
          <w:p>
            <w:pPr>
              <w:pStyle w:val="TableText"/>
            </w:pPr>
            <w:r>
              <w:t>16手法と5データセットの実験比較研究</w:t>
            </w:r>
          </w:p>
        </w:tc>
      </w:tr>
      <w:tr>
        <w:trPr>
          <w:cantSplit/>
        </w:trPr>
        <w:tc>
          <w:tcPr>
            <w:tcW w:type="dxa" w:w="2400"/>
            <w:vAlign w:val="center"/>
          </w:tcPr>
          <w:p>
            <w:pPr>
              <w:pStyle w:val="TableText"/>
            </w:pPr>
            <w:r>
              <w:t>主な成果</w:t>
            </w:r>
          </w:p>
        </w:tc>
        <w:tc>
          <w:tcPr>
            <w:tcW w:type="dxa" w:w="6960"/>
            <w:vAlign w:val="center"/>
          </w:tcPr>
          <w:p>
            <w:pPr>
              <w:pStyle w:val="TableText"/>
            </w:pPr>
            <w:r>
              <w:t>単一手法群の一貫した優位性なし WADIの文脈異常でDNNの利点を示唆</w:t>
            </w:r>
          </w:p>
        </w:tc>
      </w:tr>
      <w:tr>
        <w:trPr>
          <w:cantSplit/>
        </w:trPr>
        <w:tc>
          <w:tcPr>
            <w:tcW w:type="dxa" w:w="2400"/>
            <w:vAlign w:val="center"/>
          </w:tcPr>
          <w:p>
            <w:pPr>
              <w:pStyle w:val="TableText"/>
            </w:pPr>
            <w:r>
              <w:t>本研究への用途</w:t>
            </w:r>
          </w:p>
        </w:tc>
        <w:tc>
          <w:tcPr>
            <w:tcW w:type="dxa" w:w="6960"/>
            <w:vAlign w:val="center"/>
          </w:tcPr>
          <w:p>
            <w:pPr>
              <w:pStyle w:val="TableText"/>
            </w:pPr>
            <w:r>
              <w:t>比較基準の選定と③関係異常の具体例 低データ条件の検討</w:t>
            </w:r>
          </w:p>
        </w:tc>
      </w:tr>
    </w:tbl>
    <w:p>
      <w:pPr>
        <w:spacing w:after="0"/>
        <w:snapToGrid w:val="0"/>
      </w:pPr>
    </w:p>
    <w:p>
      <w:pPr>
        <w:snapToGrid w:val="0"/>
      </w:pPr>
      <w:r>
        <w:t>正式書誌は著者所属機関の公開情報でも確認した。[R2] 本篇は新しい単一アルゴリズムを提案する論文ではない。DNNの性能を否定するのではなく、選択条件と比較対象の妥当性を検討している。</w:t>
      </w:r>
    </w:p>
    <w:p>
      <w:pPr>
        <w:pStyle w:val="Heading2"/>
        <w:snapToGrid w:val="0"/>
      </w:pPr>
      <w:r>
        <w:t>2 学習外の定義と分類</w:t>
      </w:r>
    </w:p>
    <w:p>
      <w:pPr>
        <w:snapToGrid w:val="0"/>
      </w:pPr>
      <w:r>
        <w:t>本文は正常系列から予期されない点またはパターンを異常と定義し、正常データのみで学習する設定を採用する。入力範囲外、低密度、関係変化を統一した三分類としては定義していない。[R1，第3節]</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本研究の分類</w:t>
            </w:r>
          </w:p>
        </w:tc>
        <w:tc>
          <w:tcPr>
            <w:tcW w:type="dxa" w:w="3500"/>
            <w:vAlign w:val="center"/>
            <w:shd w:fill="E8EEF5"/>
          </w:tcPr>
          <w:p>
            <w:pPr>
              <w:pStyle w:val="TableText"/>
              <w:keepNext/>
            </w:pPr>
            <w:r>
              <w:rPr>
                <w:b/>
                <w:color w:val="1F4D78"/>
              </w:rPr>
              <w:t>論文との関係</w:t>
            </w:r>
          </w:p>
        </w:tc>
        <w:tc>
          <w:tcPr>
            <w:tcW w:type="dxa" w:w="3810"/>
            <w:vAlign w:val="center"/>
            <w:shd w:fill="E8EEF5"/>
          </w:tcPr>
          <w:p>
            <w:pPr>
              <w:pStyle w:val="TableText"/>
              <w:keepNext/>
            </w:pPr>
            <w:r>
              <w:rPr>
                <w:b/>
                <w:color w:val="1F4D78"/>
              </w:rPr>
              <w:t>報告時の表現</w:t>
            </w:r>
          </w:p>
        </w:tc>
      </w:tr>
      <w:tr>
        <w:trPr>
          <w:cantSplit/>
        </w:trPr>
        <w:tc>
          <w:tcPr>
            <w:tcW w:type="dxa" w:w="2050"/>
            <w:vAlign w:val="center"/>
          </w:tcPr>
          <w:p>
            <w:pPr>
              <w:pStyle w:val="TableText"/>
              <w:keepNext/>
            </w:pPr>
            <w:r>
              <w:t>① 分布または入力範囲外</w:t>
            </w:r>
          </w:p>
        </w:tc>
        <w:tc>
          <w:tcPr>
            <w:tcW w:type="dxa" w:w="3500"/>
            <w:vAlign w:val="center"/>
          </w:tcPr>
          <w:p>
            <w:pPr>
              <w:pStyle w:val="TableText"/>
              <w:keepNext/>
            </w:pPr>
            <w:r>
              <w:t>正常データからの逸脱という広い定義と対応</w:t>
            </w:r>
          </w:p>
        </w:tc>
        <w:tc>
          <w:tcPr>
            <w:tcW w:type="dxa" w:w="3810"/>
            <w:vAlign w:val="center"/>
          </w:tcPr>
          <w:p>
            <w:pPr>
              <w:pStyle w:val="TableText"/>
              <w:keepNext/>
            </w:pPr>
            <w:r>
              <w:t>単純範囲外だけを評価した研究ではない</w:t>
            </w:r>
          </w:p>
        </w:tc>
      </w:tr>
      <w:tr>
        <w:trPr>
          <w:cantSplit/>
        </w:trPr>
        <w:tc>
          <w:tcPr>
            <w:tcW w:type="dxa" w:w="2050"/>
            <w:vAlign w:val="center"/>
          </w:tcPr>
          <w:p>
            <w:pPr>
              <w:pStyle w:val="TableText"/>
              <w:keepNext/>
            </w:pPr>
            <w:r>
              <w:t>② 学習が不十分な低密度領域</w:t>
            </w:r>
          </w:p>
        </w:tc>
        <w:tc>
          <w:tcPr>
            <w:tcW w:type="dxa" w:w="3500"/>
            <w:vAlign w:val="center"/>
          </w:tcPr>
          <w:p>
            <w:pPr>
              <w:pStyle w:val="TableText"/>
              <w:keepNext/>
            </w:pPr>
            <w:r>
              <w:t>LOF等の密度概念と訓練量実験が関連</w:t>
            </w:r>
          </w:p>
        </w:tc>
        <w:tc>
          <w:tcPr>
            <w:tcW w:type="dxa" w:w="3810"/>
            <w:vAlign w:val="center"/>
          </w:tcPr>
          <w:p>
            <w:pPr>
              <w:pStyle w:val="TableText"/>
              <w:keepNext/>
            </w:pPr>
            <w:r>
              <w:t>局所的な学習不足の正解ラベルや性能はない</w:t>
            </w:r>
          </w:p>
        </w:tc>
      </w:tr>
      <w:tr>
        <w:trPr>
          <w:cantSplit/>
        </w:trPr>
        <w:tc>
          <w:tcPr>
            <w:tcW w:type="dxa" w:w="2050"/>
            <w:vAlign w:val="center"/>
          </w:tcPr>
          <w:p>
            <w:pPr>
              <w:pStyle w:val="TableText"/>
            </w:pPr>
            <w:r>
              <w:t>③ 項目間の組合せや相関変化</w:t>
            </w:r>
          </w:p>
        </w:tc>
        <w:tc>
          <w:tcPr>
            <w:tcW w:type="dxa" w:w="3500"/>
            <w:vAlign w:val="center"/>
          </w:tcPr>
          <w:p>
            <w:pPr>
              <w:pStyle w:val="TableText"/>
            </w:pPr>
            <w:r>
              <w:t>WADIの液位と弁の動作タイミングが具体例</w:t>
            </w:r>
          </w:p>
        </w:tc>
        <w:tc>
          <w:tcPr>
            <w:tcW w:type="dxa" w:w="3810"/>
            <w:vAlign w:val="center"/>
          </w:tcPr>
          <w:p>
            <w:pPr>
              <w:pStyle w:val="TableText"/>
            </w:pPr>
            <w:r>
              <w:t>条件関係異常の証拠 ③全体の性能保証ではない</w:t>
            </w:r>
          </w:p>
        </w:tc>
      </w:tr>
    </w:tbl>
    <w:p>
      <w:pPr>
        <w:spacing w:after="0"/>
        <w:snapToGrid w:val="0"/>
      </w:pPr>
    </w:p>
    <w:p>
      <w:pPr>
        <w:snapToGrid w:val="0"/>
      </w:pPr>
      <w:r>
        <w:t>再利用可能な分類軸は、検知根拠、作者による手法群、時間と変数の依存、入力単位、学習ラベル、対象業務AIへの依存、スコア方向、閾値、評価粒度である。P04の予測・再構成・対比という軸と、P05の伝統・ML・DNNという軸は併用する。</w:t>
      </w:r>
    </w:p>
    <w:p>
      <w:pPr>
        <w:pStyle w:val="Heading2"/>
        <w:snapToGrid w:val="0"/>
      </w:pPr>
      <w:r>
        <w:t>3 16手法の統一比較表</w:t>
      </w:r>
    </w:p>
    <w:p>
      <w:pPr>
        <w:snapToGrid w:val="0"/>
      </w:pPr>
      <w:r>
        <w:t>以下の運用入力は、対象業務AIの入力群を検知器に与える構成を想定する。内部表現を使用する場合も、原則として検知器自身の内部であり、既存の圧力推定AIの内部を要求するわけではない。表中のスコアは本文で説明された根拠を要約し、厳密な実装式が未記載の部分は確定しない。</w:t>
      </w:r>
    </w:p>
    <w:p>
      <w:pPr>
        <w:pStyle w:val="Heading3"/>
        <w:snapToGrid w:val="0"/>
      </w:pPr>
      <w:r>
        <w:t>伝統手法7種</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手法と根拠</w:t>
            </w:r>
          </w:p>
        </w:tc>
        <w:tc>
          <w:tcPr>
            <w:tcW w:type="dxa" w:w="3500"/>
            <w:vAlign w:val="center"/>
            <w:shd w:fill="E8EEF5"/>
          </w:tcPr>
          <w:p>
            <w:pPr>
              <w:pStyle w:val="TableText"/>
            </w:pPr>
            <w:r>
              <w:rPr>
                <w:b/>
                <w:color w:val="1F4D78"/>
              </w:rPr>
              <w:t>学習または校正時に必要な情報</w:t>
            </w:r>
          </w:p>
        </w:tc>
        <w:tc>
          <w:tcPr>
            <w:tcW w:type="dxa" w:w="3810"/>
            <w:vAlign w:val="center"/>
            <w:shd w:fill="E8EEF5"/>
          </w:tcPr>
          <w:p>
            <w:pPr>
              <w:pStyle w:val="TableText"/>
            </w:pPr>
            <w:r>
              <w:rPr>
                <w:b/>
                <w:color w:val="1F4D78"/>
              </w:rPr>
              <w:t>運用時の情報とスコア</w:t>
            </w:r>
          </w:p>
        </w:tc>
      </w:tr>
      <w:tr>
        <w:trPr>
          <w:cantSplit/>
        </w:trPr>
        <w:tc>
          <w:tcPr>
            <w:tcW w:type="dxa" w:w="2050"/>
            <w:vAlign w:val="center"/>
          </w:tcPr>
          <w:p>
            <w:pPr>
              <w:pStyle w:val="TableText"/>
            </w:pPr>
            <w:r>
              <w:t>MCUSUM 累積変化</w:t>
            </w:r>
          </w:p>
        </w:tc>
        <w:tc>
          <w:tcPr>
            <w:tcW w:type="dxa" w:w="3500"/>
            <w:vAlign w:val="center"/>
          </w:tcPr>
          <w:p>
            <w:pPr>
              <w:pStyle w:val="TableText"/>
            </w:pPr>
            <w:r>
              <w:t>正常統計量 参照値 閾値設定</w:t>
            </w:r>
          </w:p>
        </w:tc>
        <w:tc>
          <w:tcPr>
            <w:tcW w:type="dxa" w:w="3810"/>
            <w:vAlign w:val="center"/>
          </w:tcPr>
          <w:p>
            <w:pPr>
              <w:pStyle w:val="TableText"/>
            </w:pPr>
            <w:r>
              <w:t>現在値と累積状態 累積偏差 大きいほど警報側</w:t>
            </w:r>
          </w:p>
        </w:tc>
      </w:tr>
      <w:tr>
        <w:trPr>
          <w:cantSplit/>
        </w:trPr>
        <w:tc>
          <w:tcPr>
            <w:tcW w:type="dxa" w:w="2050"/>
            <w:vAlign w:val="center"/>
          </w:tcPr>
          <w:p>
            <w:pPr>
              <w:pStyle w:val="TableText"/>
            </w:pPr>
            <w:r>
              <w:t>MEWMA 平滑変化</w:t>
            </w:r>
          </w:p>
        </w:tc>
        <w:tc>
          <w:tcPr>
            <w:tcW w:type="dxa" w:w="3500"/>
            <w:vAlign w:val="center"/>
          </w:tcPr>
          <w:p>
            <w:pPr>
              <w:pStyle w:val="TableText"/>
            </w:pPr>
            <w:r>
              <w:t>正常平均 共分散 平滑係数等</w:t>
            </w:r>
          </w:p>
        </w:tc>
        <w:tc>
          <w:tcPr>
            <w:tcW w:type="dxa" w:w="3810"/>
            <w:vAlign w:val="center"/>
          </w:tcPr>
          <w:p>
            <w:pPr>
              <w:pStyle w:val="TableText"/>
            </w:pPr>
            <w:r>
              <w:t>現在値と前状態 多元統計量が必要 本文は平滑式のみ</w:t>
            </w:r>
          </w:p>
        </w:tc>
      </w:tr>
      <w:tr>
        <w:trPr>
          <w:cantSplit/>
        </w:trPr>
        <w:tc>
          <w:tcPr>
            <w:tcW w:type="dxa" w:w="2050"/>
            <w:vAlign w:val="center"/>
          </w:tcPr>
          <w:p>
            <w:pPr>
              <w:pStyle w:val="TableText"/>
            </w:pPr>
            <w:r>
              <w:t>VAR 予測残差</w:t>
            </w:r>
          </w:p>
        </w:tc>
        <w:tc>
          <w:tcPr>
            <w:tcW w:type="dxa" w:w="3500"/>
            <w:vAlign w:val="center"/>
          </w:tcPr>
          <w:p>
            <w:pPr>
              <w:pStyle w:val="TableText"/>
            </w:pPr>
            <w:r>
              <w:t>多変量履歴 滞後次数 係数推定</w:t>
            </w:r>
          </w:p>
        </w:tc>
        <w:tc>
          <w:tcPr>
            <w:tcW w:type="dxa" w:w="3810"/>
            <w:vAlign w:val="center"/>
          </w:tcPr>
          <w:p>
            <w:pPr>
              <w:pStyle w:val="TableText"/>
            </w:pPr>
            <w:r>
              <w:t>直近履歴と現在実測 予測誤差</w:t>
            </w:r>
          </w:p>
        </w:tc>
      </w:tr>
      <w:tr>
        <w:trPr>
          <w:cantSplit/>
        </w:trPr>
        <w:tc>
          <w:tcPr>
            <w:tcW w:type="dxa" w:w="2050"/>
            <w:vAlign w:val="center"/>
          </w:tcPr>
          <w:p>
            <w:pPr>
              <w:pStyle w:val="TableText"/>
            </w:pPr>
            <w:r>
              <w:t>PCA 部分空間残差</w:t>
            </w:r>
          </w:p>
        </w:tc>
        <w:tc>
          <w:tcPr>
            <w:tcW w:type="dxa" w:w="3500"/>
            <w:vAlign w:val="center"/>
          </w:tcPr>
          <w:p>
            <w:pPr>
              <w:pStyle w:val="TableText"/>
            </w:pPr>
            <w:r>
              <w:t>正常入力 平均 主成分 保持次元</w:t>
            </w:r>
          </w:p>
        </w:tc>
        <w:tc>
          <w:tcPr>
            <w:tcW w:type="dxa" w:w="3810"/>
            <w:vAlign w:val="center"/>
          </w:tcPr>
          <w:p>
            <w:pPr>
              <w:pStyle w:val="TableText"/>
            </w:pPr>
            <w:r>
              <w:t>現在入力と射影行列 Q等の残差</w:t>
            </w:r>
          </w:p>
        </w:tc>
      </w:tr>
      <w:tr>
        <w:trPr>
          <w:cantSplit/>
        </w:trPr>
        <w:tc>
          <w:tcPr>
            <w:tcW w:type="dxa" w:w="2050"/>
            <w:vAlign w:val="center"/>
          </w:tcPr>
          <w:p>
            <w:pPr>
              <w:pStyle w:val="TableText"/>
            </w:pPr>
            <w:r>
              <w:t>SSA 時間部分空間</w:t>
            </w:r>
          </w:p>
        </w:tc>
        <w:tc>
          <w:tcPr>
            <w:tcW w:type="dxa" w:w="3500"/>
            <w:vAlign w:val="center"/>
          </w:tcPr>
          <w:p>
            <w:pPr>
              <w:pStyle w:val="TableText"/>
            </w:pPr>
            <w:r>
              <w:t>正常系列 埋込み窓 保持秩</w:t>
            </w:r>
          </w:p>
        </w:tc>
        <w:tc>
          <w:tcPr>
            <w:tcW w:type="dxa" w:w="3810"/>
            <w:vAlign w:val="center"/>
          </w:tcPr>
          <w:p>
            <w:pPr>
              <w:pStyle w:val="TableText"/>
            </w:pPr>
            <w:r>
              <w:t>時間窓と参照部分空間 距離または残差</w:t>
            </w:r>
          </w:p>
        </w:tc>
      </w:tr>
      <w:tr>
        <w:trPr>
          <w:cantSplit/>
        </w:trPr>
        <w:tc>
          <w:tcPr>
            <w:tcW w:type="dxa" w:w="2050"/>
            <w:vAlign w:val="center"/>
          </w:tcPr>
          <w:p>
            <w:pPr>
              <w:pStyle w:val="TableText"/>
            </w:pPr>
            <w:r>
              <w:t>ICA 独立成分</w:t>
            </w:r>
          </w:p>
        </w:tc>
        <w:tc>
          <w:tcPr>
            <w:tcW w:type="dxa" w:w="3500"/>
            <w:vAlign w:val="center"/>
          </w:tcPr>
          <w:p>
            <w:pPr>
              <w:pStyle w:val="TableText"/>
            </w:pPr>
            <w:r>
              <w:t>正常データ 分離変換 成分統計量</w:t>
            </w:r>
          </w:p>
        </w:tc>
        <w:tc>
          <w:tcPr>
            <w:tcW w:type="dxa" w:w="3810"/>
            <w:vAlign w:val="center"/>
          </w:tcPr>
          <w:p>
            <w:pPr>
              <w:pStyle w:val="TableText"/>
            </w:pPr>
            <w:r>
              <w:t>入力と分離変換 峰度等 本文で完全定義なし</w:t>
            </w:r>
          </w:p>
        </w:tc>
      </w:tr>
      <w:tr>
        <w:trPr>
          <w:cantSplit/>
        </w:trPr>
        <w:tc>
          <w:tcPr>
            <w:tcW w:type="dxa" w:w="2050"/>
            <w:vAlign w:val="center"/>
          </w:tcPr>
          <w:p>
            <w:pPr>
              <w:pStyle w:val="TableText"/>
            </w:pPr>
            <w:r>
              <w:t>MP 最近傍窓距離</w:t>
            </w:r>
          </w:p>
        </w:tc>
        <w:tc>
          <w:tcPr>
            <w:tcW w:type="dxa" w:w="3500"/>
            <w:vAlign w:val="center"/>
          </w:tcPr>
          <w:p>
            <w:pPr>
              <w:pStyle w:val="TableText"/>
            </w:pPr>
            <w:r>
              <w:t>参照系列 窓長 比較除外規則</w:t>
            </w:r>
          </w:p>
        </w:tc>
        <w:tc>
          <w:tcPr>
            <w:tcW w:type="dxa" w:w="3810"/>
            <w:vAlign w:val="center"/>
          </w:tcPr>
          <w:p>
            <w:pPr>
              <w:pStyle w:val="TableText"/>
            </w:pPr>
            <w:r>
              <w:t>新窓と参照窓 最小z標準化距離</w:t>
            </w:r>
          </w:p>
        </w:tc>
      </w:tr>
    </w:tbl>
    <w:p>
      <w:pPr>
        <w:spacing w:after="0"/>
        <w:snapToGrid w:val="0"/>
      </w:pPr>
    </w:p>
    <w:p>
      <w:pPr>
        <w:pStyle w:val="Heading3"/>
        <w:snapToGrid w:val="0"/>
      </w:pPr>
      <w:r>
        <w:t>ML手法4種</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手法と根拠</w:t>
            </w:r>
          </w:p>
        </w:tc>
        <w:tc>
          <w:tcPr>
            <w:tcW w:type="dxa" w:w="3500"/>
            <w:vAlign w:val="center"/>
            <w:shd w:fill="E8EEF5"/>
          </w:tcPr>
          <w:p>
            <w:pPr>
              <w:pStyle w:val="TableText"/>
              <w:keepNext/>
            </w:pPr>
            <w:r>
              <w:rPr>
                <w:b/>
                <w:color w:val="1F4D78"/>
              </w:rPr>
              <w:t>学習または校正時に必要な情報</w:t>
            </w:r>
          </w:p>
        </w:tc>
        <w:tc>
          <w:tcPr>
            <w:tcW w:type="dxa" w:w="3810"/>
            <w:vAlign w:val="center"/>
            <w:shd w:fill="E8EEF5"/>
          </w:tcPr>
          <w:p>
            <w:pPr>
              <w:pStyle w:val="TableText"/>
              <w:keepNext/>
            </w:pPr>
            <w:r>
              <w:rPr>
                <w:b/>
                <w:color w:val="1F4D78"/>
              </w:rPr>
              <w:t>運用時の情報とスコア</w:t>
            </w:r>
          </w:p>
        </w:tc>
      </w:tr>
      <w:tr>
        <w:trPr>
          <w:cantSplit/>
        </w:trPr>
        <w:tc>
          <w:tcPr>
            <w:tcW w:type="dxa" w:w="2050"/>
            <w:vAlign w:val="center"/>
          </w:tcPr>
          <w:p>
            <w:pPr>
              <w:pStyle w:val="TableText"/>
              <w:keepNext/>
            </w:pPr>
            <w:r>
              <w:t>IF 隔離</w:t>
            </w:r>
          </w:p>
        </w:tc>
        <w:tc>
          <w:tcPr>
            <w:tcW w:type="dxa" w:w="3500"/>
            <w:vAlign w:val="center"/>
          </w:tcPr>
          <w:p>
            <w:pPr>
              <w:pStyle w:val="TableText"/>
              <w:keepNext/>
            </w:pPr>
            <w:r>
              <w:t>正常中心の窓 森の構成</w:t>
            </w:r>
          </w:p>
        </w:tc>
        <w:tc>
          <w:tcPr>
            <w:tcW w:type="dxa" w:w="3810"/>
            <w:vAlign w:val="center"/>
          </w:tcPr>
          <w:p>
            <w:pPr>
              <w:pStyle w:val="TableText"/>
              <w:keepNext/>
            </w:pPr>
            <w:r>
              <w:t>窓と学習済み木 短い経路ほど異常</w:t>
            </w:r>
          </w:p>
        </w:tc>
      </w:tr>
      <w:tr>
        <w:trPr>
          <w:cantSplit/>
        </w:trPr>
        <w:tc>
          <w:tcPr>
            <w:tcW w:type="dxa" w:w="2050"/>
            <w:vAlign w:val="center"/>
          </w:tcPr>
          <w:p>
            <w:pPr>
              <w:pStyle w:val="TableText"/>
              <w:keepNext/>
            </w:pPr>
            <w:r>
              <w:t>LOF 相対密度</w:t>
            </w:r>
          </w:p>
        </w:tc>
        <w:tc>
          <w:tcPr>
            <w:tcW w:type="dxa" w:w="3500"/>
            <w:vAlign w:val="center"/>
          </w:tcPr>
          <w:p>
            <w:pPr>
              <w:pStyle w:val="TableText"/>
              <w:keepNext/>
            </w:pPr>
            <w:r>
              <w:t>参照窓 近傍数 距離と尺度</w:t>
            </w:r>
          </w:p>
        </w:tc>
        <w:tc>
          <w:tcPr>
            <w:tcW w:type="dxa" w:w="3810"/>
            <w:vAlign w:val="center"/>
          </w:tcPr>
          <w:p>
            <w:pPr>
              <w:pStyle w:val="TableText"/>
              <w:keepNext/>
            </w:pPr>
            <w:r>
              <w:t>新窓と近傍 密度比 大きいほど異常</w:t>
            </w:r>
          </w:p>
        </w:tc>
      </w:tr>
      <w:tr>
        <w:trPr>
          <w:cantSplit/>
        </w:trPr>
        <w:tc>
          <w:tcPr>
            <w:tcW w:type="dxa" w:w="2050"/>
            <w:vAlign w:val="center"/>
          </w:tcPr>
          <w:p>
            <w:pPr>
              <w:pStyle w:val="TableText"/>
              <w:keepNext/>
            </w:pPr>
            <w:r>
              <w:t>DBSCAN 密度クラスタ</w:t>
            </w:r>
          </w:p>
        </w:tc>
        <w:tc>
          <w:tcPr>
            <w:tcW w:type="dxa" w:w="3500"/>
            <w:vAlign w:val="center"/>
          </w:tcPr>
          <w:p>
            <w:pPr>
              <w:pStyle w:val="TableText"/>
              <w:keepNext/>
            </w:pPr>
            <w:r>
              <w:t>窓 半径 最小近傍数</w:t>
            </w:r>
          </w:p>
        </w:tc>
        <w:tc>
          <w:tcPr>
            <w:tcW w:type="dxa" w:w="3810"/>
            <w:vAlign w:val="center"/>
          </w:tcPr>
          <w:p>
            <w:pPr>
              <w:pStyle w:val="TableText"/>
              <w:keepNext/>
            </w:pPr>
            <w:r>
              <w:t>新窓とクラスタ 本文は最寄りクラスタ距離</w:t>
            </w:r>
          </w:p>
        </w:tc>
      </w:tr>
      <w:tr>
        <w:trPr>
          <w:cantSplit/>
        </w:trPr>
        <w:tc>
          <w:tcPr>
            <w:tcW w:type="dxa" w:w="2050"/>
            <w:vAlign w:val="center"/>
          </w:tcPr>
          <w:p>
            <w:pPr>
              <w:pStyle w:val="TableText"/>
            </w:pPr>
            <w:r>
              <w:t>OC SVM 正常領域</w:t>
            </w:r>
          </w:p>
        </w:tc>
        <w:tc>
          <w:tcPr>
            <w:tcW w:type="dxa" w:w="3500"/>
            <w:vAlign w:val="center"/>
          </w:tcPr>
          <w:p>
            <w:pPr>
              <w:pStyle w:val="TableText"/>
            </w:pPr>
            <w:r>
              <w:t>正常窓 カーネル ν等</w:t>
            </w:r>
          </w:p>
        </w:tc>
        <w:tc>
          <w:tcPr>
            <w:tcW w:type="dxa" w:w="3810"/>
            <w:vAlign w:val="center"/>
          </w:tcPr>
          <w:p>
            <w:pPr>
              <w:pStyle w:val="TableText"/>
            </w:pPr>
            <w:r>
              <w:t>窓と支持ベクトル 通常の符号付き判定は負側が異常</w:t>
            </w:r>
          </w:p>
        </w:tc>
      </w:tr>
    </w:tbl>
    <w:p>
      <w:pPr>
        <w:spacing w:after="0"/>
        <w:snapToGrid w:val="0"/>
      </w:pPr>
    </w:p>
    <w:p>
      <w:pPr>
        <w:pStyle w:val="Heading3"/>
        <w:snapToGrid w:val="0"/>
      </w:pPr>
      <w:r>
        <w:t>DNN手法5種</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手法と根拠</w:t>
            </w:r>
          </w:p>
        </w:tc>
        <w:tc>
          <w:tcPr>
            <w:tcW w:type="dxa" w:w="3500"/>
            <w:vAlign w:val="center"/>
            <w:shd w:fill="E8EEF5"/>
          </w:tcPr>
          <w:p>
            <w:pPr>
              <w:pStyle w:val="TableText"/>
              <w:keepNext/>
            </w:pPr>
            <w:r>
              <w:rPr>
                <w:b/>
                <w:color w:val="1F4D78"/>
              </w:rPr>
              <w:t>学習時に必要な情報</w:t>
            </w:r>
          </w:p>
        </w:tc>
        <w:tc>
          <w:tcPr>
            <w:tcW w:type="dxa" w:w="3810"/>
            <w:vAlign w:val="center"/>
            <w:shd w:fill="E8EEF5"/>
          </w:tcPr>
          <w:p>
            <w:pPr>
              <w:pStyle w:val="TableText"/>
              <w:keepNext/>
            </w:pPr>
            <w:r>
              <w:rPr>
                <w:b/>
                <w:color w:val="1F4D78"/>
              </w:rPr>
              <w:t>運用時の情報とスコア</w:t>
            </w:r>
          </w:p>
        </w:tc>
      </w:tr>
      <w:tr>
        <w:trPr>
          <w:cantSplit/>
        </w:trPr>
        <w:tc>
          <w:tcPr>
            <w:tcW w:type="dxa" w:w="2050"/>
            <w:vAlign w:val="center"/>
          </w:tcPr>
          <w:p>
            <w:pPr>
              <w:pStyle w:val="TableText"/>
              <w:keepNext/>
            </w:pPr>
            <w:r>
              <w:t>AE 再構成</w:t>
            </w:r>
          </w:p>
        </w:tc>
        <w:tc>
          <w:tcPr>
            <w:tcW w:type="dxa" w:w="3500"/>
            <w:vAlign w:val="center"/>
          </w:tcPr>
          <w:p>
            <w:pPr>
              <w:pStyle w:val="TableText"/>
              <w:keepNext/>
            </w:pPr>
            <w:r>
              <w:t>正常窓 ネットワーク構造</w:t>
            </w:r>
          </w:p>
        </w:tc>
        <w:tc>
          <w:tcPr>
            <w:tcW w:type="dxa" w:w="3810"/>
            <w:vAlign w:val="center"/>
          </w:tcPr>
          <w:p>
            <w:pPr>
              <w:pStyle w:val="TableText"/>
              <w:keepNext/>
            </w:pPr>
            <w:r>
              <w:t>窓と学習済みモデル 再構成誤差</w:t>
            </w:r>
          </w:p>
        </w:tc>
      </w:tr>
      <w:tr>
        <w:trPr>
          <w:cantSplit/>
        </w:trPr>
        <w:tc>
          <w:tcPr>
            <w:tcW w:type="dxa" w:w="2050"/>
            <w:vAlign w:val="center"/>
          </w:tcPr>
          <w:p>
            <w:pPr>
              <w:pStyle w:val="TableText"/>
              <w:keepNext/>
            </w:pPr>
            <w:r>
              <w:t>USAD 対抗的再構成</w:t>
            </w:r>
          </w:p>
        </w:tc>
        <w:tc>
          <w:tcPr>
            <w:tcW w:type="dxa" w:w="3500"/>
            <w:vAlign w:val="center"/>
          </w:tcPr>
          <w:p>
            <w:pPr>
              <w:pStyle w:val="TableText"/>
              <w:keepNext/>
            </w:pPr>
            <w:r>
              <w:t>正常窓 共有encoderと二decoder</w:t>
            </w:r>
          </w:p>
        </w:tc>
        <w:tc>
          <w:tcPr>
            <w:tcW w:type="dxa" w:w="3810"/>
            <w:vAlign w:val="center"/>
          </w:tcPr>
          <w:p>
            <w:pPr>
              <w:pStyle w:val="TableText"/>
              <w:keepNext/>
            </w:pPr>
            <w:r>
              <w:t>窓と二経路 再構成差 本文は混合式未詳述</w:t>
            </w:r>
          </w:p>
        </w:tc>
      </w:tr>
      <w:tr>
        <w:trPr>
          <w:cantSplit/>
        </w:trPr>
        <w:tc>
          <w:tcPr>
            <w:tcW w:type="dxa" w:w="2050"/>
            <w:vAlign w:val="center"/>
          </w:tcPr>
          <w:p>
            <w:pPr>
              <w:pStyle w:val="TableText"/>
              <w:keepNext/>
            </w:pPr>
            <w:r>
              <w:t>LSTM VAE 確率再構成</w:t>
            </w:r>
          </w:p>
        </w:tc>
        <w:tc>
          <w:tcPr>
            <w:tcW w:type="dxa" w:w="3500"/>
            <w:vAlign w:val="center"/>
          </w:tcPr>
          <w:p>
            <w:pPr>
              <w:pStyle w:val="TableText"/>
              <w:keepNext/>
            </w:pPr>
            <w:r>
              <w:t>正常窓 時系列潜在モデル</w:t>
            </w:r>
          </w:p>
        </w:tc>
        <w:tc>
          <w:tcPr>
            <w:tcW w:type="dxa" w:w="3810"/>
            <w:vAlign w:val="center"/>
          </w:tcPr>
          <w:p>
            <w:pPr>
              <w:pStyle w:val="TableText"/>
              <w:keepNext/>
            </w:pPr>
            <w:r>
              <w:t>窓とモデル 対数尤度が低いほど異常</w:t>
            </w:r>
          </w:p>
        </w:tc>
      </w:tr>
      <w:tr>
        <w:trPr>
          <w:cantSplit/>
        </w:trPr>
        <w:tc>
          <w:tcPr>
            <w:tcW w:type="dxa" w:w="2050"/>
            <w:vAlign w:val="center"/>
          </w:tcPr>
          <w:p>
            <w:pPr>
              <w:pStyle w:val="TableText"/>
              <w:keepNext/>
            </w:pPr>
            <w:r>
              <w:t>DAGMM 潜在密度</w:t>
            </w:r>
          </w:p>
        </w:tc>
        <w:tc>
          <w:tcPr>
            <w:tcW w:type="dxa" w:w="3500"/>
            <w:vAlign w:val="center"/>
          </w:tcPr>
          <w:p>
            <w:pPr>
              <w:pStyle w:val="TableText"/>
              <w:keepNext/>
            </w:pPr>
            <w:r>
              <w:t>正常窓 圧縮表現とGMM</w:t>
            </w:r>
          </w:p>
        </w:tc>
        <w:tc>
          <w:tcPr>
            <w:tcW w:type="dxa" w:w="3810"/>
            <w:vAlign w:val="center"/>
          </w:tcPr>
          <w:p>
            <w:pPr>
              <w:pStyle w:val="TableText"/>
              <w:keepNext/>
            </w:pPr>
            <w:r>
              <w:t>窓とモデル 低密度または高エネルギー</w:t>
            </w:r>
          </w:p>
        </w:tc>
      </w:tr>
      <w:tr>
        <w:trPr>
          <w:cantSplit/>
        </w:trPr>
        <w:tc>
          <w:tcPr>
            <w:tcW w:type="dxa" w:w="2050"/>
            <w:vAlign w:val="center"/>
          </w:tcPr>
          <w:p>
            <w:pPr>
              <w:pStyle w:val="TableText"/>
            </w:pPr>
            <w:r>
              <w:t>OmniAnomaly 確率時系列</w:t>
            </w:r>
          </w:p>
        </w:tc>
        <w:tc>
          <w:tcPr>
            <w:tcW w:type="dxa" w:w="3500"/>
            <w:vAlign w:val="center"/>
          </w:tcPr>
          <w:p>
            <w:pPr>
              <w:pStyle w:val="TableText"/>
            </w:pPr>
            <w:r>
              <w:t>正常窓 GRU VAE flow等</w:t>
            </w:r>
          </w:p>
        </w:tc>
        <w:tc>
          <w:tcPr>
            <w:tcW w:type="dxa" w:w="3810"/>
            <w:vAlign w:val="center"/>
          </w:tcPr>
          <w:p>
            <w:pPr>
              <w:pStyle w:val="TableText"/>
            </w:pPr>
            <w:r>
              <w:t>窓とモデル 低い再構成確率が異常</w:t>
            </w:r>
          </w:p>
        </w:tc>
      </w:tr>
    </w:tbl>
    <w:p>
      <w:pPr>
        <w:spacing w:after="0"/>
        <w:snapToGrid w:val="0"/>
      </w:pPr>
    </w:p>
    <w:p>
      <w:pPr>
        <w:snapToGrid w:val="0"/>
      </w:pPr>
      <w:r>
        <w:t>全手法の学習には業務回帰の正解出力が必須という設定ではない。VARでは入力系列の後続観測を連続値教師として使う。異常ラベルが不要なのはモデル学習の話であり、本文の最高F1選択と性能評価には異常ラベルが必要である。</w:t>
      </w:r>
    </w:p>
    <w:p>
      <w:pPr>
        <w:pStyle w:val="Heading3"/>
        <w:snapToGrid w:val="0"/>
      </w:pPr>
      <w:r>
        <w:t>閾値と適用条件</w:t>
      </w:r>
    </w:p>
    <w:p>
      <w:pPr>
        <w:snapToGrid w:val="0"/>
      </w:pPr>
      <w:r>
        <w:t>本文の比較ではスコアを0から1に正規化し1000閾値を探索、最高F1を報告する。原理上の統計閾値、モデル内境界、実運用での校正閾値とこの評価手順を区別する。</w:t>
      </w:r>
    </w:p>
    <w:p>
      <w:pPr>
        <w:snapToGrid w:val="0"/>
      </w:pPr>
      <w:r>
        <w:t>運用案として、正常校正期間の上側分位点で閾値を固定し、その後の時期で検知率と誤警報率を評価する。ただし時系列依存や工況変化があるため、分位点だけで将来誤検知率を保証できない。これは本研究への提案であり、本文の実験条件ではない。</w:t>
      </w:r>
    </w:p>
    <w:p>
      <w:pPr>
        <w:pStyle w:val="Heading2"/>
        <w:snapToGrid w:val="0"/>
      </w:pPr>
      <w:r>
        <w:t>4 データセットの件数と分割</w:t>
      </w:r>
    </w:p>
    <w:p>
      <w:pPr>
        <w:snapToGrid w:val="0"/>
      </w:pPr>
      <w:r>
        <w:t>以下は本文表1の値である。学習割合は本報告で学習件数を学習とテストの合計で割って算出した。系列数×次元を、一時刻の総特徴数として結合しない。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keepNext/>
            </w:pPr>
            <w:r>
              <w:rPr>
                <w:b/>
                <w:color w:val="1F4D78"/>
              </w:rPr>
              <w:t>データ</w:t>
            </w:r>
          </w:p>
        </w:tc>
        <w:tc>
          <w:tcPr>
            <w:tcW w:type="dxa" w:w="2200"/>
            <w:vAlign w:val="center"/>
            <w:shd w:fill="E8EEF5"/>
          </w:tcPr>
          <w:p>
            <w:pPr>
              <w:pStyle w:val="TableText"/>
              <w:keepNext/>
            </w:pPr>
            <w:r>
              <w:rPr>
                <w:b/>
                <w:color w:val="1F4D78"/>
              </w:rPr>
              <w:t>学習点数とテスト点数</w:t>
            </w:r>
          </w:p>
        </w:tc>
        <w:tc>
          <w:tcPr>
            <w:tcW w:type="dxa" w:w="2200"/>
            <w:vAlign w:val="center"/>
            <w:shd w:fill="E8EEF5"/>
          </w:tcPr>
          <w:p>
            <w:pPr>
              <w:pStyle w:val="TableText"/>
              <w:keepNext/>
            </w:pPr>
            <w:r>
              <w:rPr>
                <w:b/>
                <w:color w:val="1F4D78"/>
              </w:rPr>
              <w:t>次元と学習割合</w:t>
            </w:r>
          </w:p>
        </w:tc>
        <w:tc>
          <w:tcPr>
            <w:tcW w:type="dxa" w:w="2660"/>
            <w:vAlign w:val="center"/>
            <w:shd w:fill="E8EEF5"/>
          </w:tcPr>
          <w:p>
            <w:pPr>
              <w:pStyle w:val="TableText"/>
              <w:keepNext/>
            </w:pPr>
            <w:r>
              <w:rPr>
                <w:b/>
                <w:color w:val="1F4D78"/>
              </w:rPr>
              <w:t>異常率と本文分類</w:t>
            </w:r>
          </w:p>
        </w:tc>
      </w:tr>
      <w:tr>
        <w:trPr>
          <w:cantSplit/>
        </w:trPr>
        <w:tc>
          <w:tcPr>
            <w:tcW w:type="dxa" w:w="2300"/>
            <w:vAlign w:val="center"/>
          </w:tcPr>
          <w:p>
            <w:pPr>
              <w:pStyle w:val="TableText"/>
              <w:keepNext/>
            </w:pPr>
            <w:r>
              <w:t>SWaT</w:t>
            </w:r>
          </w:p>
        </w:tc>
        <w:tc>
          <w:tcPr>
            <w:tcW w:type="dxa" w:w="2200"/>
            <w:vAlign w:val="center"/>
          </w:tcPr>
          <w:p>
            <w:pPr>
              <w:pStyle w:val="TableText"/>
              <w:keepNext/>
            </w:pPr>
            <w:r>
              <w:t>496800 ／ 449919</w:t>
            </w:r>
          </w:p>
        </w:tc>
        <w:tc>
          <w:tcPr>
            <w:tcW w:type="dxa" w:w="2200"/>
            <w:vAlign w:val="center"/>
          </w:tcPr>
          <w:p>
            <w:pPr>
              <w:pStyle w:val="TableText"/>
              <w:keepNext/>
            </w:pPr>
            <w:r>
              <w:t>51次元 52.48%</w:t>
            </w:r>
          </w:p>
        </w:tc>
        <w:tc>
          <w:tcPr>
            <w:tcW w:type="dxa" w:w="2660"/>
            <w:vAlign w:val="center"/>
          </w:tcPr>
          <w:p>
            <w:pPr>
              <w:pStyle w:val="TableText"/>
              <w:keepNext/>
            </w:pPr>
            <w:r>
              <w:t>11.98% P C Col</w:t>
            </w:r>
          </w:p>
        </w:tc>
      </w:tr>
      <w:tr>
        <w:trPr>
          <w:cantSplit/>
        </w:trPr>
        <w:tc>
          <w:tcPr>
            <w:tcW w:type="dxa" w:w="2300"/>
            <w:vAlign w:val="center"/>
          </w:tcPr>
          <w:p>
            <w:pPr>
              <w:pStyle w:val="TableText"/>
              <w:keepNext/>
            </w:pPr>
            <w:r>
              <w:t>WADI</w:t>
            </w:r>
          </w:p>
        </w:tc>
        <w:tc>
          <w:tcPr>
            <w:tcW w:type="dxa" w:w="2200"/>
            <w:vAlign w:val="center"/>
          </w:tcPr>
          <w:p>
            <w:pPr>
              <w:pStyle w:val="TableText"/>
              <w:keepNext/>
            </w:pPr>
            <w:r>
              <w:t>1209601 ／ 172801</w:t>
            </w:r>
          </w:p>
        </w:tc>
        <w:tc>
          <w:tcPr>
            <w:tcW w:type="dxa" w:w="2200"/>
            <w:vAlign w:val="center"/>
          </w:tcPr>
          <w:p>
            <w:pPr>
              <w:pStyle w:val="TableText"/>
              <w:keepNext/>
            </w:pPr>
            <w:r>
              <w:t>123次元 87.50%</w:t>
            </w:r>
          </w:p>
        </w:tc>
        <w:tc>
          <w:tcPr>
            <w:tcW w:type="dxa" w:w="2660"/>
            <w:vAlign w:val="center"/>
          </w:tcPr>
          <w:p>
            <w:pPr>
              <w:pStyle w:val="TableText"/>
              <w:keepNext/>
            </w:pPr>
            <w:r>
              <w:t>5.99% P C Col</w:t>
            </w:r>
          </w:p>
        </w:tc>
      </w:tr>
      <w:tr>
        <w:trPr>
          <w:cantSplit/>
        </w:trPr>
        <w:tc>
          <w:tcPr>
            <w:tcW w:type="dxa" w:w="2300"/>
            <w:vAlign w:val="center"/>
          </w:tcPr>
          <w:p>
            <w:pPr>
              <w:pStyle w:val="TableText"/>
              <w:keepNext/>
            </w:pPr>
            <w:r>
              <w:t>SMD</w:t>
            </w:r>
          </w:p>
        </w:tc>
        <w:tc>
          <w:tcPr>
            <w:tcW w:type="dxa" w:w="2200"/>
            <w:vAlign w:val="center"/>
          </w:tcPr>
          <w:p>
            <w:pPr>
              <w:pStyle w:val="TableText"/>
              <w:keepNext/>
            </w:pPr>
            <w:r>
              <w:t>708405 ／ 708420</w:t>
            </w:r>
          </w:p>
        </w:tc>
        <w:tc>
          <w:tcPr>
            <w:tcW w:type="dxa" w:w="2200"/>
            <w:vAlign w:val="center"/>
          </w:tcPr>
          <w:p>
            <w:pPr>
              <w:pStyle w:val="TableText"/>
              <w:keepNext/>
            </w:pPr>
            <w:r>
              <w:t>28系列×38次元 50.00%</w:t>
            </w:r>
          </w:p>
        </w:tc>
        <w:tc>
          <w:tcPr>
            <w:tcW w:type="dxa" w:w="2660"/>
            <w:vAlign w:val="center"/>
          </w:tcPr>
          <w:p>
            <w:pPr>
              <w:pStyle w:val="TableText"/>
              <w:keepNext/>
            </w:pPr>
            <w:r>
              <w:t>4.16% P Col</w:t>
            </w:r>
          </w:p>
        </w:tc>
      </w:tr>
      <w:tr>
        <w:trPr>
          <w:cantSplit/>
        </w:trPr>
        <w:tc>
          <w:tcPr>
            <w:tcW w:type="dxa" w:w="2300"/>
            <w:vAlign w:val="center"/>
          </w:tcPr>
          <w:p>
            <w:pPr>
              <w:pStyle w:val="TableText"/>
              <w:keepNext/>
            </w:pPr>
            <w:r>
              <w:t>SMAP</w:t>
            </w:r>
          </w:p>
        </w:tc>
        <w:tc>
          <w:tcPr>
            <w:tcW w:type="dxa" w:w="2200"/>
            <w:vAlign w:val="center"/>
          </w:tcPr>
          <w:p>
            <w:pPr>
              <w:pStyle w:val="TableText"/>
              <w:keepNext/>
            </w:pPr>
            <w:r>
              <w:t>135183 ／ 427617</w:t>
            </w:r>
          </w:p>
        </w:tc>
        <w:tc>
          <w:tcPr>
            <w:tcW w:type="dxa" w:w="2200"/>
            <w:vAlign w:val="center"/>
          </w:tcPr>
          <w:p>
            <w:pPr>
              <w:pStyle w:val="TableText"/>
              <w:keepNext/>
            </w:pPr>
            <w:r>
              <w:t>55系列×25次元 24.02%</w:t>
            </w:r>
          </w:p>
        </w:tc>
        <w:tc>
          <w:tcPr>
            <w:tcW w:type="dxa" w:w="2660"/>
            <w:vAlign w:val="center"/>
          </w:tcPr>
          <w:p>
            <w:pPr>
              <w:pStyle w:val="TableText"/>
              <w:keepNext/>
            </w:pPr>
            <w:r>
              <w:t>13.13% P Col</w:t>
            </w:r>
          </w:p>
        </w:tc>
      </w:tr>
      <w:tr>
        <w:trPr>
          <w:cantSplit/>
        </w:trPr>
        <w:tc>
          <w:tcPr>
            <w:tcW w:type="dxa" w:w="2300"/>
            <w:vAlign w:val="center"/>
          </w:tcPr>
          <w:p>
            <w:pPr>
              <w:pStyle w:val="TableText"/>
            </w:pPr>
            <w:r>
              <w:t>MSL</w:t>
            </w:r>
          </w:p>
        </w:tc>
        <w:tc>
          <w:tcPr>
            <w:tcW w:type="dxa" w:w="2200"/>
            <w:vAlign w:val="center"/>
          </w:tcPr>
          <w:p>
            <w:pPr>
              <w:pStyle w:val="TableText"/>
            </w:pPr>
            <w:r>
              <w:t>58317 ／ 73729</w:t>
            </w:r>
          </w:p>
        </w:tc>
        <w:tc>
          <w:tcPr>
            <w:tcW w:type="dxa" w:w="2200"/>
            <w:vAlign w:val="center"/>
          </w:tcPr>
          <w:p>
            <w:pPr>
              <w:pStyle w:val="TableText"/>
            </w:pPr>
            <w:r>
              <w:t>27系列×55次元 44.16%</w:t>
            </w:r>
          </w:p>
        </w:tc>
        <w:tc>
          <w:tcPr>
            <w:tcW w:type="dxa" w:w="2660"/>
            <w:vAlign w:val="center"/>
          </w:tcPr>
          <w:p>
            <w:pPr>
              <w:pStyle w:val="TableText"/>
            </w:pPr>
            <w:r>
              <w:t>10.72% P Col</w:t>
            </w:r>
          </w:p>
        </w:tc>
      </w:tr>
    </w:tbl>
    <w:p>
      <w:pPr>
        <w:spacing w:after="0"/>
        <w:snapToGrid w:val="0"/>
      </w:pPr>
    </w:p>
    <w:p>
      <w:pPr>
        <w:snapToGrid w:val="0"/>
      </w:pPr>
      <w:r>
        <w:t>Pはpoint、Cはcontextual、Colはcollective。異常率は原表記載値を保持した。正常学習を前提とする評価用異常率として参照するが、本文キャプションは分母を単にdatasetと記すため、正確な異常点数は実ファイルのテストラベルから再集計する。丸め率から件数を逆算して確定しない。</w:t>
      </w:r>
    </w:p>
    <w:p>
      <w:pPr>
        <w:pStyle w:val="Heading3"/>
        <w:snapToGrid w:val="0"/>
      </w:pPr>
      <w:r>
        <w:t>SWaTのAからH</w:t>
      </w:r>
    </w:p>
    <w:p>
      <w:pPr>
        <w:snapToGrid w:val="0"/>
      </w:pPr>
      <w:r>
        <w:t>A 入出力：水処理設備のセンサとアクチュエータ51項目。検知出力は時刻または窓のスコアと正常異常判定。別の末端圧力回帰の教師出力は指定されていない。</w:t>
      </w:r>
    </w:p>
    <w:p>
      <w:pPr>
        <w:snapToGrid w:val="0"/>
      </w:pPr>
      <w:r>
        <w:t>B 件数：上表のとおり。C ラベル：正常運転と攻撃等による異常を区別する。ラベルは入力分布外の統計検定結果ではない。</w:t>
      </w:r>
    </w:p>
    <w:p>
      <w:pPr>
        <w:snapToGrid w:val="0"/>
      </w:pPr>
      <w:r>
        <w:t>D 利用条件：iTrustの申請と利用条件に従う。公開論文でopen datasetと呼ぶことは無条件再配布許可を意味しない。</w:t>
      </w:r>
    </w:p>
    <w:p>
      <w:pPr>
        <w:snapToGrid w:val="0"/>
      </w:pPr>
      <w:r>
        <w:t>E 分類：本文ではP、C、Col。①と③のどれに該当するかは個別区間の確認が必要で、②の専用ラベルはない。</w:t>
      </w:r>
    </w:p>
    <w:p>
      <w:pPr>
        <w:snapToGrid w:val="0"/>
      </w:pPr>
      <w:r>
        <w:t>F 時間構造：iTrustのA1説明は正常7日と攻撃を含む4日の連続運転。採用版の除外区間、サンプリング間隔、downsamplingは本文の説明だけでは固定できない。[R4]</w:t>
      </w:r>
    </w:p>
    <w:p>
      <w:pPr>
        <w:snapToGrid w:val="0"/>
      </w:pPr>
      <w:r>
        <w:t>G 分割：本文の学習とテスト件数を再現の基準とし、公式サイトで版とファイル名を確定する。7対4の日数比と本文の件数比を同一視しない。</w:t>
      </w:r>
    </w:p>
    <w:p>
      <w:pPr>
        <w:snapToGrid w:val="0"/>
      </w:pPr>
      <w:r>
        <w:t>H 必要情報：入力群だけを用いた独立検知が可能な比較設定。対象業務AIの内部や出力は必須ではない。</w:t>
      </w:r>
    </w:p>
    <w:p>
      <w:pPr>
        <w:pStyle w:val="Heading3"/>
        <w:snapToGrid w:val="0"/>
      </w:pPr>
      <w:r>
        <w:t>WADIのAからH</w:t>
      </w:r>
    </w:p>
    <w:p>
      <w:pPr>
        <w:snapToGrid w:val="0"/>
      </w:pPr>
      <w:r>
        <w:t>A 配水設備のセンサとアクチュエータ123項目。ケース分析では1_MV_001と1_LT_001を使う。B 件数は上表で、学習とテスト合計は1,382,402点。</w:t>
      </w:r>
    </w:p>
    <w:p>
      <w:pPr>
        <w:snapToGrid w:val="0"/>
      </w:pPr>
      <w:r>
        <w:t>C 攻撃や異常区間のラベルがある。本文分析は14イベント、提供者A1説明は15攻撃であり、単位または処理版の相違を確認する。</w:t>
      </w:r>
    </w:p>
    <w:p>
      <w:pPr>
        <w:snapToGrid w:val="0"/>
      </w:pPr>
      <w:r>
        <w:t>D iTrustの提供条件に従う。E 本文はP、C、Col。弁と液位の例は③に直接関連するが、全区間を③と分類できない。</w:t>
      </w:r>
    </w:p>
    <w:p>
      <w:pPr>
        <w:snapToGrid w:val="0"/>
      </w:pPr>
      <w:r>
        <w:t>F 公式A1は正常14日と攻撃2日、計16日。本文件数は概ね秒単位記録の規模と整合するが、本文が全処理後データの粒度を明示したわけではない。実ファイルの時刻を確認する。[R3]</w:t>
      </w:r>
    </w:p>
    <w:p>
      <w:pPr>
        <w:snapToGrid w:val="0"/>
      </w:pPr>
      <w:r>
        <w:t>G 正常期間と攻撃期間の分離。公式A2には不安定期間除去などの更新があるので、最新版を無条件に本文版の代わりに使わない。異常ラベルの符号も確認する。</w:t>
      </w:r>
    </w:p>
    <w:p>
      <w:pPr>
        <w:snapToGrid w:val="0"/>
      </w:pPr>
      <w:r>
        <w:t>H センサと状態系列による検知が可能。現在の被検知入力は必要だが、業務圧力の正解出力は必須ではない。</w:t>
      </w:r>
    </w:p>
    <w:p>
      <w:pPr>
        <w:pStyle w:val="Heading3"/>
        <w:snapToGrid w:val="0"/>
      </w:pPr>
      <w:r>
        <w:t>SMDのAからH</w:t>
      </w:r>
    </w:p>
    <w:p>
      <w:pPr>
        <w:snapToGrid w:val="0"/>
      </w:pPr>
      <w:r>
        <w:t>A サーバのCPU、メモリ、I/O等に関連する38次元系列が28台分。全項目の物理名称は本文に列挙されない。B 件数は上表で合計1,416,825点。</w:t>
      </w:r>
    </w:p>
    <w:p>
      <w:pPr>
        <w:snapToGrid w:val="0"/>
      </w:pPr>
      <w:r>
        <w:t>C テスト点の異常ラベルと関連次元の解釈ラベルが提供される。D 公開コードのライセンスとデータの使用条件を別に確認する。[R5]</w:t>
      </w:r>
    </w:p>
    <w:p>
      <w:pPr>
        <w:snapToGrid w:val="0"/>
      </w:pPr>
      <w:r>
        <w:t>E 本文はP、Col。①②③の専用正解はない。F 本文では5週間の記録。各機械は別系列であり、共通の絶対タイムスタンプや処理後間隔は採用版で確認する。</w:t>
      </w:r>
    </w:p>
    <w:p>
      <w:pPr>
        <w:snapToGrid w:val="0"/>
      </w:pPr>
      <w:r>
        <w:t>G 提供者は機械ごとにほぼ等長の学習とテストに分離し、機械別学習評価を説明している。原論文脚注の旧URLに代えて現在の著者リポジトリを入口にできるが、データ版は照合する。</w:t>
      </w:r>
    </w:p>
    <w:p>
      <w:pPr>
        <w:snapToGrid w:val="0"/>
      </w:pPr>
      <w:r>
        <w:t>H KPI入力のみの検知が可能。設備の物理的安全性や圧力推定誤差をこのデータだけで検証できるわけではない。</w:t>
      </w:r>
    </w:p>
    <w:p>
      <w:pPr>
        <w:pStyle w:val="Heading3"/>
        <w:snapToGrid w:val="0"/>
      </w:pPr>
      <w:r>
        <w:t>SMAPとMSLのAからH</w:t>
      </w:r>
    </w:p>
    <w:p>
      <w:pPr>
        <w:snapToGrid w:val="0"/>
      </w:pPr>
      <w:r>
        <w:t>A 宇宙機テレメトリと符号化コマンド情報。全次元が連続センサではない。B 件数、系列数、次元は本文表1を上表に保持した。</w:t>
      </w:r>
    </w:p>
    <w:p>
      <w:pPr>
        <w:snapToGrid w:val="0"/>
      </w:pPr>
      <w:r>
        <w:t>C Telemanomのlabeled_anomalies.csvに異常区間等がある。提供元はcontextualの分類も示しているため、本文のP、Colだけの記載から「元データに文脈異常がない」と判断しない。[R6]</w:t>
      </w:r>
    </w:p>
    <w:p>
      <w:pPr>
        <w:snapToGrid w:val="0"/>
      </w:pPr>
      <w:r>
        <w:t>D リポジトリのライセンスとリンク先配布データの条件を分けて確認する。NASA由来というだけで一律にpublic domainと断定しない。</w:t>
      </w:r>
    </w:p>
    <w:p>
      <w:pPr>
        <w:snapToGrid w:val="0"/>
      </w:pPr>
      <w:r>
        <w:t>E ①②③の専用ラベルはない。本文の分類と提供者分類を別列に保持する。F 提供元では時刻が匿名化され、テレメトリとone-hotコマンドが含まれる。本文は全系列に共通の正確な時間粒度や絶対収録期間を定めない。</w:t>
      </w:r>
    </w:p>
    <w:p>
      <w:pPr>
        <w:snapToGrid w:val="0"/>
      </w:pPr>
      <w:r>
        <w:t>G 学習テスト済みの系列と区間ラベルを利用する。提供元READMEにはテスト最小最大値による事前スケーリングの説明があり、厳密な学習時情報だけの前処理とは区別する。これは提供データの説明で、本篇が追加した処理と断定しない。現在のREADMEはKaggle経由の取得手順を示す。[R6]</w:t>
      </w:r>
    </w:p>
    <w:p>
      <w:pPr>
        <w:snapToGrid w:val="0"/>
      </w:pPr>
      <w:r>
        <w:t>H テレメトリとコマンドだけで検知器を構築できる。対象業務AIの内部情報を要求する研究設定ではない。</w:t>
      </w:r>
    </w:p>
    <w:p>
      <w:pPr>
        <w:pStyle w:val="Heading3"/>
        <w:snapToGrid w:val="0"/>
      </w:pPr>
      <w:r>
        <w:t>時間窓と再現性に関する未確定項目</w:t>
      </w:r>
    </w:p>
    <w:p>
      <w:pPr>
        <w:snapToGrid w:val="0"/>
      </w:pPr>
      <w:r>
        <w:t>本文は窓W_tを定義するが、全16方式のK、stride、正規化、欠損処理、学習率、層数、乱数seed、ハードウェア、全評価実装を統一表で公開していない。一般ライブラリへの参照はあるが、本文実験全体を再現する確定済みコードとして扱えない。</w:t>
      </w:r>
    </w:p>
    <w:p>
      <w:pPr>
        <w:snapToGrid w:val="0"/>
      </w:pPr>
      <w:r>
        <w:t>DNNやMLの入力が複数時刻であることと、最終判定が一時刻ラベルであることは両立する。窓入力を採る社内案では、過去K時刻が確保できるか、欠損と設備切替をどう処理するかを決める。</w:t>
      </w:r>
    </w:p>
    <w:p>
      <w:pPr>
        <w:pStyle w:val="Heading2"/>
        <w:snapToGrid w:val="0"/>
      </w:pPr>
      <w:r>
        <w:t>5 評価方法と確定できる結果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項目</w:t>
            </w:r>
          </w:p>
        </w:tc>
        <w:tc>
          <w:tcPr>
            <w:tcW w:type="dxa" w:w="3500"/>
            <w:vAlign w:val="center"/>
            <w:shd w:fill="E8EEF5"/>
          </w:tcPr>
          <w:p>
            <w:pPr>
              <w:pStyle w:val="TableText"/>
            </w:pPr>
            <w:r>
              <w:rPr>
                <w:b/>
                <w:color w:val="1F4D78"/>
              </w:rPr>
              <w:t>本文の内容</w:t>
            </w:r>
          </w:p>
        </w:tc>
        <w:tc>
          <w:tcPr>
            <w:tcW w:type="dxa" w:w="3810"/>
            <w:vAlign w:val="center"/>
            <w:shd w:fill="E8EEF5"/>
          </w:tcPr>
          <w:p>
            <w:pPr>
              <w:pStyle w:val="TableText"/>
            </w:pPr>
            <w:r>
              <w:rPr>
                <w:b/>
                <w:color w:val="1F4D78"/>
              </w:rPr>
              <w:t>実務上の意味</w:t>
            </w:r>
          </w:p>
        </w:tc>
      </w:tr>
      <w:tr>
        <w:trPr>
          <w:cantSplit/>
        </w:trPr>
        <w:tc>
          <w:tcPr>
            <w:tcW w:type="dxa" w:w="2050"/>
            <w:vAlign w:val="center"/>
          </w:tcPr>
          <w:p>
            <w:pPr>
              <w:pStyle w:val="TableText"/>
            </w:pPr>
            <w:r>
              <w:t>正解ラベル</w:t>
            </w:r>
          </w:p>
        </w:tc>
        <w:tc>
          <w:tcPr>
            <w:tcW w:type="dxa" w:w="3500"/>
            <w:vAlign w:val="center"/>
          </w:tcPr>
          <w:p>
            <w:pPr>
              <w:pStyle w:val="TableText"/>
            </w:pPr>
            <w:r>
              <w:t>評価時に異常ラベルを使用</w:t>
            </w:r>
          </w:p>
        </w:tc>
        <w:tc>
          <w:tcPr>
            <w:tcW w:type="dxa" w:w="3810"/>
            <w:vAlign w:val="center"/>
          </w:tcPr>
          <w:p>
            <w:pPr>
              <w:pStyle w:val="TableText"/>
            </w:pPr>
            <w:r>
              <w:t>ラベル不要なのは正常モデル学習の部分</w:t>
            </w:r>
          </w:p>
        </w:tc>
      </w:tr>
      <w:tr>
        <w:trPr>
          <w:cantSplit/>
        </w:trPr>
        <w:tc>
          <w:tcPr>
            <w:tcW w:type="dxa" w:w="2050"/>
            <w:vAlign w:val="center"/>
          </w:tcPr>
          <w:p>
            <w:pPr>
              <w:pStyle w:val="TableText"/>
            </w:pPr>
            <w:r>
              <w:t>主指標</w:t>
            </w:r>
          </w:p>
        </w:tc>
        <w:tc>
          <w:tcPr>
            <w:tcW w:type="dxa" w:w="3500"/>
            <w:vAlign w:val="center"/>
          </w:tcPr>
          <w:p>
            <w:pPr>
              <w:pStyle w:val="TableText"/>
            </w:pPr>
            <w:r>
              <w:t>F1とAP</w:t>
            </w:r>
          </w:p>
        </w:tc>
        <w:tc>
          <w:tcPr>
            <w:tcW w:type="dxa" w:w="3810"/>
            <w:vAlign w:val="center"/>
          </w:tcPr>
          <w:p>
            <w:pPr>
              <w:pStyle w:val="TableText"/>
            </w:pPr>
            <w:r>
              <w:t>F1は閾値依存 APは順位評価</w:t>
            </w:r>
          </w:p>
        </w:tc>
      </w:tr>
      <w:tr>
        <w:trPr>
          <w:cantSplit/>
        </w:trPr>
        <w:tc>
          <w:tcPr>
            <w:tcW w:type="dxa" w:w="2050"/>
            <w:vAlign w:val="center"/>
          </w:tcPr>
          <w:p>
            <w:pPr>
              <w:pStyle w:val="TableText"/>
            </w:pPr>
            <w:r>
              <w:t>閾値</w:t>
            </w:r>
          </w:p>
        </w:tc>
        <w:tc>
          <w:tcPr>
            <w:tcW w:type="dxa" w:w="3500"/>
            <w:vAlign w:val="center"/>
          </w:tcPr>
          <w:p>
            <w:pPr>
              <w:pStyle w:val="TableText"/>
            </w:pPr>
            <w:r>
              <w:t>1000候補から最高F1</w:t>
            </w:r>
          </w:p>
        </w:tc>
        <w:tc>
          <w:tcPr>
            <w:tcW w:type="dxa" w:w="3810"/>
            <w:vAlign w:val="center"/>
          </w:tcPr>
          <w:p>
            <w:pPr>
              <w:pStyle w:val="TableText"/>
            </w:pPr>
            <w:r>
              <w:t>事後の最良値 実運用の固定閾値性能ではない</w:t>
            </w:r>
          </w:p>
        </w:tc>
      </w:tr>
      <w:tr>
        <w:trPr>
          <w:cantSplit/>
        </w:trPr>
        <w:tc>
          <w:tcPr>
            <w:tcW w:type="dxa" w:w="2050"/>
            <w:vAlign w:val="center"/>
          </w:tcPr>
          <w:p>
            <w:pPr>
              <w:pStyle w:val="TableText"/>
            </w:pPr>
            <w:r>
              <w:t>時間判定</w:t>
            </w:r>
          </w:p>
        </w:tc>
        <w:tc>
          <w:tcPr>
            <w:tcW w:type="dxa" w:w="3500"/>
            <w:vAlign w:val="center"/>
          </w:tcPr>
          <w:p>
            <w:pPr>
              <w:pStyle w:val="TableText"/>
            </w:pPr>
            <w:r>
              <w:t>窓または周辺時間の容忍</w:t>
            </w:r>
          </w:p>
        </w:tc>
        <w:tc>
          <w:tcPr>
            <w:tcW w:type="dxa" w:w="3810"/>
            <w:vAlign w:val="center"/>
          </w:tcPr>
          <w:p>
            <w:pPr>
              <w:pStyle w:val="TableText"/>
            </w:pPr>
            <w:r>
              <w:t>厳密な逐点検出と直接比較しない</w:t>
            </w:r>
          </w:p>
        </w:tc>
      </w:tr>
      <w:tr>
        <w:trPr>
          <w:cantSplit/>
        </w:trPr>
        <w:tc>
          <w:tcPr>
            <w:tcW w:type="dxa" w:w="2050"/>
            <w:vAlign w:val="center"/>
          </w:tcPr>
          <w:p>
            <w:pPr>
              <w:pStyle w:val="TableText"/>
            </w:pPr>
            <w:r>
              <w:t>統計評価</w:t>
            </w:r>
          </w:p>
        </w:tc>
        <w:tc>
          <w:tcPr>
            <w:tcW w:type="dxa" w:w="3500"/>
            <w:vAlign w:val="center"/>
          </w:tcPr>
          <w:p>
            <w:pPr>
              <w:pStyle w:val="TableText"/>
            </w:pPr>
            <w:r>
              <w:t>Kruskal WallisとDunn</w:t>
            </w:r>
          </w:p>
        </w:tc>
        <w:tc>
          <w:tcPr>
            <w:tcW w:type="dxa" w:w="3810"/>
            <w:vAlign w:val="center"/>
          </w:tcPr>
          <w:p>
            <w:pPr>
              <w:pStyle w:val="TableText"/>
            </w:pPr>
            <w:r>
              <w:t>不採択を同等性証明としない</w:t>
            </w:r>
          </w:p>
        </w:tc>
      </w:tr>
      <w:tr>
        <w:trPr>
          <w:cantSplit/>
        </w:trPr>
        <w:tc>
          <w:tcPr>
            <w:tcW w:type="dxa" w:w="2050"/>
            <w:vAlign w:val="center"/>
          </w:tcPr>
          <w:p>
            <w:pPr>
              <w:pStyle w:val="TableText"/>
            </w:pPr>
            <w:r>
              <w:t>WADI結果</w:t>
            </w:r>
          </w:p>
        </w:tc>
        <w:tc>
          <w:tcPr>
            <w:tcW w:type="dxa" w:w="3500"/>
            <w:vAlign w:val="center"/>
          </w:tcPr>
          <w:p>
            <w:pPr>
              <w:pStyle w:val="TableText"/>
            </w:pPr>
            <w:r>
              <w:t>DNNと伝統のAP差が有意</w:t>
            </w:r>
          </w:p>
        </w:tc>
        <w:tc>
          <w:tcPr>
            <w:tcW w:type="dxa" w:w="3810"/>
            <w:vAlign w:val="center"/>
          </w:tcPr>
          <w:p>
            <w:pPr>
              <w:pStyle w:val="TableText"/>
            </w:pPr>
            <w:r>
              <w:t>一つのデータセットに限定した証拠</w:t>
            </w:r>
          </w:p>
        </w:tc>
      </w:tr>
      <w:tr>
        <w:trPr>
          <w:cantSplit/>
        </w:trPr>
        <w:tc>
          <w:tcPr>
            <w:tcW w:type="dxa" w:w="2050"/>
            <w:vAlign w:val="center"/>
          </w:tcPr>
          <w:p>
            <w:pPr>
              <w:pStyle w:val="TableText"/>
            </w:pPr>
            <w:r>
              <w:t>データ量</w:t>
            </w:r>
          </w:p>
        </w:tc>
        <w:tc>
          <w:tcPr>
            <w:tcW w:type="dxa" w:w="3500"/>
            <w:vAlign w:val="center"/>
          </w:tcPr>
          <w:p>
            <w:pPr>
              <w:pStyle w:val="TableText"/>
            </w:pPr>
            <w:r>
              <w:t>最近10% 25% 50% 75%を保持</w:t>
            </w:r>
          </w:p>
        </w:tc>
        <w:tc>
          <w:tcPr>
            <w:tcW w:type="dxa" w:w="3810"/>
            <w:vAlign w:val="center"/>
          </w:tcPr>
          <w:p>
            <w:pPr>
              <w:pStyle w:val="TableText"/>
            </w:pPr>
            <w:r>
              <w:t>件数と時間的カバレッジを同時に変更</w:t>
            </w:r>
          </w:p>
        </w:tc>
      </w:tr>
      <w:tr>
        <w:trPr>
          <w:cantSplit/>
        </w:trPr>
        <w:tc>
          <w:tcPr>
            <w:tcW w:type="dxa" w:w="2050"/>
            <w:vAlign w:val="center"/>
          </w:tcPr>
          <w:p>
            <w:pPr>
              <w:pStyle w:val="TableText"/>
            </w:pPr>
            <w:r>
              <w:t>実行時間</w:t>
            </w:r>
          </w:p>
        </w:tc>
        <w:tc>
          <w:tcPr>
            <w:tcW w:type="dxa" w:w="3500"/>
            <w:vAlign w:val="center"/>
          </w:tcPr>
          <w:p>
            <w:pPr>
              <w:pStyle w:val="TableText"/>
            </w:pPr>
            <w:r>
              <w:t>詳細な時間比較なし 一部10日で未収束</w:t>
            </w:r>
          </w:p>
        </w:tc>
        <w:tc>
          <w:tcPr>
            <w:tcW w:type="dxa" w:w="3810"/>
            <w:vAlign w:val="center"/>
          </w:tcPr>
          <w:p>
            <w:pPr>
              <w:pStyle w:val="TableText"/>
            </w:pPr>
            <w:r>
              <w:t>リアルタイム性の優劣を数値で断定できない</w:t>
            </w:r>
          </w:p>
        </w:tc>
      </w:tr>
    </w:tbl>
    <w:p>
      <w:pPr>
        <w:spacing w:after="0"/>
        <w:snapToGrid w:val="0"/>
      </w:pPr>
    </w:p>
    <w:p>
      <w:pPr>
        <w:snapToGrid w:val="0"/>
      </w:pPr>
      <w:r>
        <w:t>検知率と誤検知率のトレードオフは、異常方向に統一した分数の閾値を下げると通常は検知も誤警報も増えるという関係で評価する。本文には固定FPRでの検知率の完全な比較表はない。</w:t>
      </w:r>
    </w:p>
    <w:p>
      <w:pPr>
        <w:snapToGrid w:val="0"/>
      </w:pPr>
      <w:r>
        <w:t>本研究では正常一日当たりの警報数、イベントRecall、初回検知遅延、補正なしの点単位F1、AP、推論時間を併記したい。異常頻度が低い場合、FPRが低くても誤警報件数は多くなり得る。</w:t>
      </w:r>
    </w:p>
    <w:p>
      <w:pPr>
        <w:snapToGrid w:val="0"/>
      </w:pPr>
      <w:r>
        <w:t>正解ラベルがない場合、真のRecallやFPRは直接求められない。正常確認期間での警報、設備記録、専門家による抽出確認、物理的に妥当な異常注入を用いる。ラベルなしで本文と同じ最高F1を再現できるわけではない。</w:t>
      </w:r>
    </w:p>
    <w:p>
      <w:pPr>
        <w:pStyle w:val="Heading2"/>
        <w:snapToGrid w:val="0"/>
      </w:pPr>
      <w:r>
        <w:t>6 長所 短所 適用制約</w:t>
      </w:r>
    </w:p>
    <w:p>
      <w:pPr>
        <w:pStyle w:val="Heading3"/>
        <w:snapToGrid w:val="0"/>
      </w:pPr>
      <w:r>
        <w:t>本研究自体の長所</w:t>
      </w:r>
    </w:p>
    <w:p>
      <w:pPr>
        <w:snapToGrid w:val="0"/>
      </w:pPr>
      <w:r>
        <w:t>異なる手法群を比較し、全体分数だけでなくWADIの物理的ケースまで分析している。学習データ量を変える実験もあり、社内のデータ不足や運転モードの網羅性を議論する材料になる。</w:t>
      </w:r>
    </w:p>
    <w:p>
      <w:pPr>
        <w:pStyle w:val="Heading3"/>
        <w:snapToGrid w:val="0"/>
      </w:pPr>
      <w:r>
        <w:t>本研究自体の限界</w:t>
      </w:r>
    </w:p>
    <w:p>
      <w:pPr>
        <w:snapToGrid w:val="0"/>
      </w:pPr>
      <w:r>
        <w:t>16手法の選び方と調整に家族の結果が依存する。DNN群は5方式で、現在の全手法を代表しない。best-F1と時間容忍は実運用より楽観的に見える可能性があり、同じプロトコルを再現するための詳細も不足する。WADIの例から③一般の優位性を確定できない。</w:t>
      </w:r>
    </w:p>
    <w:p>
      <w:pPr>
        <w:pStyle w:val="Heading3"/>
        <w:snapToGrid w:val="0"/>
      </w:pPr>
      <w:r>
        <w:t>手法選択時の制約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条件</w:t>
            </w:r>
          </w:p>
        </w:tc>
        <w:tc>
          <w:tcPr>
            <w:tcW w:type="dxa" w:w="3500"/>
            <w:vAlign w:val="center"/>
            <w:shd w:fill="E8EEF5"/>
          </w:tcPr>
          <w:p>
            <w:pPr>
              <w:pStyle w:val="TableText"/>
            </w:pPr>
            <w:r>
              <w:rPr>
                <w:b/>
                <w:color w:val="1F4D78"/>
              </w:rPr>
              <w:t>候補と長所</w:t>
            </w:r>
          </w:p>
        </w:tc>
        <w:tc>
          <w:tcPr>
            <w:tcW w:type="dxa" w:w="3810"/>
            <w:vAlign w:val="center"/>
            <w:shd w:fill="E8EEF5"/>
          </w:tcPr>
          <w:p>
            <w:pPr>
              <w:pStyle w:val="TableText"/>
            </w:pPr>
            <w:r>
              <w:rPr>
                <w:b/>
                <w:color w:val="1F4D78"/>
              </w:rPr>
              <w:t>短所と確認点</w:t>
            </w:r>
          </w:p>
        </w:tc>
      </w:tr>
      <w:tr>
        <w:trPr>
          <w:cantSplit/>
        </w:trPr>
        <w:tc>
          <w:tcPr>
            <w:tcW w:type="dxa" w:w="2050"/>
            <w:vAlign w:val="center"/>
          </w:tcPr>
          <w:p>
            <w:pPr>
              <w:pStyle w:val="TableText"/>
            </w:pPr>
            <w:r>
              <w:t>少量の正常履歴</w:t>
            </w:r>
          </w:p>
        </w:tc>
        <w:tc>
          <w:tcPr>
            <w:tcW w:type="dxa" w:w="3500"/>
            <w:vAlign w:val="center"/>
          </w:tcPr>
          <w:p>
            <w:pPr>
              <w:pStyle w:val="TableText"/>
            </w:pPr>
            <w:r>
              <w:t>PCA 制御図などを基準にできる</w:t>
            </w:r>
          </w:p>
        </w:tc>
        <w:tc>
          <w:tcPr>
            <w:tcW w:type="dxa" w:w="3810"/>
            <w:vAlign w:val="center"/>
          </w:tcPr>
          <w:p>
            <w:pPr>
              <w:pStyle w:val="TableText"/>
            </w:pPr>
            <w:r>
              <w:t>モード多様性 共分散の安定推定</w:t>
            </w:r>
          </w:p>
        </w:tc>
      </w:tr>
      <w:tr>
        <w:trPr>
          <w:cantSplit/>
        </w:trPr>
        <w:tc>
          <w:tcPr>
            <w:tcW w:type="dxa" w:w="2050"/>
            <w:vAlign w:val="center"/>
          </w:tcPr>
          <w:p>
            <w:pPr>
              <w:pStyle w:val="TableText"/>
            </w:pPr>
            <w:r>
              <w:t>線形の時系列関係</w:t>
            </w:r>
          </w:p>
        </w:tc>
        <w:tc>
          <w:tcPr>
            <w:tcW w:type="dxa" w:w="3500"/>
            <w:vAlign w:val="center"/>
          </w:tcPr>
          <w:p>
            <w:pPr>
              <w:pStyle w:val="TableText"/>
            </w:pPr>
            <w:r>
              <w:t>VARで変数間滞後を表現</w:t>
            </w:r>
          </w:p>
        </w:tc>
        <w:tc>
          <w:tcPr>
            <w:tcW w:type="dxa" w:w="3810"/>
            <w:vAlign w:val="center"/>
          </w:tcPr>
          <w:p>
            <w:pPr>
              <w:pStyle w:val="TableText"/>
            </w:pPr>
            <w:r>
              <w:t>定常性 次数 大規模での推定負荷</w:t>
            </w:r>
          </w:p>
        </w:tc>
      </w:tr>
      <w:tr>
        <w:trPr>
          <w:cantSplit/>
        </w:trPr>
        <w:tc>
          <w:tcPr>
            <w:tcW w:type="dxa" w:w="2050"/>
            <w:vAlign w:val="center"/>
          </w:tcPr>
          <w:p>
            <w:pPr>
              <w:pStyle w:val="TableText"/>
            </w:pPr>
            <w:r>
              <w:t>局所的な希少性</w:t>
            </w:r>
          </w:p>
        </w:tc>
        <w:tc>
          <w:tcPr>
            <w:tcW w:type="dxa" w:w="3500"/>
            <w:vAlign w:val="center"/>
          </w:tcPr>
          <w:p>
            <w:pPr>
              <w:pStyle w:val="TableText"/>
            </w:pPr>
            <w:r>
              <w:t>LOF等で相対密度を表現</w:t>
            </w:r>
          </w:p>
        </w:tc>
        <w:tc>
          <w:tcPr>
            <w:tcW w:type="dxa" w:w="3810"/>
            <w:vAlign w:val="center"/>
          </w:tcPr>
          <w:p>
            <w:pPr>
              <w:pStyle w:val="TableText"/>
            </w:pPr>
            <w:r>
              <w:t>次元増加 距離尺度 一様な疎領域の見逃し</w:t>
            </w:r>
          </w:p>
        </w:tc>
      </w:tr>
      <w:tr>
        <w:trPr>
          <w:cantSplit/>
        </w:trPr>
        <w:tc>
          <w:tcPr>
            <w:tcW w:type="dxa" w:w="2050"/>
            <w:vAlign w:val="center"/>
          </w:tcPr>
          <w:p>
            <w:pPr>
              <w:pStyle w:val="TableText"/>
            </w:pPr>
            <w:r>
              <w:t>複雑な正常関係</w:t>
            </w:r>
          </w:p>
        </w:tc>
        <w:tc>
          <w:tcPr>
            <w:tcW w:type="dxa" w:w="3500"/>
            <w:vAlign w:val="center"/>
          </w:tcPr>
          <w:p>
            <w:pPr>
              <w:pStyle w:val="TableText"/>
            </w:pPr>
            <w:r>
              <w:t>AEや確率DNNが候補</w:t>
            </w:r>
          </w:p>
        </w:tc>
        <w:tc>
          <w:tcPr>
            <w:tcW w:type="dxa" w:w="3810"/>
            <w:vAlign w:val="center"/>
          </w:tcPr>
          <w:p>
            <w:pPr>
              <w:pStyle w:val="TableText"/>
            </w:pPr>
            <w:r>
              <w:t>過学習 汚染データ 未知異常も再構成する危険</w:t>
            </w:r>
          </w:p>
        </w:tc>
      </w:tr>
      <w:tr>
        <w:trPr>
          <w:cantSplit/>
        </w:trPr>
        <w:tc>
          <w:tcPr>
            <w:tcW w:type="dxa" w:w="2050"/>
            <w:vAlign w:val="center"/>
          </w:tcPr>
          <w:p>
            <w:pPr>
              <w:pStyle w:val="TableText"/>
            </w:pPr>
            <w:r>
              <w:t>形状の異常</w:t>
            </w:r>
          </w:p>
        </w:tc>
        <w:tc>
          <w:tcPr>
            <w:tcW w:type="dxa" w:w="3500"/>
            <w:vAlign w:val="center"/>
          </w:tcPr>
          <w:p>
            <w:pPr>
              <w:pStyle w:val="TableText"/>
            </w:pPr>
            <w:r>
              <w:t>MPやSSAが候補</w:t>
            </w:r>
          </w:p>
        </w:tc>
        <w:tc>
          <w:tcPr>
            <w:tcW w:type="dxa" w:w="3810"/>
            <w:vAlign w:val="center"/>
          </w:tcPr>
          <w:p>
            <w:pPr>
              <w:pStyle w:val="TableText"/>
            </w:pPr>
            <w:r>
              <w:t>窓長 参照保存 未来参照と計算量</w:t>
            </w:r>
          </w:p>
        </w:tc>
      </w:tr>
      <w:tr>
        <w:trPr>
          <w:cantSplit/>
        </w:trPr>
        <w:tc>
          <w:tcPr>
            <w:tcW w:type="dxa" w:w="2050"/>
            <w:vAlign w:val="center"/>
          </w:tcPr>
          <w:p>
            <w:pPr>
              <w:pStyle w:val="TableText"/>
            </w:pPr>
            <w:r>
              <w:t>非線形の正常境界</w:t>
            </w:r>
          </w:p>
        </w:tc>
        <w:tc>
          <w:tcPr>
            <w:tcW w:type="dxa" w:w="3500"/>
            <w:vAlign w:val="center"/>
          </w:tcPr>
          <w:p>
            <w:pPr>
              <w:pStyle w:val="TableText"/>
            </w:pPr>
            <w:r>
              <w:t>OC SVM等</w:t>
            </w:r>
          </w:p>
        </w:tc>
        <w:tc>
          <w:tcPr>
            <w:tcW w:type="dxa" w:w="3810"/>
            <w:vAlign w:val="center"/>
          </w:tcPr>
          <w:p>
            <w:pPr>
              <w:pStyle w:val="TableText"/>
            </w:pPr>
            <w:r>
              <w:t>核パラメータ データ量とメモリ</w:t>
            </w:r>
          </w:p>
        </w:tc>
      </w:tr>
    </w:tbl>
    <w:p>
      <w:pPr>
        <w:spacing w:after="0"/>
        <w:snapToGrid w:val="0"/>
      </w:pPr>
    </w:p>
    <w:p>
      <w:pPr>
        <w:snapToGrid w:val="0"/>
      </w:pPr>
      <w:r>
        <w:t>全手法に共通の最低学習点数は示されない。必要量は入力次元、窓長、正常モード数、学習モデル容量で変わる。小データでも大データでも、異常ラベルを使わず調整可能な条件と評価用情報を分離する。</w:t>
      </w:r>
    </w:p>
    <w:p>
      <w:pPr>
        <w:pStyle w:val="Heading2"/>
        <w:snapToGrid w:val="0"/>
      </w:pPr>
      <w:r>
        <w:t>7 社会インフラと末端圧力推定への適用</w:t>
      </w:r>
    </w:p>
    <w:p>
      <w:pPr>
        <w:snapToGrid w:val="0"/>
      </w:pPr>
      <w:r>
        <w:t>最も直接的な応用は、水処理や配水の制御状態監視である。本文のWADI例は、単なる観測値監視に加えて、制御動作の条件や順序を確認する必要性を示す。</w:t>
      </w:r>
    </w:p>
    <w:p>
      <w:pPr>
        <w:snapToGrid w:val="0"/>
      </w:pPr>
      <w:r>
        <w:t>社内の末端圧力推定では、既存AIの入力を独立した異常検知器にも与え、学習時と異なる組合せを警告する構成が候補となる。入力に実際どの変数が含まれ、履歴窓があるかを先に確認する。本文の123変数や液位40を社内仕様として流用しない。</w:t>
      </w:r>
    </w:p>
    <w:p>
      <w:pPr>
        <w:snapToGrid w:val="0"/>
      </w:pPr>
      <w:r>
        <w:t>山原氏の原論文の入力項目、時間粒度、学習モデル、制御条件は別途照合する。この接続は末端圧力推定という用途に基づく構想であり、山原氏の実験結果を示したものではない。</w:t>
      </w:r>
    </w:p>
    <w:p>
      <w:pPr>
        <w:snapToGrid w:val="0"/>
      </w:pPr>
      <w:r>
        <w:t>本研究の実験案として、正常運転から①範囲外、②特定モードの学習不足、③範囲内の関係変更を分ける。③では単列の値域を保ちながら関係だけ変えた対照例を作り、物理的妥当性を確認する。PCA、VARまたは距離法、OC-SVM等、AEまたはUSADを同じ入力と校正条件で比較する。</w:t>
      </w:r>
    </w:p>
    <w:p>
      <w:pPr>
        <w:snapToGrid w:val="0"/>
      </w:pPr>
      <w:r>
        <w:t>検知スコアと業務AIの圧力推定誤差の関連を別に評価する。高い異常スコアが出ても圧力推定が正確な場合と、異常スコアが低くても推定が外れる場合を調べることで、単なる設備異常検知からAI利用可否判断へ進められる。</w:t>
      </w:r>
    </w:p>
    <w:p>
      <w:pPr>
        <w:pStyle w:val="Heading2"/>
        <w:snapToGrid w:val="0"/>
      </w:pPr>
      <w:r>
        <w:t>8 既読論文との比較</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既読研究</w:t>
            </w:r>
          </w:p>
        </w:tc>
        <w:tc>
          <w:tcPr>
            <w:tcW w:type="dxa" w:w="3500"/>
            <w:vAlign w:val="center"/>
            <w:shd w:fill="E8EEF5"/>
          </w:tcPr>
          <w:p>
            <w:pPr>
              <w:pStyle w:val="TableText"/>
              <w:keepNext/>
            </w:pPr>
            <w:r>
              <w:rPr>
                <w:b/>
                <w:color w:val="1F4D78"/>
              </w:rPr>
              <w:t>今回との接続</w:t>
            </w:r>
          </w:p>
        </w:tc>
        <w:tc>
          <w:tcPr>
            <w:tcW w:type="dxa" w:w="3810"/>
            <w:vAlign w:val="center"/>
            <w:shd w:fill="E8EEF5"/>
          </w:tcPr>
          <w:p>
            <w:pPr>
              <w:pStyle w:val="TableText"/>
              <w:keepNext/>
            </w:pPr>
            <w:r>
              <w:rPr>
                <w:b/>
                <w:color w:val="1F4D78"/>
              </w:rPr>
              <w:t>混同しない点</w:t>
            </w:r>
          </w:p>
        </w:tc>
      </w:tr>
      <w:tr>
        <w:trPr>
          <w:cantSplit/>
        </w:trPr>
        <w:tc>
          <w:tcPr>
            <w:tcW w:type="dxa" w:w="2050"/>
            <w:vAlign w:val="center"/>
          </w:tcPr>
          <w:p>
            <w:pPr>
              <w:pStyle w:val="TableText"/>
              <w:keepNext/>
            </w:pPr>
            <w:r>
              <w:t>Density Regression</w:t>
            </w:r>
          </w:p>
        </w:tc>
        <w:tc>
          <w:tcPr>
            <w:tcW w:type="dxa" w:w="3500"/>
            <w:vAlign w:val="center"/>
          </w:tcPr>
          <w:p>
            <w:pPr>
              <w:pStyle w:val="TableText"/>
              <w:keepNext/>
            </w:pPr>
            <w:r>
              <w:t>②の密度と回帰不確実性を考える材料</w:t>
            </w:r>
          </w:p>
        </w:tc>
        <w:tc>
          <w:tcPr>
            <w:tcW w:type="dxa" w:w="3810"/>
            <w:vAlign w:val="center"/>
          </w:tcPr>
          <w:p>
            <w:pPr>
              <w:pStyle w:val="TableText"/>
              <w:keepNext/>
            </w:pPr>
            <w:r>
              <w:t>本篇の正常性スコアは予測分散ではない</w:t>
            </w:r>
          </w:p>
        </w:tc>
      </w:tr>
      <w:tr>
        <w:trPr>
          <w:cantSplit/>
        </w:trPr>
        <w:tc>
          <w:tcPr>
            <w:tcW w:type="dxa" w:w="2050"/>
            <w:vAlign w:val="center"/>
          </w:tcPr>
          <w:p>
            <w:pPr>
              <w:pStyle w:val="TableText"/>
              <w:keepNext/>
            </w:pPr>
            <w:r>
              <w:t>OutPro</w:t>
            </w:r>
          </w:p>
        </w:tc>
        <w:tc>
          <w:tcPr>
            <w:tcW w:type="dxa" w:w="3500"/>
            <w:vAlign w:val="center"/>
          </w:tcPr>
          <w:p>
            <w:pPr>
              <w:pStyle w:val="TableText"/>
              <w:keepNext/>
            </w:pPr>
            <w:r>
              <w:t>部分空間距離を比較基準にできる</w:t>
            </w:r>
          </w:p>
        </w:tc>
        <w:tc>
          <w:tcPr>
            <w:tcW w:type="dxa" w:w="3810"/>
            <w:vAlign w:val="center"/>
          </w:tcPr>
          <w:p>
            <w:pPr>
              <w:pStyle w:val="TableText"/>
              <w:keepNext/>
            </w:pPr>
            <w:r>
              <w:t>OutProは対象モデルを考慮 本篇は外部回帰AIを統一対象としない</w:t>
            </w:r>
          </w:p>
        </w:tc>
      </w:tr>
      <w:tr>
        <w:trPr>
          <w:cantSplit/>
        </w:trPr>
        <w:tc>
          <w:tcPr>
            <w:tcW w:type="dxa" w:w="2050"/>
            <w:vAlign w:val="center"/>
          </w:tcPr>
          <w:p>
            <w:pPr>
              <w:pStyle w:val="TableText"/>
              <w:keepNext/>
            </w:pPr>
            <w:r>
              <w:t>Reconditionor SOLID</w:t>
            </w:r>
          </w:p>
        </w:tc>
        <w:tc>
          <w:tcPr>
            <w:tcW w:type="dxa" w:w="3500"/>
            <w:vAlign w:val="center"/>
          </w:tcPr>
          <w:p>
            <w:pPr>
              <w:pStyle w:val="TableText"/>
              <w:keepNext/>
            </w:pPr>
            <w:r>
              <w:t>工況に応じた関係変化や適応を議論</w:t>
            </w:r>
          </w:p>
        </w:tc>
        <w:tc>
          <w:tcPr>
            <w:tcW w:type="dxa" w:w="3810"/>
            <w:vAlign w:val="center"/>
          </w:tcPr>
          <w:p>
            <w:pPr>
              <w:pStyle w:val="TableText"/>
              <w:keepNext/>
            </w:pPr>
            <w:r>
              <w:t>入力出力の条件分布変化と入力間関係は別</w:t>
            </w:r>
          </w:p>
        </w:tc>
      </w:tr>
      <w:tr>
        <w:trPr>
          <w:cantSplit/>
        </w:trPr>
        <w:tc>
          <w:tcPr>
            <w:tcW w:type="dxa" w:w="2050"/>
            <w:vAlign w:val="center"/>
          </w:tcPr>
          <w:p>
            <w:pPr>
              <w:pStyle w:val="TableText"/>
            </w:pPr>
            <w:r>
              <w:t>P04 S6サーベイ</w:t>
            </w:r>
          </w:p>
        </w:tc>
        <w:tc>
          <w:tcPr>
            <w:tcW w:type="dxa" w:w="3500"/>
            <w:vAlign w:val="center"/>
          </w:tcPr>
          <w:p>
            <w:pPr>
              <w:pStyle w:val="TableText"/>
            </w:pPr>
            <w:r>
              <w:t>P04の深度方式地図に伝統とMLの実験比較を追加</w:t>
            </w:r>
          </w:p>
        </w:tc>
        <w:tc>
          <w:tcPr>
            <w:tcW w:type="dxa" w:w="3810"/>
            <w:vAlign w:val="center"/>
          </w:tcPr>
          <w:p>
            <w:pPr>
              <w:pStyle w:val="TableText"/>
            </w:pPr>
            <w:r>
              <w:t>P04は総説 P05は選定方式の実験結果</w:t>
            </w:r>
          </w:p>
        </w:tc>
      </w:tr>
    </w:tbl>
    <w:p>
      <w:pPr>
        <w:spacing w:after="0"/>
        <w:snapToGrid w:val="0"/>
      </w:pPr>
    </w:p>
    <w:p>
      <w:pPr>
        <w:snapToGrid w:val="0"/>
      </w:pPr>
      <w:r>
        <w:t>本篇を総報告に組み込むときの中心メッセージは、「③のような文脈関係を扱うために複雑な方法を検討する価値はあるが、その必要性は単純な関係モデルとの比較で検証する」である。</w:t>
      </w:r>
    </w:p>
    <w:p>
      <w:pPr>
        <w:pStyle w:val="Heading1"/>
        <w:pageBreakBefore/>
        <w:snapToGrid w:val="0"/>
      </w:pPr>
      <w:r>
        <w:t>第三部分 日文口頭説明と想定質問</w:t>
      </w:r>
    </w:p>
    <w:p>
      <w:pPr>
        <w:pStyle w:val="Heading2"/>
        <w:snapToGrid w:val="0"/>
      </w:pPr>
      <w:r>
        <w:t>1 約5分の説明原稿</w:t>
      </w:r>
    </w:p>
    <w:p>
      <w:pPr>
        <w:snapToGrid w:val="0"/>
      </w:pPr>
      <w:r>
        <w:t>今回読んだのは、深層ニューラルネットワークが多変量時系列の異常検知にどの程度貢献しているかを調べた比較研究です。2022年のPattern Recognitionに掲載されています。前回のサーベイが方法を整理する論文だったのに対して、今回は16方式を5つの公開データセットで評価しています。</w:t>
      </w:r>
    </w:p>
    <w:p>
      <w:pPr>
        <w:snapToGrid w:val="0"/>
      </w:pPr>
      <w:r>
        <w:t>著者の問題意識は、新しい深層モデル同士だけを比較すると、より簡単な統計手法や従来の機械学習より本当に良いのか分からない、ということです。そこで、伝統手法7方式、機械学習4方式、深層学習5方式を比較しています。伝統手法には制御図、VAR、PCA、Matrix Profileなどが含まれています。</w:t>
      </w:r>
    </w:p>
    <w:p>
      <w:pPr>
        <w:snapToGrid w:val="0"/>
      </w:pPr>
      <w:r>
        <w:t>結論は、どの条件でも一貫して優れる手法群は確認できなかったというものです。ただし、深層学習が役に立たないという結論ではありません。WADIでは深層手法と伝統手法のAPに差が認められ、その理由を個別の異常事例から分析しています。</w:t>
      </w:r>
    </w:p>
    <w:p>
      <w:pPr>
        <w:snapToGrid w:val="0"/>
      </w:pPr>
      <w:r>
        <w:t>今回の調査に特に関係するのは、液位と電動弁の例です。正常時には液位が一定の条件に達してから弁が動きますが、異常時には液位がその条件に達する前に弁が動いています。液位の数値も弁の状態値も、個別には普通に見られる値です。異常なのは、弁が切り替わる時点と液位の組合せです。これは、入力項目ごとの範囲は正常でも、項目間の関係が学習時と異なるという三番目の学習外入力に近い例です。</w:t>
      </w:r>
    </w:p>
    <w:p>
      <w:pPr>
        <w:snapToGrid w:val="0"/>
      </w:pPr>
      <w:r>
        <w:t>ただし、三番目の学習外には必ず深層学習が必要だとまでは言えません。PCAでも線形の相関からのずれを検知できますし、VARでも変数間の時間的関係を使えます。この論文で確認できるのは、選ばれた方式とWADIの一部の事例で深層方式に利点があったという範囲です。</w:t>
      </w:r>
    </w:p>
    <w:p>
      <w:pPr>
        <w:snapToGrid w:val="0"/>
      </w:pPr>
      <w:r>
        <w:t>評価方法にも注意があります。本文のF1は、異常スコアを正規化して1000個の閾値を試し、その中で最も高い値を報告しています。つまりテストの正解を見てから選んだ最良値で、事前に閾値を決めて運用した結果ではありません。また、時間窓や異常周辺での検知を認める評価なので、厳密な一時刻ごとの性能とも区別する必要があります。</w:t>
      </w:r>
    </w:p>
    <w:p>
      <w:pPr>
        <w:snapToGrid w:val="0"/>
      </w:pPr>
      <w:r>
        <w:t>もう一つは学習データ量の実験です。正常履歴の最近10%、25%、50%、75%を残して比較し、少ないデータでは伝統手法が強い場面がありました。ただし、最近の部分を残す操作では、件数だけでなく工況の種類や時期も変わります。したがって、50%以上あれば深層学習が使えるという一般的な基準にはできません。</w:t>
      </w:r>
    </w:p>
    <w:p>
      <w:pPr>
        <w:snapToGrid w:val="0"/>
      </w:pPr>
      <w:r>
        <w:t>社内の末端圧力推定への応用では、まず既存AIの入力項目と時間窓を確認し、同じ入力で単純な基準と深層方式を比較したいと考えています。特に、三番目の関係異常が検知できるかと、検知時に圧力推定誤差が本当に大きくなるかを別々に確認します。今回の論文は、複雑なモデルを選ぶ前に比較基準と評価条件をそろえる必要があることを示す資料として利用できます。</w:t>
      </w:r>
    </w:p>
    <w:p>
      <w:pPr>
        <w:pStyle w:val="Heading2"/>
        <w:snapToGrid w:val="0"/>
      </w:pPr>
      <w:r>
        <w:t>2 带教可能追问的问题</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深層学習は不要という論文ですか</w:t>
            </w:r>
          </w:p>
        </w:tc>
        <w:tc>
          <w:tcPr>
            <w:tcW w:type="dxa" w:w="6960"/>
            <w:vAlign w:val="center"/>
          </w:tcPr>
          <w:p>
            <w:pPr>
              <w:pStyle w:val="TableText"/>
            </w:pPr>
            <w:r>
              <w:t>いいえ。全条件で一貫した優位性はありませんが、WADIの文脈異常で利点を示しています。</w:t>
            </w:r>
          </w:p>
        </w:tc>
      </w:tr>
      <w:tr>
        <w:trPr>
          <w:cantSplit/>
        </w:trPr>
        <w:tc>
          <w:tcPr>
            <w:tcW w:type="dxa" w:w="2400"/>
            <w:vAlign w:val="center"/>
          </w:tcPr>
          <w:p>
            <w:pPr>
              <w:pStyle w:val="TableText"/>
            </w:pPr>
            <w:r>
              <w:t>三番目の学習外との一番強い関係は</w:t>
            </w:r>
          </w:p>
        </w:tc>
        <w:tc>
          <w:tcPr>
            <w:tcW w:type="dxa" w:w="6960"/>
            <w:vAlign w:val="center"/>
          </w:tcPr>
          <w:p>
            <w:pPr>
              <w:pStyle w:val="TableText"/>
            </w:pPr>
            <w:r>
              <w:t>値そのものが正常でも、弁が動く時点と液位の関係が通常と違う実例です。</w:t>
            </w:r>
          </w:p>
        </w:tc>
      </w:tr>
      <w:tr>
        <w:trPr>
          <w:cantSplit/>
        </w:trPr>
        <w:tc>
          <w:tcPr>
            <w:tcW w:type="dxa" w:w="2400"/>
            <w:vAlign w:val="center"/>
          </w:tcPr>
          <w:p>
            <w:pPr>
              <w:pStyle w:val="TableText"/>
            </w:pPr>
            <w:r>
              <w:t>PCAでも相関異常を検知できますか</w:t>
            </w:r>
          </w:p>
        </w:tc>
        <w:tc>
          <w:tcPr>
            <w:tcW w:type="dxa" w:w="6960"/>
            <w:vAlign w:val="center"/>
          </w:tcPr>
          <w:p>
            <w:pPr>
              <w:pStyle w:val="TableText"/>
            </w:pPr>
            <w:r>
              <w:t>線形の正常関係からの残差なら可能です。非線形やモード依存の関係まで十分かは別途検証します。</w:t>
            </w:r>
          </w:p>
        </w:tc>
      </w:tr>
      <w:tr>
        <w:trPr>
          <w:cantSplit/>
        </w:trPr>
        <w:tc>
          <w:tcPr>
            <w:tcW w:type="dxa" w:w="2400"/>
            <w:vAlign w:val="center"/>
          </w:tcPr>
          <w:p>
            <w:pPr>
              <w:pStyle w:val="TableText"/>
            </w:pPr>
            <w:r>
              <w:t>最高F1をそのまま比較してよいですか</w:t>
            </w:r>
          </w:p>
        </w:tc>
        <w:tc>
          <w:tcPr>
            <w:tcW w:type="dxa" w:w="6960"/>
            <w:vAlign w:val="center"/>
          </w:tcPr>
          <w:p>
            <w:pPr>
              <w:pStyle w:val="TableText"/>
            </w:pPr>
            <w:r>
              <w:t>同じ評価設定内では参考になりますが、閾値を事後選択しているため、その値を実運用性能として使いません。</w:t>
            </w:r>
          </w:p>
        </w:tc>
      </w:tr>
      <w:tr>
        <w:trPr>
          <w:cantSplit/>
        </w:trPr>
        <w:tc>
          <w:tcPr>
            <w:tcW w:type="dxa" w:w="2400"/>
            <w:vAlign w:val="center"/>
          </w:tcPr>
          <w:p>
            <w:pPr>
              <w:pStyle w:val="TableText"/>
            </w:pPr>
            <w:r>
              <w:t>有意差なしなら同じ性能ですか</w:t>
            </w:r>
          </w:p>
        </w:tc>
        <w:tc>
          <w:tcPr>
            <w:tcW w:type="dxa" w:w="6960"/>
            <w:vAlign w:val="center"/>
          </w:tcPr>
          <w:p>
            <w:pPr>
              <w:pStyle w:val="TableText"/>
            </w:pPr>
            <w:r>
              <w:t>同じと証明したわけではありません。今回の標本と検定で差を検出できなかったという意味です。</w:t>
            </w:r>
          </w:p>
        </w:tc>
      </w:tr>
      <w:tr>
        <w:trPr>
          <w:cantSplit/>
        </w:trPr>
        <w:tc>
          <w:tcPr>
            <w:tcW w:type="dxa" w:w="2400"/>
            <w:vAlign w:val="center"/>
          </w:tcPr>
          <w:p>
            <w:pPr>
              <w:pStyle w:val="TableText"/>
            </w:pPr>
            <w:r>
              <w:t>データ量50%が基準ですか</w:t>
            </w:r>
          </w:p>
        </w:tc>
        <w:tc>
          <w:tcPr>
            <w:tcW w:type="dxa" w:w="6960"/>
            <w:vAlign w:val="center"/>
          </w:tcPr>
          <w:p>
            <w:pPr>
              <w:pStyle w:val="TableText"/>
            </w:pPr>
            <w:r>
              <w:t>この二つのデータセットでの相対量です。一般的な必要サンプル数や工況網羅性の基準にはできません。</w:t>
            </w:r>
          </w:p>
        </w:tc>
      </w:tr>
      <w:tr>
        <w:trPr>
          <w:cantSplit/>
        </w:trPr>
        <w:tc>
          <w:tcPr>
            <w:tcW w:type="dxa" w:w="2400"/>
            <w:vAlign w:val="center"/>
          </w:tcPr>
          <w:p>
            <w:pPr>
              <w:pStyle w:val="TableText"/>
            </w:pPr>
            <w:r>
              <w:t>ラベルなしで検知できますか</w:t>
            </w:r>
          </w:p>
        </w:tc>
        <w:tc>
          <w:tcPr>
            <w:tcW w:type="dxa" w:w="6960"/>
            <w:vAlign w:val="center"/>
          </w:tcPr>
          <w:p>
            <w:pPr>
              <w:pStyle w:val="TableText"/>
            </w:pPr>
            <w:r>
              <w:t>正常モデルの学習と運用スコア計算は可能ですが、本文のF1評価には正解ラベルが必要です。</w:t>
            </w:r>
          </w:p>
        </w:tc>
      </w:tr>
      <w:tr>
        <w:trPr>
          <w:cantSplit/>
        </w:trPr>
        <w:tc>
          <w:tcPr>
            <w:tcW w:type="dxa" w:w="2400"/>
            <w:vAlign w:val="center"/>
          </w:tcPr>
          <w:p>
            <w:pPr>
              <w:pStyle w:val="TableText"/>
            </w:pPr>
            <w:r>
              <w:t>業務AIの内部は必要ですか</w:t>
            </w:r>
          </w:p>
        </w:tc>
        <w:tc>
          <w:tcPr>
            <w:tcW w:type="dxa" w:w="6960"/>
            <w:vAlign w:val="center"/>
          </w:tcPr>
          <w:p>
            <w:pPr>
              <w:pStyle w:val="TableText"/>
            </w:pPr>
            <w:r>
              <w:t>本篇の方式は入力系列だけで別の検知器として構成可能です。ただし検知器自身の学習済み内部情報は使います。</w:t>
            </w:r>
          </w:p>
        </w:tc>
      </w:tr>
      <w:tr>
        <w:trPr>
          <w:cantSplit/>
        </w:trPr>
        <w:tc>
          <w:tcPr>
            <w:tcW w:type="dxa" w:w="2400"/>
            <w:vAlign w:val="center"/>
          </w:tcPr>
          <w:p>
            <w:pPr>
              <w:pStyle w:val="TableText"/>
            </w:pPr>
            <w:r>
              <w:t>WADIは14異常ですか15攻撃ですか</w:t>
            </w:r>
          </w:p>
        </w:tc>
        <w:tc>
          <w:tcPr>
            <w:tcW w:type="dxa" w:w="6960"/>
            <w:vAlign w:val="center"/>
          </w:tcPr>
          <w:p>
            <w:pPr>
              <w:pStyle w:val="TableText"/>
            </w:pPr>
            <w:r>
              <w:t>本論文の分析は14イベント、提供者A1は15攻撃です。採用版とラベルの統合規則を確認して区別します。</w:t>
            </w:r>
          </w:p>
        </w:tc>
      </w:tr>
      <w:tr>
        <w:trPr>
          <w:cantSplit/>
        </w:trPr>
        <w:tc>
          <w:tcPr>
            <w:tcW w:type="dxa" w:w="2400"/>
            <w:vAlign w:val="center"/>
          </w:tcPr>
          <w:p>
            <w:pPr>
              <w:pStyle w:val="TableText"/>
            </w:pPr>
            <w:r>
              <w:t>この結果は最新方式にも当てはまりますか</w:t>
            </w:r>
          </w:p>
        </w:tc>
        <w:tc>
          <w:tcPr>
            <w:tcW w:type="dxa" w:w="6960"/>
            <w:vAlign w:val="center"/>
          </w:tcPr>
          <w:p>
            <w:pPr>
              <w:pStyle w:val="TableText"/>
            </w:pPr>
            <w:r>
              <w:t>本文で調べた5つのDNNと5データセットの結果です。未評価の最新モデルまで一般化しません。</w:t>
            </w:r>
          </w:p>
        </w:tc>
      </w:tr>
    </w:tbl>
    <w:p>
      <w:pPr>
        <w:spacing w:after="0"/>
        <w:snapToGrid w:val="0"/>
      </w:pPr>
    </w:p>
    <w:p>
      <w:pPr>
        <w:pStyle w:val="Heading1"/>
        <w:pageBreakBefore/>
        <w:snapToGrid w:val="0"/>
      </w:pPr>
      <w:r>
        <w:t>第四部分 参照資料と総報告への転記項目</w:t>
      </w:r>
    </w:p>
    <w:p>
      <w:pPr>
        <w:pStyle w:val="Heading2"/>
        <w:snapToGrid w:val="0"/>
      </w:pPr>
      <w:r>
        <w:t>1 総報告に残す短い記録</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転記内容</w:t>
            </w:r>
          </w:p>
        </w:tc>
      </w:tr>
      <w:tr>
        <w:trPr>
          <w:cantSplit/>
        </w:trPr>
        <w:tc>
          <w:tcPr>
            <w:tcW w:type="dxa" w:w="2400"/>
            <w:vAlign w:val="center"/>
          </w:tcPr>
          <w:p>
            <w:pPr>
              <w:pStyle w:val="TableText"/>
            </w:pPr>
            <w:r>
              <w:t>役割</w:t>
            </w:r>
          </w:p>
        </w:tc>
        <w:tc>
          <w:tcPr>
            <w:tcW w:type="dxa" w:w="6960"/>
            <w:vAlign w:val="center"/>
          </w:tcPr>
          <w:p>
            <w:pPr>
              <w:pStyle w:val="TableText"/>
            </w:pPr>
            <w:r>
              <w:t>深度モデルだけに偏らない比較研究</w:t>
            </w:r>
          </w:p>
        </w:tc>
      </w:tr>
      <w:tr>
        <w:trPr>
          <w:cantSplit/>
        </w:trPr>
        <w:tc>
          <w:tcPr>
            <w:tcW w:type="dxa" w:w="2400"/>
            <w:vAlign w:val="center"/>
          </w:tcPr>
          <w:p>
            <w:pPr>
              <w:pStyle w:val="TableText"/>
            </w:pPr>
            <w:r>
              <w:t>直接の証拠</w:t>
            </w:r>
          </w:p>
        </w:tc>
        <w:tc>
          <w:tcPr>
            <w:tcW w:type="dxa" w:w="6960"/>
            <w:vAlign w:val="center"/>
          </w:tcPr>
          <w:p>
            <w:pPr>
              <w:pStyle w:val="TableText"/>
            </w:pPr>
            <w:r>
              <w:t>16方式 5データセット WADIの条件動作異常 学習量実験</w:t>
            </w:r>
          </w:p>
        </w:tc>
      </w:tr>
      <w:tr>
        <w:trPr>
          <w:cantSplit/>
        </w:trPr>
        <w:tc>
          <w:tcPr>
            <w:tcW w:type="dxa" w:w="2400"/>
            <w:vAlign w:val="center"/>
          </w:tcPr>
          <w:p>
            <w:pPr>
              <w:pStyle w:val="TableText"/>
            </w:pPr>
            <w:r>
              <w:t>③への関連</w:t>
            </w:r>
          </w:p>
        </w:tc>
        <w:tc>
          <w:tcPr>
            <w:tcW w:type="dxa" w:w="6960"/>
            <w:vAlign w:val="center"/>
          </w:tcPr>
          <w:p>
            <w:pPr>
              <w:pStyle w:val="TableText"/>
            </w:pPr>
            <w:r>
              <w:t>高い ただし専用③ベンチマークの全性能ではない</w:t>
            </w:r>
          </w:p>
        </w:tc>
      </w:tr>
      <w:tr>
        <w:trPr>
          <w:cantSplit/>
        </w:trPr>
        <w:tc>
          <w:tcPr>
            <w:tcW w:type="dxa" w:w="2400"/>
            <w:vAlign w:val="center"/>
          </w:tcPr>
          <w:p>
            <w:pPr>
              <w:pStyle w:val="TableText"/>
            </w:pPr>
            <w:r>
              <w:t>②への関連</w:t>
            </w:r>
          </w:p>
        </w:tc>
        <w:tc>
          <w:tcPr>
            <w:tcW w:type="dxa" w:w="6960"/>
            <w:vAlign w:val="center"/>
          </w:tcPr>
          <w:p>
            <w:pPr>
              <w:pStyle w:val="TableText"/>
            </w:pPr>
            <w:r>
              <w:t>間接的 総訓練量の削減と局所低密度は別</w:t>
            </w:r>
          </w:p>
        </w:tc>
      </w:tr>
      <w:tr>
        <w:trPr>
          <w:cantSplit/>
        </w:trPr>
        <w:tc>
          <w:tcPr>
            <w:tcW w:type="dxa" w:w="2400"/>
            <w:vAlign w:val="center"/>
          </w:tcPr>
          <w:p>
            <w:pPr>
              <w:pStyle w:val="TableText"/>
            </w:pPr>
            <w:r>
              <w:t>評価制限</w:t>
            </w:r>
          </w:p>
        </w:tc>
        <w:tc>
          <w:tcPr>
            <w:tcW w:type="dxa" w:w="6960"/>
            <w:vAlign w:val="center"/>
          </w:tcPr>
          <w:p>
            <w:pPr>
              <w:pStyle w:val="TableText"/>
            </w:pPr>
            <w:r>
              <w:t>best F1 1000閾値 時間容忍 詳細実装不足</w:t>
            </w:r>
          </w:p>
        </w:tc>
      </w:tr>
      <w:tr>
        <w:trPr>
          <w:cantSplit/>
        </w:trPr>
        <w:tc>
          <w:tcPr>
            <w:tcW w:type="dxa" w:w="2400"/>
            <w:vAlign w:val="center"/>
          </w:tcPr>
          <w:p>
            <w:pPr>
              <w:pStyle w:val="TableText"/>
            </w:pPr>
            <w:r>
              <w:t>実装判断</w:t>
            </w:r>
          </w:p>
        </w:tc>
        <w:tc>
          <w:tcPr>
            <w:tcW w:type="dxa" w:w="6960"/>
            <w:vAlign w:val="center"/>
          </w:tcPr>
          <w:p>
            <w:pPr>
              <w:pStyle w:val="TableText"/>
            </w:pPr>
            <w:r>
              <w:t>既存業務AIの入力だけで独立検知器を比較可能</w:t>
            </w:r>
          </w:p>
        </w:tc>
      </w:tr>
      <w:tr>
        <w:trPr>
          <w:cantSplit/>
        </w:trPr>
        <w:tc>
          <w:tcPr>
            <w:tcW w:type="dxa" w:w="2400"/>
            <w:vAlign w:val="center"/>
          </w:tcPr>
          <w:p>
            <w:pPr>
              <w:pStyle w:val="TableText"/>
            </w:pPr>
            <w:r>
              <w:t>次の課題</w:t>
            </w:r>
          </w:p>
        </w:tc>
        <w:tc>
          <w:tcPr>
            <w:tcW w:type="dxa" w:w="6960"/>
            <w:vAlign w:val="center"/>
          </w:tcPr>
          <w:p>
            <w:pPr>
              <w:pStyle w:val="TableText"/>
            </w:pPr>
            <w:r>
              <w:t>統一校正の基線比較 ③を分離した検証 圧力推定誤差との関連</w:t>
            </w:r>
          </w:p>
        </w:tc>
      </w:tr>
    </w:tbl>
    <w:p>
      <w:pPr>
        <w:spacing w:after="0"/>
        <w:snapToGrid w:val="0"/>
      </w:pPr>
    </w:p>
    <w:p>
      <w:pPr>
        <w:pStyle w:val="Heading2"/>
        <w:snapToGrid w:val="0"/>
      </w:pPr>
      <w:r>
        <w:t>2 参照資料</w:t>
      </w:r>
    </w:p>
    <w:p>
      <w:pPr>
        <w:snapToGrid w:val="0"/>
      </w:pPr>
      <w:r>
        <w:t>[R1] Audibert J, Michiardi P, Guyard F, Marti S, Zuluaga MA. Do Deep Neural Networks Contribute to Multivariate Time Series Anomaly Detection? Pattern Recognition. 2022;132:108945. 添付1-s2.0-S0031320322004253-am.pdf、著者稿35頁。第3節は定義、第4節は16方式、第5節と図2至5及び表1至2は実験、第6節は結論。</w:t>
      </w:r>
    </w:p>
    <w:p>
      <w:pPr>
        <w:pStyle w:val="SourceText"/>
        <w:snapToGrid w:val="0"/>
      </w:pPr>
      <w:r/>
      <w:hyperlink r:id="rId11">
        <w:r>
          <w:rPr>
            <w:color w:val="2E74B5"/>
          </w:rPr>
          <w:t>https://doi.org/10.1016/j.patcog.2022.108945</w:t>
        </w:r>
      </w:hyperlink>
      <w:r/>
    </w:p>
    <w:p>
      <w:pPr>
        <w:snapToGrid w:val="0"/>
      </w:pPr>
      <w:r>
        <w:t>[R2] EURECOMの著者所属機関公開書誌。正式掲載巻、論文番号、年を確認。arXiv版は著者稿の別版であり、本文の評価条件を置き換えるためには使用していない。</w:t>
      </w:r>
    </w:p>
    <w:p>
      <w:pPr>
        <w:pStyle w:val="SourceText"/>
        <w:snapToGrid w:val="0"/>
      </w:pPr>
      <w:r/>
      <w:hyperlink r:id="rId12">
        <w:r>
          <w:rPr>
            <w:color w:val="2E74B5"/>
          </w:rPr>
          <w:t>https://www.eurecom.fr/fr/publication/6863</w:t>
        </w:r>
      </w:hyperlink>
      <w:r/>
    </w:p>
    <w:p>
      <w:pPr>
        <w:pStyle w:val="SourceText"/>
        <w:snapToGrid w:val="0"/>
      </w:pPr>
      <w:r/>
      <w:hyperlink r:id="rId13">
        <w:r>
          <w:rPr>
            <w:color w:val="2E74B5"/>
          </w:rPr>
          <w:t>https://arxiv.org/abs/2204.01637</w:t>
        </w:r>
      </w:hyperlink>
      <w:r/>
    </w:p>
    <w:p>
      <w:pPr>
        <w:snapToGrid w:val="0"/>
      </w:pPr>
      <w:r>
        <w:t>[R3] SUTD iTrust WaDiデータ説明。A1の16日、123項目、15攻撃、A2の更新内容を確認。本文14イベントとの区別に利用。</w:t>
      </w:r>
    </w:p>
    <w:p>
      <w:pPr>
        <w:pStyle w:val="SourceText"/>
        <w:snapToGrid w:val="0"/>
      </w:pPr>
      <w:r/>
      <w:hyperlink r:id="rId14">
        <w:r>
          <w:rPr>
            <w:color w:val="2E74B5"/>
          </w:rPr>
          <w:t>https://www.sutd.edu.sg/itrust/itrust-labs/datasets/dataset-characteristics/wadi/</w:t>
        </w:r>
      </w:hyperlink>
      <w:r/>
    </w:p>
    <w:p>
      <w:pPr>
        <w:snapToGrid w:val="0"/>
      </w:pPr>
      <w:r>
        <w:t>[R4] SUTD iTrust SWaT説明およびデータ申請入口。A1の正常7日と攻撃4日、51項目、版更新を確認。</w:t>
      </w:r>
    </w:p>
    <w:p>
      <w:pPr>
        <w:pStyle w:val="SourceText"/>
        <w:snapToGrid w:val="0"/>
      </w:pPr>
      <w:r/>
      <w:hyperlink r:id="rId15">
        <w:r>
          <w:rPr>
            <w:color w:val="2E74B5"/>
          </w:rPr>
          <w:t>https://www.sutd.edu.sg/itrust/itrust-labs/datasets/dataset-characteristics/swat/</w:t>
        </w:r>
      </w:hyperlink>
      <w:r/>
    </w:p>
    <w:p>
      <w:pPr>
        <w:pStyle w:val="SourceText"/>
        <w:snapToGrid w:val="0"/>
      </w:pPr>
      <w:r/>
      <w:hyperlink r:id="rId16">
        <w:r>
          <w:rPr>
            <w:color w:val="2E74B5"/>
          </w:rPr>
          <w:t>https://www.sutd.edu.sg/itrust/itrust-labs/datasets/</w:t>
        </w:r>
      </w:hyperlink>
      <w:r/>
    </w:p>
    <w:p>
      <w:pPr>
        <w:snapToGrid w:val="0"/>
      </w:pPr>
      <w:r>
        <w:t>[R5] OmniAnomaly著者公開リポジトリ。SMDの機械別データとラベル、分割方法の入口。</w:t>
      </w:r>
    </w:p>
    <w:p>
      <w:pPr>
        <w:pStyle w:val="SourceText"/>
        <w:snapToGrid w:val="0"/>
      </w:pPr>
      <w:r/>
      <w:hyperlink r:id="rId17">
        <w:r>
          <w:rPr>
            <w:color w:val="2E74B5"/>
          </w:rPr>
          <w:t>https://github.com/NetManAIOps/OmniAnomaly</w:t>
        </w:r>
      </w:hyperlink>
      <w:r/>
    </w:p>
    <w:p>
      <w:pPr>
        <w:snapToGrid w:val="0"/>
      </w:pPr>
      <w:r>
        <w:t>[R6] Telemanom著者公開リポジトリ。テレメトリとコマンド、異常区間、contextual分類、匿名化と事前スケーリングの説明。現在の入手手順はREADMEを参照する。</w:t>
      </w:r>
    </w:p>
    <w:p>
      <w:pPr>
        <w:pStyle w:val="SourceText"/>
        <w:snapToGrid w:val="0"/>
      </w:pPr>
      <w:r/>
      <w:hyperlink r:id="rId18">
        <w:r>
          <w:rPr>
            <w:color w:val="2E74B5"/>
          </w:rPr>
          <w:t>https://github.com/khundman/telemanom</w:t>
        </w:r>
      </w:hyperlink>
      <w:r/>
    </w:p>
    <w:p>
      <w:pPr>
        <w:snapToGrid w:val="0"/>
      </w:pPr>
      <w:r>
        <w:t>[R7] scikit-learn公式OneClassSVM説明。正常分布の支持領域推定と判定分数の説明を補足。本文の最小超球という説明を実装定義として無条件採用しないための参照。</w:t>
      </w:r>
    </w:p>
    <w:p>
      <w:pPr>
        <w:pStyle w:val="SourceText"/>
        <w:snapToGrid w:val="0"/>
      </w:pPr>
      <w:r/>
      <w:hyperlink r:id="rId19">
        <w:r>
          <w:rPr>
            <w:color w:val="2E74B5"/>
          </w:rPr>
          <w:t>https://scikit-learn.org/stable/modules/generated/sklearn.svm.OneClassSVM.html</w:t>
        </w:r>
      </w:hyperlink>
      <w:r/>
    </w:p>
    <w:p>
      <w:pPr>
        <w:snapToGrid w:val="0"/>
      </w:pPr>
      <w:r>
        <w:t>確認日 2026年9月9日。データの実ファイルを取得して本篇の再実験を行った報告ではない。実装と性能の確定範囲は各節に示した。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P05  /  時系列異常検知の手法比較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patcog.2022.108945" TargetMode="External"/><Relationship Id="rId12" Type="http://schemas.openxmlformats.org/officeDocument/2006/relationships/hyperlink" Target="https://www.eurecom.fr/fr/publication/6863" TargetMode="External"/><Relationship Id="rId13" Type="http://schemas.openxmlformats.org/officeDocument/2006/relationships/hyperlink" Target="https://arxiv.org/abs/2204.01637" TargetMode="External"/><Relationship Id="rId14" Type="http://schemas.openxmlformats.org/officeDocument/2006/relationships/hyperlink" Target="https://www.sutd.edu.sg/itrust/itrust-labs/datasets/dataset-characteristics/wadi/" TargetMode="External"/><Relationship Id="rId15" Type="http://schemas.openxmlformats.org/officeDocument/2006/relationships/hyperlink" Target="https://www.sutd.edu.sg/itrust/itrust-labs/datasets/dataset-characteristics/swat/" TargetMode="External"/><Relationship Id="rId16" Type="http://schemas.openxmlformats.org/officeDocument/2006/relationships/hyperlink" Target="https://www.sutd.edu.sg/itrust/itrust-labs/datasets/" TargetMode="External"/><Relationship Id="rId17" Type="http://schemas.openxmlformats.org/officeDocument/2006/relationships/hyperlink" Target="https://github.com/NetManAIOps/OmniAnomaly" TargetMode="External"/><Relationship Id="rId18" Type="http://schemas.openxmlformats.org/officeDocument/2006/relationships/hyperlink" Target="https://github.com/khundman/telemanom" TargetMode="External"/><Relationship Id="rId19" Type="http://schemas.openxmlformats.org/officeDocument/2006/relationships/hyperlink" Target="https://scikit-learn.org/stable/modules/generated/sklearn.svm.OneClassSV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深度神经网络与多变量时序异常检测比较研究</dc:title>
  <dc:subject>中文精读／日本語研究報告／口頭説明</dc:subject>
  <dc:creator>研究整理</dc:creator>
  <cp:keywords>学習外入力データ, Reconditionor, SOLID, CDS, 時系列予測</cp:keywords>
  <dc:description>generated by python-docx</dc:description>
  <cp:lastModifiedBy/>
  <cp:revision>1</cp:revision>
  <dcterms:created xsi:type="dcterms:W3CDTF">2013-12-23T23:15:00Z</dcterms:created>
  <dcterms:modified xsi:type="dcterms:W3CDTF">2013-12-23T23:15:00Z</dcterms:modified>
  <cp:category/>
</cp:coreProperties>
</file>