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OutPro 论文精读与研究分析</w:t>
      </w:r>
    </w:p>
    <w:p>
      <w:pPr>
        <w:snapToGrid w:val="0"/>
      </w:pPr>
      <w:r>
        <w:t>中文精读 · 日本語研究報告 · 口頭説明 · 与Density-Regression对照</w:t>
      </w:r>
    </w:p>
    <w:p>
      <w:pPr>
        <w:snapToGrid w:val="0"/>
      </w:pPr>
      <w:r>
        <w:t>P02　General OOD detection via model-aware and subspace-aware variable priority</w:t>
      </w:r>
    </w:p>
    <w:p>
      <w:pPr>
        <w:snapToGrid w:val="0"/>
      </w:pPr>
      <w:r>
        <w:t>核对日期：2026年9月8日　研究主题：学習外入力データ検知／多変量数値／回帰</w:t>
      </w:r>
    </w:p>
    <w:p>
      <w:pPr>
        <w:snapToGrid w:val="0"/>
      </w:pPr>
      <w:r>
        <w:t>本报告基于用户上传的30页PDF、正式出版页面、varPro软件文档及公开源码。页码均指上传PDF物理页码。已完成全文、关键图表和代码静态核对；没有运行森林训练或复现实验性能。</w:t>
      </w:r>
    </w:p>
    <w:p>
      <w:pPr>
        <w:snapToGrid w:val="0"/>
      </w:pPr>
      <w:r>
        <w:t>证据标记：【论文】原文明确报告；【代码】指定版本的实现；【推导】本报告的数学分析或教学例；【应用建议】实习课题的扩展；【待核实】资料尚不能确定。来源见末尾索引。</w:t>
      </w:r>
    </w:p>
    <w:p>
      <w:pPr>
        <w:pStyle w:val="Heading2"/>
        <w:snapToGrid w:val="0"/>
      </w:pPr>
      <w:r>
        <w:t>先读结论：这篇与实习要求有多贴近？</w:t>
      </w:r>
    </w:p>
    <w:p>
      <w:pPr>
        <w:snapToGrid w:val="0"/>
      </w:pPr>
      <w:r>
        <w:t>OutPro是针对监督表格模型的学习外输入评分方法。它用训练好的随机森林决定“哪些变量值得看”和“应该跟哪些训练样本比较”，然后在选定变量上计算距离。相比上一篇，它直接评价OOD检测的AUC-PR，也设计了关系变化异常；但没有多变量时间序列实验。【论文：§1、§3、§5】</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要求</w:t>
            </w:r>
          </w:p>
        </w:tc>
        <w:tc>
          <w:tcPr>
            <w:tcW w:type="dxa" w:w="3500"/>
            <w:vAlign w:val="center"/>
            <w:shd w:fill="E8EEF5"/>
          </w:tcPr>
          <w:p>
            <w:pPr>
              <w:pStyle w:val="TableText"/>
              <w:keepNext/>
            </w:pPr>
            <w:r>
              <w:rPr>
                <w:b/>
                <w:color w:val="1F4D78"/>
              </w:rPr>
              <w:t>判断</w:t>
            </w:r>
          </w:p>
        </w:tc>
        <w:tc>
          <w:tcPr>
            <w:tcW w:type="dxa" w:w="3810"/>
            <w:vAlign w:val="center"/>
            <w:shd w:fill="E8EEF5"/>
          </w:tcPr>
          <w:p>
            <w:pPr>
              <w:pStyle w:val="TableText"/>
              <w:keepNext/>
            </w:pPr>
            <w:r>
              <w:rPr>
                <w:b/>
                <w:color w:val="1F4D78"/>
              </w:rPr>
              <w:t>准确表述</w:t>
            </w:r>
          </w:p>
        </w:tc>
      </w:tr>
      <w:tr>
        <w:trPr>
          <w:cantSplit/>
        </w:trPr>
        <w:tc>
          <w:tcPr>
            <w:tcW w:type="dxa" w:w="2050"/>
            <w:vAlign w:val="center"/>
          </w:tcPr>
          <w:p>
            <w:pPr>
              <w:pStyle w:val="TableText"/>
              <w:keepNext/>
            </w:pPr>
            <w:r>
              <w:t>学習外／OOD检测</w:t>
            </w:r>
          </w:p>
        </w:tc>
        <w:tc>
          <w:tcPr>
            <w:tcW w:type="dxa" w:w="3500"/>
            <w:vAlign w:val="center"/>
          </w:tcPr>
          <w:p>
            <w:pPr>
              <w:pStyle w:val="TableText"/>
              <w:keepNext/>
            </w:pPr>
            <w:r>
              <w:t>✓</w:t>
            </w:r>
          </w:p>
        </w:tc>
        <w:tc>
          <w:tcPr>
            <w:tcW w:type="dxa" w:w="3810"/>
            <w:vAlign w:val="center"/>
          </w:tcPr>
          <w:p>
            <w:pPr>
              <w:pStyle w:val="TableText"/>
              <w:keepNext/>
            </w:pPr>
            <w:r>
              <w:t>直接输出异常分数，并用OOD标签评价排序性能。</w:t>
            </w:r>
          </w:p>
        </w:tc>
      </w:tr>
      <w:tr>
        <w:trPr>
          <w:cantSplit/>
        </w:trPr>
        <w:tc>
          <w:tcPr>
            <w:tcW w:type="dxa" w:w="2050"/>
            <w:vAlign w:val="center"/>
          </w:tcPr>
          <w:p>
            <w:pPr>
              <w:pStyle w:val="TableText"/>
              <w:keepNext/>
            </w:pPr>
            <w:r>
              <w:t>多变量数值输入</w:t>
            </w:r>
          </w:p>
        </w:tc>
        <w:tc>
          <w:tcPr>
            <w:tcW w:type="dxa" w:w="3500"/>
            <w:vAlign w:val="center"/>
          </w:tcPr>
          <w:p>
            <w:pPr>
              <w:pStyle w:val="TableText"/>
              <w:keepNext/>
            </w:pPr>
            <w:r>
              <w:t>✓</w:t>
            </w:r>
          </w:p>
        </w:tc>
        <w:tc>
          <w:tcPr>
            <w:tcW w:type="dxa" w:w="3810"/>
            <w:vAlign w:val="center"/>
          </w:tcPr>
          <w:p>
            <w:pPr>
              <w:pStyle w:val="TableText"/>
              <w:keepNext/>
            </w:pPr>
            <w:r>
              <w:t>模拟、回归表格和高维基因表达数据；临床数据还涉及分类协变量。</w:t>
            </w:r>
          </w:p>
        </w:tc>
      </w:tr>
      <w:tr>
        <w:trPr>
          <w:cantSplit/>
        </w:trPr>
        <w:tc>
          <w:tcPr>
            <w:tcW w:type="dxa" w:w="2050"/>
            <w:vAlign w:val="center"/>
          </w:tcPr>
          <w:p>
            <w:pPr>
              <w:pStyle w:val="TableText"/>
              <w:keepNext/>
            </w:pPr>
            <w:r>
              <w:t>回归模型</w:t>
            </w:r>
          </w:p>
        </w:tc>
        <w:tc>
          <w:tcPr>
            <w:tcW w:type="dxa" w:w="3500"/>
            <w:vAlign w:val="center"/>
          </w:tcPr>
          <w:p>
            <w:pPr>
              <w:pStyle w:val="TableText"/>
              <w:keepNext/>
            </w:pPr>
            <w:r>
              <w:t>✓</w:t>
            </w:r>
          </w:p>
        </w:tc>
        <w:tc>
          <w:tcPr>
            <w:tcW w:type="dxa" w:w="3810"/>
            <w:vAlign w:val="center"/>
          </w:tcPr>
          <w:p>
            <w:pPr>
              <w:pStyle w:val="TableText"/>
              <w:keepNext/>
            </w:pPr>
            <w:r>
              <w:t>面向连续响应，并扩展到生存模型；不是任意黑盒模型即插即用。</w:t>
            </w:r>
          </w:p>
        </w:tc>
      </w:tr>
      <w:tr>
        <w:trPr>
          <w:cantSplit/>
        </w:trPr>
        <w:tc>
          <w:tcPr>
            <w:tcW w:type="dxa" w:w="2050"/>
            <w:vAlign w:val="center"/>
          </w:tcPr>
          <w:p>
            <w:pPr>
              <w:pStyle w:val="TableText"/>
              <w:keepNext/>
            </w:pPr>
            <w:r>
              <w:t>时间序列</w:t>
            </w:r>
          </w:p>
        </w:tc>
        <w:tc>
          <w:tcPr>
            <w:tcW w:type="dxa" w:w="3500"/>
            <w:vAlign w:val="center"/>
          </w:tcPr>
          <w:p>
            <w:pPr>
              <w:pStyle w:val="TableText"/>
              <w:keepNext/>
            </w:pPr>
            <w:r>
              <w:t>× 本篇未验证</w:t>
            </w:r>
          </w:p>
        </w:tc>
        <w:tc>
          <w:tcPr>
            <w:tcW w:type="dxa" w:w="3810"/>
            <w:vAlign w:val="center"/>
          </w:tcPr>
          <w:p>
            <w:pPr>
              <w:pStyle w:val="TableText"/>
              <w:keepNext/>
            </w:pPr>
            <w:r>
              <w:t>生存时间是输出，不等于多时刻传感器输入序列。</w:t>
            </w:r>
          </w:p>
        </w:tc>
      </w:tr>
      <w:tr>
        <w:trPr>
          <w:cantSplit/>
        </w:trPr>
        <w:tc>
          <w:tcPr>
            <w:tcW w:type="dxa" w:w="2050"/>
            <w:vAlign w:val="center"/>
          </w:tcPr>
          <w:p>
            <w:pPr>
              <w:pStyle w:val="TableText"/>
            </w:pPr>
            <w:r>
              <w:t>综述</w:t>
            </w:r>
          </w:p>
        </w:tc>
        <w:tc>
          <w:tcPr>
            <w:tcW w:type="dxa" w:w="3500"/>
            <w:vAlign w:val="center"/>
          </w:tcPr>
          <w:p>
            <w:pPr>
              <w:pStyle w:val="TableText"/>
            </w:pPr>
            <w:r>
              <w:t>×</w:t>
            </w:r>
          </w:p>
        </w:tc>
        <w:tc>
          <w:tcPr>
            <w:tcW w:type="dxa" w:w="3810"/>
            <w:vAlign w:val="center"/>
          </w:tcPr>
          <w:p>
            <w:pPr>
              <w:pStyle w:val="TableText"/>
            </w:pPr>
            <w:r>
              <w:t>原创方法论文；Related Work可作为后续文献入口。</w:t>
            </w:r>
          </w:p>
        </w:tc>
      </w:tr>
    </w:tbl>
    <w:p>
      <w:pPr>
        <w:spacing w:after="0"/>
        <w:snapToGrid w:val="0"/>
      </w:pPr>
    </w:p>
    <w:p>
      <w:pPr>
        <w:snapToGrid w:val="0"/>
      </w:pPr>
      <w:r>
        <w:t>最适合汇报的定位：“基于预测相关子空间与模型规则邻域的距离型检测器”。重点保留三条限定：不会发现输入分布不变的纯概念变化；并非所有异常模式下最优；软件默认KNN与论文核心森林邻域构造需要区分。</w:t>
      </w:r>
    </w:p>
    <w:p>
      <w:pPr>
        <w:pStyle w:val="Heading1"/>
        <w:pageBreakBefore/>
        <w:snapToGrid w:val="0"/>
      </w:pPr>
      <w:r>
        <w:t>第一部分　中文精读</w:t>
      </w:r>
    </w:p>
    <w:p>
      <w:pPr>
        <w:pStyle w:val="Heading2"/>
        <w:snapToGrid w:val="0"/>
      </w:pPr>
      <w:r>
        <w:t>1　Introduction：作者究竟想解决什么？</w:t>
      </w:r>
    </w:p>
    <w:p>
      <w:pPr>
        <w:pStyle w:val="Heading3"/>
        <w:snapToGrid w:val="0"/>
      </w:pPr>
      <w:r>
        <w:t>A．这一节在讲什么？</w:t>
      </w:r>
    </w:p>
    <w:p>
      <w:pPr>
        <w:snapToGrid w:val="0"/>
      </w:pPr>
      <w:r>
        <w:t>假设末端压力预测模型有很多输入。其中少数变量对压力有用，其他变量可能只是冗余或噪声。若对所有变量一视同仁地算距离，真正重要变量的一点变化可能被无关坐标淹没；反过来，无关变量的大变化又可能造成很多报警。作者希望检测的是“对这个预测任务而言，训练经验是否支持这个输入”。【论文：§1，pp.1–4】</w:t>
      </w:r>
    </w:p>
    <w:p>
      <w:pPr>
        <w:pStyle w:val="Heading3"/>
        <w:snapToGrid w:val="0"/>
      </w:pPr>
      <w:r>
        <w:t>B．作者为什么要强调“与模型有关”？</w:t>
      </w:r>
    </w:p>
    <w:p>
      <w:pPr>
        <w:snapToGrid w:val="0"/>
      </w:pPr>
      <w:r>
        <w:t>一般异常检测器只观察X的稀有程度。监督模型通过训练(X,Y)学到了哪些变量与预测有关，这些信息可能帮助过滤无关变化。本篇把森林学到的规则用于变量选择和参考样本选择，不需要先把回归结果转换成分类概率，也不要求新样本的真实Y立即可得。</w:t>
      </w:r>
    </w:p>
    <w:p>
      <w:pPr>
        <w:pStyle w:val="Heading3"/>
        <w:snapToGrid w:val="0"/>
      </w:pPr>
      <w:r>
        <w:t>C．核心问题、假设与目标</w:t>
      </w:r>
    </w:p>
    <w:p>
      <w:pPr>
        <w:snapToGrid w:val="0"/>
      </w:pPr>
      <w:r>
        <w:t>核心问题：如何把监督学习得到的预测相关性嵌入输入异常评分，并同时避免无关维度干扰？核心假设：训练条件分布主要由一个变量子集决定，且森林及VarPro能较好识别这一子集与相关局部结构。</w:t>
      </w:r>
    </w:p>
    <w:p>
      <w:pPr>
        <w:snapToGrid w:val="0"/>
      </w:pPr>
      <w:r>
        <w:t>作者最终想用实验支持：这一整合构造在小幅、定向的特征扰动及关系变化下有优势。但本文主要提供方法定义和经验比较，没有给出“任意OOD皆可检测”的统计一致性证明或普遍最优性定理。</w:t>
      </w:r>
    </w:p>
    <w:p>
      <w:pPr>
        <w:pStyle w:val="Heading3"/>
        <w:snapToGrid w:val="0"/>
      </w:pPr>
      <w:r>
        <w:t>D．“学習外”有一个重要边界</w:t>
      </w:r>
    </w:p>
    <w:p>
      <w:pPr>
        <w:snapToGrid w:val="0"/>
      </w:pPr>
      <w:r>
        <w:t>论文先采用广义定义P*(X,Y)≠P(X,Y)，随后明确：实际检测只针对输入中可观察到的变化。若P*(X)=P(X)，但P*(Y给定X)改变，固定模型加输入无法检测这种纯concept shift。【论文：p.2、§7】</w:t>
      </w:r>
    </w:p>
    <w:p>
      <w:pPr>
        <w:snapToGrid w:val="0"/>
      </w:pPr>
      <w:r>
        <w:t>【二维例】训练时X=(x₁,x₂)服从固定分布，Y=x₁+x₂；部署后X分布完全相同，但Y=x₁−x₂。仅观察同一个X、使用同一棵已训练森林，OutPro会输出同样的分数。因此它不能立即发现“输入看起来相同但压力关系已变化”的问题，需要真实输出或额外信息。</w:t>
      </w:r>
    </w:p>
    <w:p>
      <w:pPr>
        <w:pStyle w:val="Heading3"/>
        <w:snapToGrid w:val="0"/>
      </w:pPr>
      <w:r>
        <w:t>E．本节真正重要的结论</w:t>
      </w:r>
    </w:p>
    <w:p>
      <w:pPr>
        <w:pStyle w:val="ReportBullet"/>
        <w:keepNext/>
        <w:numPr>
          <w:ilvl w:val="0"/>
          <w:numId w:val="51"/>
        </w:numPr>
        <w:snapToGrid w:val="0"/>
      </w:pPr>
      <w:r>
        <w:t>异常程度依赖预测任务，不只是输入稀有程度。</w:t>
      </w:r>
    </w:p>
    <w:p>
      <w:pPr>
        <w:pStyle w:val="ReportBullet"/>
        <w:keepNext/>
        <w:numPr>
          <w:ilvl w:val="0"/>
          <w:numId w:val="51"/>
        </w:numPr>
        <w:snapToGrid w:val="0"/>
      </w:pPr>
      <w:r>
        <w:t>用过训练Y，不代表运行时需要新样本Y。</w:t>
      </w:r>
    </w:p>
    <w:p>
      <w:pPr>
        <w:pStyle w:val="ReportBullet"/>
        <w:numPr>
          <w:ilvl w:val="0"/>
          <w:numId w:val="51"/>
        </w:numPr>
        <w:snapToGrid w:val="0"/>
      </w:pPr>
      <w:r>
        <w:t>忽略无关变量既是优势也是取舍：它不是对所有输入异常都报警的通用监测器。</w:t>
      </w:r>
    </w:p>
    <w:p>
      <w:pPr>
        <w:pStyle w:val="Heading2"/>
        <w:snapToGrid w:val="0"/>
      </w:pPr>
      <w:r>
        <w:t>2　整体结构与阅读路线</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原文章节</w:t>
            </w:r>
          </w:p>
        </w:tc>
        <w:tc>
          <w:tcPr>
            <w:tcW w:type="dxa" w:w="3500"/>
            <w:vAlign w:val="center"/>
            <w:shd w:fill="E8EEF5"/>
          </w:tcPr>
          <w:p>
            <w:pPr>
              <w:pStyle w:val="TableText"/>
            </w:pPr>
            <w:r>
              <w:rPr>
                <w:b/>
                <w:color w:val="1F4D78"/>
              </w:rPr>
              <w:t>PDF页</w:t>
            </w:r>
          </w:p>
        </w:tc>
        <w:tc>
          <w:tcPr>
            <w:tcW w:type="dxa" w:w="3810"/>
            <w:vAlign w:val="center"/>
            <w:shd w:fill="E8EEF5"/>
          </w:tcPr>
          <w:p>
            <w:pPr>
              <w:pStyle w:val="TableText"/>
            </w:pPr>
            <w:r>
              <w:rPr>
                <w:b/>
                <w:color w:val="1F4D78"/>
              </w:rPr>
              <w:t>作用</w:t>
            </w:r>
          </w:p>
        </w:tc>
      </w:tr>
      <w:tr>
        <w:trPr>
          <w:cantSplit/>
        </w:trPr>
        <w:tc>
          <w:tcPr>
            <w:tcW w:type="dxa" w:w="2050"/>
            <w:vAlign w:val="center"/>
          </w:tcPr>
          <w:p>
            <w:pPr>
              <w:pStyle w:val="TableText"/>
            </w:pPr>
            <w:r>
              <w:t>§1 Introduction，含1.1–1.4</w:t>
            </w:r>
          </w:p>
        </w:tc>
        <w:tc>
          <w:tcPr>
            <w:tcW w:type="dxa" w:w="3500"/>
            <w:vAlign w:val="center"/>
          </w:tcPr>
          <w:p>
            <w:pPr>
              <w:pStyle w:val="TableText"/>
            </w:pPr>
            <w:r>
              <w:t>1–4</w:t>
            </w:r>
          </w:p>
        </w:tc>
        <w:tc>
          <w:tcPr>
            <w:tcW w:type="dxa" w:w="3810"/>
            <w:vAlign w:val="center"/>
          </w:tcPr>
          <w:p>
            <w:pPr>
              <w:pStyle w:val="TableText"/>
            </w:pPr>
            <w:r>
              <w:t>定义预测子空间、model-aware、subspace-aware及研究边界。</w:t>
            </w:r>
          </w:p>
        </w:tc>
      </w:tr>
      <w:tr>
        <w:trPr>
          <w:cantSplit/>
        </w:trPr>
        <w:tc>
          <w:tcPr>
            <w:tcW w:type="dxa" w:w="2050"/>
            <w:vAlign w:val="center"/>
          </w:tcPr>
          <w:p>
            <w:pPr>
              <w:pStyle w:val="TableText"/>
            </w:pPr>
            <w:r>
              <w:t>§2 Related work</w:t>
            </w:r>
          </w:p>
        </w:tc>
        <w:tc>
          <w:tcPr>
            <w:tcW w:type="dxa" w:w="3500"/>
            <w:vAlign w:val="center"/>
          </w:tcPr>
          <w:p>
            <w:pPr>
              <w:pStyle w:val="TableText"/>
            </w:pPr>
            <w:r>
              <w:t>4–5</w:t>
            </w:r>
          </w:p>
        </w:tc>
        <w:tc>
          <w:tcPr>
            <w:tcW w:type="dxa" w:w="3810"/>
            <w:vAlign w:val="center"/>
          </w:tcPr>
          <w:p>
            <w:pPr>
              <w:pStyle w:val="TableText"/>
            </w:pPr>
            <w:r>
              <w:t>对照模型不确定性、传统表格异常检测和conformal校准。</w:t>
            </w:r>
          </w:p>
        </w:tc>
      </w:tr>
      <w:tr>
        <w:trPr>
          <w:cantSplit/>
        </w:trPr>
        <w:tc>
          <w:tcPr>
            <w:tcW w:type="dxa" w:w="2050"/>
            <w:vAlign w:val="center"/>
          </w:tcPr>
          <w:p>
            <w:pPr>
              <w:pStyle w:val="TableText"/>
            </w:pPr>
            <w:r>
              <w:t>§3 Methodology</w:t>
            </w:r>
          </w:p>
        </w:tc>
        <w:tc>
          <w:tcPr>
            <w:tcW w:type="dxa" w:w="3500"/>
            <w:vAlign w:val="center"/>
          </w:tcPr>
          <w:p>
            <w:pPr>
              <w:pStyle w:val="TableText"/>
            </w:pPr>
            <w:r>
              <w:t>6–10</w:t>
            </w:r>
          </w:p>
        </w:tc>
        <w:tc>
          <w:tcPr>
            <w:tcW w:type="dxa" w:w="3810"/>
            <w:vAlign w:val="center"/>
          </w:tcPr>
          <w:p>
            <w:pPr>
              <w:pStyle w:val="TableText"/>
            </w:pPr>
            <w:r>
              <w:t>VarPro选变量→释放规则→频率与Gini→参考邻域→距离分数。</w:t>
            </w:r>
          </w:p>
        </w:tc>
      </w:tr>
      <w:tr>
        <w:trPr>
          <w:cantSplit/>
        </w:trPr>
        <w:tc>
          <w:tcPr>
            <w:tcW w:type="dxa" w:w="2050"/>
            <w:vAlign w:val="center"/>
          </w:tcPr>
          <w:p>
            <w:pPr>
              <w:pStyle w:val="TableText"/>
            </w:pPr>
            <w:r>
              <w:t>§4 Comparison methods</w:t>
            </w:r>
          </w:p>
        </w:tc>
        <w:tc>
          <w:tcPr>
            <w:tcW w:type="dxa" w:w="3500"/>
            <w:vAlign w:val="center"/>
          </w:tcPr>
          <w:p>
            <w:pPr>
              <w:pStyle w:val="TableText"/>
            </w:pPr>
            <w:r>
              <w:t>10–11</w:t>
            </w:r>
          </w:p>
        </w:tc>
        <w:tc>
          <w:tcPr>
            <w:tcW w:type="dxa" w:w="3810"/>
            <w:vAlign w:val="center"/>
          </w:tcPr>
          <w:p>
            <w:pPr>
              <w:pStyle w:val="TableText"/>
            </w:pPr>
            <w:r>
              <w:t>明确基线实际计算什么，尤其分类方法的回归改写。</w:t>
            </w:r>
          </w:p>
        </w:tc>
      </w:tr>
      <w:tr>
        <w:trPr>
          <w:cantSplit/>
        </w:trPr>
        <w:tc>
          <w:tcPr>
            <w:tcW w:type="dxa" w:w="2050"/>
            <w:vAlign w:val="center"/>
          </w:tcPr>
          <w:p>
            <w:pPr>
              <w:pStyle w:val="TableText"/>
            </w:pPr>
            <w:r>
              <w:t>§5 Benchmarking</w:t>
            </w:r>
          </w:p>
        </w:tc>
        <w:tc>
          <w:tcPr>
            <w:tcW w:type="dxa" w:w="3500"/>
            <w:vAlign w:val="center"/>
          </w:tcPr>
          <w:p>
            <w:pPr>
              <w:pStyle w:val="TableText"/>
            </w:pPr>
            <w:r>
              <w:t>11–23</w:t>
            </w:r>
          </w:p>
        </w:tc>
        <w:tc>
          <w:tcPr>
            <w:tcW w:type="dxa" w:w="3810"/>
            <w:vAlign w:val="center"/>
          </w:tcPr>
          <w:p>
            <w:pPr>
              <w:pStyle w:val="TableText"/>
            </w:pPr>
            <w:r>
              <w:t>Friedman、copula、PMLB、高维生存数据、调参和组件消融。</w:t>
            </w:r>
          </w:p>
        </w:tc>
      </w:tr>
      <w:tr>
        <w:trPr>
          <w:cantSplit/>
        </w:trPr>
        <w:tc>
          <w:tcPr>
            <w:tcW w:type="dxa" w:w="2050"/>
            <w:vAlign w:val="center"/>
          </w:tcPr>
          <w:p>
            <w:pPr>
              <w:pStyle w:val="TableText"/>
            </w:pPr>
            <w:r>
              <w:t>§6 WECC案例</w:t>
            </w:r>
          </w:p>
        </w:tc>
        <w:tc>
          <w:tcPr>
            <w:tcW w:type="dxa" w:w="3500"/>
            <w:vAlign w:val="center"/>
          </w:tcPr>
          <w:p>
            <w:pPr>
              <w:pStyle w:val="TableText"/>
            </w:pPr>
            <w:r>
              <w:t>23–24</w:t>
            </w:r>
          </w:p>
        </w:tc>
        <w:tc>
          <w:tcPr>
            <w:tcW w:type="dxa" w:w="3810"/>
            <w:vAlign w:val="center"/>
          </w:tcPr>
          <w:p>
            <w:pPr>
              <w:pStyle w:val="TableText"/>
            </w:pPr>
            <w:r>
              <w:t>展示分位分数与生存研究的关联解释。</w:t>
            </w:r>
          </w:p>
        </w:tc>
      </w:tr>
      <w:tr>
        <w:trPr>
          <w:cantSplit/>
        </w:trPr>
        <w:tc>
          <w:tcPr>
            <w:tcW w:type="dxa" w:w="2050"/>
            <w:vAlign w:val="center"/>
          </w:tcPr>
          <w:p>
            <w:pPr>
              <w:pStyle w:val="TableText"/>
            </w:pPr>
            <w:r>
              <w:t>§7 Summary and limitations</w:t>
            </w:r>
          </w:p>
        </w:tc>
        <w:tc>
          <w:tcPr>
            <w:tcW w:type="dxa" w:w="3500"/>
            <w:vAlign w:val="center"/>
          </w:tcPr>
          <w:p>
            <w:pPr>
              <w:pStyle w:val="TableText"/>
            </w:pPr>
            <w:r>
              <w:t>24–26</w:t>
            </w:r>
          </w:p>
        </w:tc>
        <w:tc>
          <w:tcPr>
            <w:tcW w:type="dxa" w:w="3810"/>
            <w:vAlign w:val="center"/>
          </w:tcPr>
          <w:p>
            <w:pPr>
              <w:pStyle w:val="TableText"/>
            </w:pPr>
            <w:r>
              <w:t>总结适用的移位类型与限制。</w:t>
            </w:r>
          </w:p>
        </w:tc>
      </w:tr>
      <w:tr>
        <w:trPr>
          <w:cantSplit/>
        </w:trPr>
        <w:tc>
          <w:tcPr>
            <w:tcW w:type="dxa" w:w="2050"/>
            <w:vAlign w:val="center"/>
          </w:tcPr>
          <w:p>
            <w:pPr>
              <w:pStyle w:val="TableText"/>
            </w:pPr>
            <w:r>
              <w:t>数据声明、许可、参考文献</w:t>
            </w:r>
          </w:p>
        </w:tc>
        <w:tc>
          <w:tcPr>
            <w:tcW w:type="dxa" w:w="3500"/>
            <w:vAlign w:val="center"/>
          </w:tcPr>
          <w:p>
            <w:pPr>
              <w:pStyle w:val="TableText"/>
            </w:pPr>
            <w:r>
              <w:t>26–30</w:t>
            </w:r>
          </w:p>
        </w:tc>
        <w:tc>
          <w:tcPr>
            <w:tcW w:type="dxa" w:w="3810"/>
            <w:vAlign w:val="center"/>
          </w:tcPr>
          <w:p>
            <w:pPr>
              <w:pStyle w:val="TableText"/>
            </w:pPr>
            <w:r>
              <w:t>代码与数据可得性；本篇没有独立附录。</w:t>
            </w:r>
          </w:p>
        </w:tc>
      </w:tr>
    </w:tbl>
    <w:p>
      <w:pPr>
        <w:spacing w:after="0"/>
        <w:snapToGrid w:val="0"/>
      </w:pPr>
    </w:p>
    <w:p>
      <w:pPr>
        <w:snapToGrid w:val="0"/>
      </w:pPr>
      <w:r>
        <w:t>阅读时先掌握“邻域分数W”和“最终异常分数d”的区别，再看copula标签及AUC-PR。临床案例应放在理解方法之后，避免把临床数值误当作检测性能。</w:t>
      </w:r>
    </w:p>
    <w:p>
      <w:pPr>
        <w:pStyle w:val="Heading2"/>
        <w:snapToGrid w:val="0"/>
      </w:pPr>
      <w:r>
        <w:t>3　关键概念：模型感知与子空间感知</w:t>
      </w:r>
    </w:p>
    <w:p>
      <w:pPr>
        <w:pStyle w:val="Heading3"/>
        <w:snapToGrid w:val="0"/>
      </w:pPr>
      <w:r>
        <w:t>A．这一部分在讲什么，为什么必读？</w:t>
      </w:r>
    </w:p>
    <w:p>
      <w:pPr>
        <w:snapToGrid w:val="0"/>
      </w:pPr>
      <w:r>
        <w:t>论文标题的两个“aware”是可操作的定义，不能凭字面理解成“适用于所有模型”或“完全不受其他变量影响”。【论文：§1.1–1.2，pp.2–3】</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概念</w:t>
            </w:r>
          </w:p>
        </w:tc>
        <w:tc>
          <w:tcPr>
            <w:tcW w:type="dxa" w:w="3500"/>
            <w:vAlign w:val="center"/>
            <w:shd w:fill="E8EEF5"/>
          </w:tcPr>
          <w:p>
            <w:pPr>
              <w:pStyle w:val="TableText"/>
            </w:pPr>
            <w:r>
              <w:rPr>
                <w:b/>
                <w:color w:val="1F4D78"/>
              </w:rPr>
              <w:t>定义与数学含义</w:t>
            </w:r>
          </w:p>
        </w:tc>
        <w:tc>
          <w:tcPr>
            <w:tcW w:type="dxa" w:w="3810"/>
            <w:vAlign w:val="center"/>
            <w:shd w:fill="E8EEF5"/>
          </w:tcPr>
          <w:p>
            <w:pPr>
              <w:pStyle w:val="TableText"/>
            </w:pPr>
            <w:r>
              <w:rPr>
                <w:b/>
                <w:color w:val="1F4D78"/>
              </w:rPr>
              <w:t>直观解释／与学習外的关系</w:t>
            </w:r>
          </w:p>
        </w:tc>
      </w:tr>
      <w:tr>
        <w:trPr>
          <w:cantSplit/>
        </w:trPr>
        <w:tc>
          <w:tcPr>
            <w:tcW w:type="dxa" w:w="2050"/>
            <w:vAlign w:val="center"/>
          </w:tcPr>
          <w:p>
            <w:pPr>
              <w:pStyle w:val="TableText"/>
            </w:pPr>
            <w:r>
              <w:t>预测子空间S₀</w:t>
            </w:r>
          </w:p>
        </w:tc>
        <w:tc>
          <w:tcPr>
            <w:tcW w:type="dxa" w:w="3500"/>
            <w:vAlign w:val="center"/>
          </w:tcPr>
          <w:p>
            <w:pPr>
              <w:pStyle w:val="TableText"/>
            </w:pPr>
            <w:r>
              <w:t>变量索引的子集；给定X中S₀的坐标后，其他变量不再改变Y的训练条件分布。</w:t>
            </w:r>
          </w:p>
        </w:tc>
        <w:tc>
          <w:tcPr>
            <w:tcW w:type="dxa" w:w="3810"/>
            <w:vAlign w:val="center"/>
          </w:tcPr>
          <w:p>
            <w:pPr>
              <w:pStyle w:val="TableText"/>
            </w:pPr>
            <w:r>
              <w:t>只保留预测所需信息；不是PCA的一般旋转投影，也不要求唯一最小子集。</w:t>
            </w:r>
          </w:p>
        </w:tc>
      </w:tr>
      <w:tr>
        <w:trPr>
          <w:cantSplit/>
        </w:trPr>
        <w:tc>
          <w:tcPr>
            <w:tcW w:type="dxa" w:w="2050"/>
            <w:vAlign w:val="center"/>
          </w:tcPr>
          <w:p>
            <w:pPr>
              <w:pStyle w:val="TableText"/>
            </w:pPr>
            <w:r>
              <w:t>估计子空间Ŝ</w:t>
            </w:r>
          </w:p>
        </w:tc>
        <w:tc>
          <w:tcPr>
            <w:tcW w:type="dxa" w:w="3500"/>
            <w:vAlign w:val="center"/>
          </w:tcPr>
          <w:p>
            <w:pPr>
              <w:pStyle w:val="TableText"/>
            </w:pPr>
            <w:r>
              <w:t>用实际森林与VarPro学习到的变量集合。</w:t>
            </w:r>
          </w:p>
        </w:tc>
        <w:tc>
          <w:tcPr>
            <w:tcW w:type="dxa" w:w="3810"/>
            <w:vAlign w:val="center"/>
          </w:tcPr>
          <w:p>
            <w:pPr>
              <w:pStyle w:val="TableText"/>
            </w:pPr>
            <w:r>
              <w:t>它可能选错；理论上的S₀与实际Ŝ不能等同。</w:t>
            </w:r>
          </w:p>
        </w:tc>
      </w:tr>
      <w:tr>
        <w:trPr>
          <w:cantSplit/>
        </w:trPr>
        <w:tc>
          <w:tcPr>
            <w:tcW w:type="dxa" w:w="2050"/>
            <w:vAlign w:val="center"/>
          </w:tcPr>
          <w:p>
            <w:pPr>
              <w:pStyle w:val="TableText"/>
            </w:pPr>
            <w:r>
              <w:t>Model-aware</w:t>
            </w:r>
          </w:p>
        </w:tc>
        <w:tc>
          <w:tcPr>
            <w:tcW w:type="dxa" w:w="3500"/>
            <w:vAlign w:val="center"/>
          </w:tcPr>
          <w:p>
            <w:pPr>
              <w:pStyle w:val="TableText"/>
            </w:pPr>
            <w:r>
              <w:t>固定输入和算法随机性，改变训练Y可能通过改变森林而改变OOD分数。</w:t>
            </w:r>
          </w:p>
        </w:tc>
        <w:tc>
          <w:tcPr>
            <w:tcW w:type="dxa" w:w="3810"/>
            <w:vAlign w:val="center"/>
          </w:tcPr>
          <w:p>
            <w:pPr>
              <w:pStyle w:val="TableText"/>
            </w:pPr>
            <w:r>
              <w:t>模型学到的预测规则进入检测器，不是仅把模型名称写在算法旁边。</w:t>
            </w:r>
          </w:p>
        </w:tc>
      </w:tr>
      <w:tr>
        <w:trPr>
          <w:cantSplit/>
        </w:trPr>
        <w:tc>
          <w:tcPr>
            <w:tcW w:type="dxa" w:w="2050"/>
            <w:vAlign w:val="center"/>
          </w:tcPr>
          <w:p>
            <w:pPr>
              <w:pStyle w:val="TableText"/>
            </w:pPr>
            <w:r>
              <w:t>Subspace-aware</w:t>
            </w:r>
          </w:p>
        </w:tc>
        <w:tc>
          <w:tcPr>
            <w:tcW w:type="dxa" w:w="3500"/>
            <w:vAlign w:val="center"/>
          </w:tcPr>
          <w:p>
            <w:pPr>
              <w:pStyle w:val="TableText"/>
            </w:pPr>
            <w:r>
              <w:t>参考集确定后，最终差异只使用S中的坐标。</w:t>
            </w:r>
          </w:p>
        </w:tc>
        <w:tc>
          <w:tcPr>
            <w:tcW w:type="dxa" w:w="3810"/>
            <w:vAlign w:val="center"/>
          </w:tcPr>
          <w:p>
            <w:pPr>
              <w:pStyle w:val="TableText"/>
            </w:pPr>
            <w:r>
              <w:t>限定的是最后距离；构造邻域时，未释放的其他规则约束仍可能影响结果。</w:t>
            </w:r>
          </w:p>
        </w:tc>
      </w:tr>
      <w:tr>
        <w:trPr>
          <w:cantSplit/>
        </w:trPr>
        <w:tc>
          <w:tcPr>
            <w:tcW w:type="dxa" w:w="2050"/>
            <w:vAlign w:val="center"/>
          </w:tcPr>
          <w:p>
            <w:pPr>
              <w:pStyle w:val="TableText"/>
            </w:pPr>
            <w:r>
              <w:t>Nuisance变量</w:t>
            </w:r>
          </w:p>
        </w:tc>
        <w:tc>
          <w:tcPr>
            <w:tcW w:type="dxa" w:w="3500"/>
            <w:vAlign w:val="center"/>
          </w:tcPr>
          <w:p>
            <w:pPr>
              <w:pStyle w:val="TableText"/>
            </w:pPr>
            <w:r>
              <w:t>对训练预测任务无必要信息的变量。</w:t>
            </w:r>
          </w:p>
        </w:tc>
        <w:tc>
          <w:tcPr>
            <w:tcW w:type="dxa" w:w="3810"/>
            <w:vAlign w:val="center"/>
          </w:tcPr>
          <w:p>
            <w:pPr>
              <w:pStyle w:val="TableText"/>
            </w:pPr>
            <w:r>
              <w:t>其变化可能被有意降权，但不代表它在安全监控中永远无意义。</w:t>
            </w:r>
          </w:p>
        </w:tc>
      </w:tr>
      <w:tr>
        <w:trPr>
          <w:cantSplit/>
        </w:trPr>
        <w:tc>
          <w:tcPr>
            <w:tcW w:type="dxa" w:w="2050"/>
            <w:vAlign w:val="center"/>
          </w:tcPr>
          <w:p>
            <w:pPr>
              <w:pStyle w:val="TableText"/>
            </w:pPr>
            <w:r>
              <w:t>Random forest规则</w:t>
            </w:r>
          </w:p>
        </w:tc>
        <w:tc>
          <w:tcPr>
            <w:tcW w:type="dxa" w:w="3500"/>
            <w:vAlign w:val="center"/>
          </w:tcPr>
          <w:p>
            <w:pPr>
              <w:pStyle w:val="TableText"/>
            </w:pPr>
            <w:r>
              <w:t>根到叶的分裂条件组成一个输入区域。</w:t>
            </w:r>
          </w:p>
        </w:tc>
        <w:tc>
          <w:tcPr>
            <w:tcW w:type="dxa" w:w="3810"/>
            <w:vAlign w:val="center"/>
          </w:tcPr>
          <w:p>
            <w:pPr>
              <w:pStyle w:val="TableText"/>
            </w:pPr>
            <w:r>
              <w:t>把“哪些训练样本与此输入在预测上相似”变为局部区域问题。</w:t>
            </w:r>
          </w:p>
        </w:tc>
      </w:tr>
    </w:tbl>
    <w:p>
      <w:pPr>
        <w:spacing w:after="0"/>
        <w:snapToGrid w:val="0"/>
      </w:pPr>
    </w:p>
    <w:p>
      <w:pPr>
        <w:pStyle w:val="Heading3"/>
        <w:snapToGrid w:val="0"/>
      </w:pPr>
      <w:r>
        <w:t>B．关键公式1：预测子空间条件</w:t>
      </w:r>
    </w:p>
    <w:p>
      <w:pPr>
        <w:pStyle w:val="EquationText"/>
        <w:jc w:val="center"/>
        <w:snapToGrid w:val="0"/>
      </w:pPr>
      <w:r/>
      <m:oMath>
        <m:r>
          <m:t>P(Y∈A ∣ X=x) = P(Y∈A ∣ X^(S₀)=x^(S₀))</m:t>
        </m:r>
      </m:oMath>
    </w:p>
    <w:p>
      <w:pPr>
        <w:snapToGrid w:val="0"/>
      </w:pPr>
      <w:r>
        <w:t>A是任意响应事件，X是所有输入，X^(S₀)是只保留S₀坐标后的输入。该条件约束整个条件分布，不只是条件均值。若Y的均值不依赖某变量、方差却依赖它，该变量不一定是条件分布意义下的噪声变量。</w:t>
      </w:r>
    </w:p>
    <w:p>
      <w:pPr>
        <w:snapToGrid w:val="0"/>
      </w:pPr>
      <w:r>
        <w:t>【教学例】若Y=2X₁+ε，ε与X独立，X₂不再提供额外信息，则可以取S₀={1}。输入X₂变化很大可能不触发任务相关报警；但若部署后X₂突然变成影响Y的变量，旧模型选出的S未必能及时反映这种变化。</w:t>
      </w:r>
    </w:p>
    <w:p>
      <w:pPr>
        <w:pStyle w:val="Heading3"/>
        <w:snapToGrid w:val="0"/>
      </w:pPr>
      <w:r>
        <w:t>C．本节真正重要的结论</w:t>
      </w:r>
    </w:p>
    <w:p>
      <w:pPr>
        <w:pStyle w:val="ReportBullet"/>
        <w:keepNext/>
        <w:numPr>
          <w:ilvl w:val="0"/>
          <w:numId w:val="51"/>
        </w:numPr>
        <w:snapToGrid w:val="0"/>
      </w:pPr>
      <w:r>
        <w:t>子空间是变量筛选，不等于一般降维表示。</w:t>
      </w:r>
    </w:p>
    <w:p>
      <w:pPr>
        <w:pStyle w:val="ReportBullet"/>
        <w:keepNext/>
        <w:numPr>
          <w:ilvl w:val="0"/>
          <w:numId w:val="51"/>
        </w:numPr>
        <w:snapToGrid w:val="0"/>
      </w:pPr>
      <w:r>
        <w:t>model-aware不等于model-agnostic；本篇核心需要监督森林。</w:t>
      </w:r>
    </w:p>
    <w:p>
      <w:pPr>
        <w:pStyle w:val="ReportBullet"/>
        <w:numPr>
          <w:ilvl w:val="0"/>
          <w:numId w:val="51"/>
        </w:numPr>
        <w:snapToGrid w:val="0"/>
      </w:pPr>
      <w:r>
        <w:t>subspace-aware不保证分数对所有未选变量完全不变。</w:t>
      </w:r>
    </w:p>
    <w:p>
      <w:pPr>
        <w:pStyle w:val="Heading2"/>
        <w:snapToGrid w:val="0"/>
      </w:pPr>
      <w:r>
        <w:t>4　Method §3.1：VarPro怎样挑变量？</w:t>
      </w:r>
    </w:p>
    <w:p>
      <w:pPr>
        <w:pStyle w:val="Heading3"/>
        <w:snapToGrid w:val="0"/>
      </w:pPr>
      <w:r>
        <w:t>A．这一节在讲什么？</w:t>
      </w:r>
    </w:p>
    <w:p>
      <w:pPr>
        <w:snapToGrid w:val="0"/>
      </w:pPr>
      <w:r>
        <w:t>VarPro即Variable Priority。它检查：一个规则原本限制了某变量，取消这个限制后，进入区域的训练样本及其响应行为是否明显改变？如果经常改变，说明该变量对预测较重要。【论文：pp.6–7】</w:t>
      </w:r>
    </w:p>
    <w:p>
      <w:pPr>
        <w:pStyle w:val="Heading3"/>
        <w:snapToGrid w:val="0"/>
      </w:pPr>
      <w:r>
        <w:t>B．为什么不是直接看分裂次数？</w:t>
      </w:r>
    </w:p>
    <w:p>
      <w:pPr>
        <w:snapToGrid w:val="0"/>
      </w:pPr>
      <w:r>
        <w:t>分裂次数多不一定意味着对响应有独立作用，相关替代变量和噪声也可能被树使用。VarPro通过规则释放后的响应变化来评价变量，动机是更贴近预测信息。不能因此推断有限样本中必然识别出所有真实因果变量。</w:t>
      </w:r>
    </w:p>
    <w:p>
      <w:pPr>
        <w:pStyle w:val="Heading3"/>
        <w:snapToGrid w:val="0"/>
      </w:pPr>
      <w:r>
        <w:t>C．关键概念与教学例</w:t>
      </w:r>
    </w:p>
    <w:p>
      <w:pPr>
        <w:snapToGrid w:val="0"/>
      </w:pPr>
      <w:r>
        <w:t>假设规则R限制0≤X₁≤1、0≤X₂≤1。释放X₁后，只保留0≤X₂≤1；释放X₂后，只保留0≤X₁≤1。释放是取消该变量在整条规则上的约束，不是把待测样本的数值改掉，也不是删掉这一输入列后重新训练。</w:t>
      </w:r>
    </w:p>
    <w:p>
      <w:pPr>
        <w:snapToGrid w:val="0"/>
      </w:pPr>
      <w:r>
        <w:t>【教学例】原区域训练响应均值是2，释放X₁后的均值是5，释放X₂后是2.1。就这个区域而言，X₁更可能具有预测信息。这只是说明性例子；本文未重新完整推导VarPro的总体估计量与归一化公式，完整变量选择理论来自其引用的前序VarPro研究。</w:t>
      </w:r>
    </w:p>
    <w:p>
      <w:pPr>
        <w:pStyle w:val="Heading3"/>
        <w:snapToGrid w:val="0"/>
      </w:pPr>
      <w:r>
        <w:t>D．最终需要得到什么？</w:t>
      </w:r>
    </w:p>
    <w:p>
      <w:pPr>
        <w:snapToGrid w:val="0"/>
      </w:pPr>
      <w:r>
        <w:t>检测器需要选定变量集合S={s₁,…,s_m}和非负相对权重w_s。为避免和copula的尾概率q=0.05混淆，本报告把所选变量数记为m，原论文某处用q表示它。权重高表示距离计算更重视该变量，不是它发生异常的概率。</w:t>
      </w:r>
    </w:p>
    <w:p>
      <w:pPr>
        <w:pStyle w:val="Heading3"/>
        <w:snapToGrid w:val="0"/>
      </w:pPr>
      <w:r>
        <w:t>E．本节真正重要的结论</w:t>
      </w:r>
    </w:p>
    <w:p>
      <w:pPr>
        <w:pStyle w:val="ReportBullet"/>
        <w:keepNext/>
        <w:numPr>
          <w:ilvl w:val="0"/>
          <w:numId w:val="51"/>
        </w:numPr>
        <w:snapToGrid w:val="0"/>
      </w:pPr>
      <w:r>
        <w:t>VarPro是OutPro的变量选择部件；两者不是同一算法名称。</w:t>
      </w:r>
    </w:p>
    <w:p>
      <w:pPr>
        <w:pStyle w:val="ReportBullet"/>
        <w:keepNext/>
        <w:numPr>
          <w:ilvl w:val="0"/>
          <w:numId w:val="51"/>
        </w:numPr>
        <w:snapToGrid w:val="0"/>
      </w:pPr>
      <w:r>
        <w:t>变量选择使用监督信息，异常训练标签并非必需。</w:t>
      </w:r>
    </w:p>
    <w:p>
      <w:pPr>
        <w:pStyle w:val="ReportBullet"/>
        <w:numPr>
          <w:ilvl w:val="0"/>
          <w:numId w:val="51"/>
        </w:numPr>
        <w:snapToGrid w:val="0"/>
      </w:pPr>
      <w:r>
        <w:t>选错变量会同时影响参考邻域和最终距离，是方法的关键误差来源。</w:t>
      </w:r>
    </w:p>
    <w:p>
      <w:pPr>
        <w:pStyle w:val="Heading2"/>
        <w:snapToGrid w:val="0"/>
      </w:pPr>
      <w:r>
        <w:t>5　Method §3.2–3.3：如何选“应该跟谁比较”？</w:t>
      </w:r>
    </w:p>
    <w:p>
      <w:pPr>
        <w:pStyle w:val="Heading3"/>
        <w:snapToGrid w:val="0"/>
      </w:pPr>
      <w:r>
        <w:t>A．这一节在讲什么？为什么是核心？</w:t>
      </w:r>
    </w:p>
    <w:p>
      <w:pPr>
        <w:snapToGrid w:val="0"/>
      </w:pPr>
      <w:r>
        <w:t>普通KNN按几何距离选邻居。OutPro先找包含测试输入x的树规则，逐个释放所选变量，统计每个训练样本在释放区域中出现的次数，再选参考样本。作者希望这种邻域更贴近监督任务的局部结构。【论文：pp.7–9，Algorithm 1】</w:t>
      </w:r>
    </w:p>
    <w:p>
      <w:pPr>
        <w:pStyle w:val="Heading3"/>
        <w:snapToGrid w:val="0"/>
      </w:pPr>
      <w:r>
        <w:t>B．关键公式2：频率轮廓</w:t>
      </w:r>
    </w:p>
    <w:p>
      <w:pPr>
        <w:pStyle w:val="EquationText"/>
        <w:jc w:val="center"/>
        <w:snapToGrid w:val="0"/>
      </w:pPr>
      <w:r/>
      <m:oMath>
        <m:r>
          <m:t>n_s(xᵢ) = Σ_(ζ∈R(x)) 1{xᵢ∈R(ζ^s)},     n(xᵢ)=Σ_(s∈S)n_s(xᵢ)</m:t>
        </m:r>
      </m:oMath>
    </w:p>
    <w:p>
      <w:pPr>
        <w:snapToGrid w:val="0"/>
      </w:pPr>
      <w:r>
        <w:t>R(x)为包含测试输入x的规则集合；ζ是一条规则；R(ζ^s)为释放变量s后的区域；xᵢ是第i个训练样本；指示函数成立时取1。n_s表示xᵢ在“释放s”时累计出现多少次，n是对各释放变量求和的总次数。</w:t>
      </w:r>
    </w:p>
    <w:p>
      <w:pPr>
        <w:pStyle w:val="EquationText"/>
        <w:jc w:val="center"/>
        <w:snapToGrid w:val="0"/>
      </w:pPr>
      <w:r/>
      <m:oMath>
        <m:r>
          <m:t>p_s(xᵢ) = n_s(xᵢ)/n(xᵢ),     n(xᵢ)&gt;0</m:t>
        </m:r>
      </m:oMath>
    </w:p>
    <w:p>
      <w:pPr>
        <w:snapToGrid w:val="0"/>
      </w:pPr>
      <w:r>
        <w:t>p_s是出现次数在变量间的相对分配，不是样本正常的后验概率。若总次数为0，正文说排除该点；有效候选不足K时的完整回退策略未在算法中明确。</w:t>
      </w:r>
    </w:p>
    <w:p>
      <w:pPr>
        <w:pStyle w:val="Heading3"/>
        <w:snapToGrid w:val="0"/>
      </w:pPr>
      <w:r>
        <w:t>C．关键公式3：Gini与邻域优先分数</w:t>
      </w:r>
    </w:p>
    <w:p>
      <w:pPr>
        <w:pStyle w:val="EquationText"/>
        <w:jc w:val="center"/>
        <w:snapToGrid w:val="0"/>
      </w:pPr>
      <w:r/>
      <m:oMath>
        <m:r>
          <m:t>G(xᵢ)=Σ_(s∈S)p_s(xᵢ)(1−p_s(xᵢ))=1−Σ_(s∈S)p_s(xᵢ)²</m:t>
        </m:r>
      </m:oMath>
    </w:p>
    <w:p>
      <w:pPr>
        <w:pStyle w:val="EquationText"/>
        <w:jc w:val="center"/>
        <w:snapToGrid w:val="0"/>
      </w:pPr>
      <w:r/>
      <m:oMath>
        <m:r>
          <m:t>W(xᵢ)=n(xᵢ)G(xᵢ),     N_K(x)=W最大的K个训练样本</m:t>
        </m:r>
      </m:oMath>
    </w:p>
    <w:p>
      <w:pPr>
        <w:snapToGrid w:val="0"/>
      </w:pPr>
      <w:r>
        <w:t>G越大，出现次数在所选变量之间越均衡；W同时奖励出现得多和分布均衡。这里Gini衡量的是“释放频率的分散程度”，不是叶节点标签的类别混杂度。对m个变量，均匀频率的G最大为1−1/m。</w:t>
      </w:r>
    </w:p>
    <w:p>
      <w:pPr>
        <w:snapToGrid w:val="0"/>
      </w:pPr>
      <w:r>
        <w:t>最容易混淆的地方：W大表示该训练样本更适合作参考；最终d大才表示测试输入更异常。两个分数方向不同，作用对象也不同。</w:t>
      </w:r>
    </w:p>
    <w:p>
      <w:pPr>
        <w:pStyle w:val="Heading3"/>
        <w:snapToGrid w:val="0"/>
      </w:pPr>
      <w:r>
        <w:t>D．完整二维数值例：先选邻居，再算距离</w:t>
      </w:r>
    </w:p>
    <w:p>
      <w:pPr>
        <w:snapToGrid w:val="0"/>
      </w:pPr>
      <w:r>
        <w:t>【教学构造】坐标已经按训练统计标准化。测试点x=(0,0)，S={1,2}。两棵树中分别有包含x的规则R₁=[−0.5,0.5]²、R₂=[−1,1]²。每条规则各释放X₁与X₂一次。训练候选A=(0.2,0.2)、B=(0.8,0.2)、C=(3,0.2)。</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260"/>
        <w:gridCol w:w="1775"/>
        <w:gridCol w:w="1775"/>
        <w:gridCol w:w="1775"/>
        <w:gridCol w:w="1775"/>
      </w:tblGrid>
      <w:tr>
        <w:trPr>
          <w:cantSplit/>
          <w:tblHeader/>
        </w:trPr>
        <w:tc>
          <w:tcPr>
            <w:tcW w:type="dxa" w:w="2260"/>
            <w:vAlign w:val="center"/>
            <w:shd w:fill="E8EEF5"/>
          </w:tcPr>
          <w:p>
            <w:pPr>
              <w:pStyle w:val="TableText"/>
              <w:keepNext/>
            </w:pPr>
            <w:r>
              <w:rPr>
                <w:b/>
                <w:color w:val="1F4D78"/>
              </w:rPr>
              <w:t>候选</w:t>
            </w:r>
          </w:p>
        </w:tc>
        <w:tc>
          <w:tcPr>
            <w:tcW w:type="dxa" w:w="1775"/>
            <w:vAlign w:val="center"/>
            <w:shd w:fill="E8EEF5"/>
          </w:tcPr>
          <w:p>
            <w:pPr>
              <w:pStyle w:val="TableText"/>
              <w:keepNext/>
            </w:pPr>
            <w:r>
              <w:rPr>
                <w:b/>
                <w:color w:val="1F4D78"/>
              </w:rPr>
              <w:t>释放X₁计数</w:t>
            </w:r>
          </w:p>
        </w:tc>
        <w:tc>
          <w:tcPr>
            <w:tcW w:type="dxa" w:w="1775"/>
            <w:vAlign w:val="center"/>
            <w:shd w:fill="E8EEF5"/>
          </w:tcPr>
          <w:p>
            <w:pPr>
              <w:pStyle w:val="TableText"/>
              <w:keepNext/>
            </w:pPr>
            <w:r>
              <w:rPr>
                <w:b/>
                <w:color w:val="1F4D78"/>
              </w:rPr>
              <w:t>释放X₂计数</w:t>
            </w:r>
          </w:p>
        </w:tc>
        <w:tc>
          <w:tcPr>
            <w:tcW w:type="dxa" w:w="1775"/>
            <w:vAlign w:val="center"/>
            <w:shd w:fill="E8EEF5"/>
          </w:tcPr>
          <w:p>
            <w:pPr>
              <w:pStyle w:val="TableText"/>
              <w:keepNext/>
            </w:pPr>
            <w:r>
              <w:rPr>
                <w:b/>
                <w:color w:val="1F4D78"/>
              </w:rPr>
              <w:t>p₁,p₂</w:t>
            </w:r>
          </w:p>
        </w:tc>
        <w:tc>
          <w:tcPr>
            <w:tcW w:type="dxa" w:w="1775"/>
            <w:vAlign w:val="center"/>
            <w:shd w:fill="E8EEF5"/>
          </w:tcPr>
          <w:p>
            <w:pPr>
              <w:pStyle w:val="TableText"/>
              <w:keepNext/>
            </w:pPr>
            <w:r>
              <w:rPr>
                <w:b/>
                <w:color w:val="1F4D78"/>
              </w:rPr>
              <w:t>G与W</w:t>
            </w:r>
          </w:p>
        </w:tc>
      </w:tr>
      <w:tr>
        <w:trPr>
          <w:cantSplit/>
        </w:trPr>
        <w:tc>
          <w:tcPr>
            <w:tcW w:type="dxa" w:w="2260"/>
            <w:vAlign w:val="center"/>
          </w:tcPr>
          <w:p>
            <w:pPr>
              <w:pStyle w:val="TableText"/>
              <w:keepNext/>
            </w:pPr>
            <w:r>
              <w:t>A</w:t>
            </w:r>
          </w:p>
        </w:tc>
        <w:tc>
          <w:tcPr>
            <w:tcW w:type="dxa" w:w="1775"/>
            <w:vAlign w:val="center"/>
          </w:tcPr>
          <w:p>
            <w:pPr>
              <w:pStyle w:val="TableText"/>
              <w:keepNext/>
            </w:pPr>
            <w:r>
              <w:t>2</w:t>
            </w:r>
          </w:p>
        </w:tc>
        <w:tc>
          <w:tcPr>
            <w:tcW w:type="dxa" w:w="1775"/>
            <w:vAlign w:val="center"/>
          </w:tcPr>
          <w:p>
            <w:pPr>
              <w:pStyle w:val="TableText"/>
              <w:keepNext/>
            </w:pPr>
            <w:r>
              <w:t>2</w:t>
            </w:r>
          </w:p>
        </w:tc>
        <w:tc>
          <w:tcPr>
            <w:tcW w:type="dxa" w:w="1775"/>
            <w:vAlign w:val="center"/>
          </w:tcPr>
          <w:p>
            <w:pPr>
              <w:pStyle w:val="TableText"/>
              <w:keepNext/>
            </w:pPr>
            <w:r>
              <w:t>1/2,1/2</w:t>
            </w:r>
          </w:p>
        </w:tc>
        <w:tc>
          <w:tcPr>
            <w:tcW w:type="dxa" w:w="1775"/>
            <w:vAlign w:val="center"/>
          </w:tcPr>
          <w:p>
            <w:pPr>
              <w:pStyle w:val="TableText"/>
              <w:keepNext/>
            </w:pPr>
            <w:r>
              <w:t>G=1/2；n=4；W=2。</w:t>
            </w:r>
          </w:p>
        </w:tc>
      </w:tr>
      <w:tr>
        <w:trPr>
          <w:cantSplit/>
        </w:trPr>
        <w:tc>
          <w:tcPr>
            <w:tcW w:type="dxa" w:w="2260"/>
            <w:vAlign w:val="center"/>
          </w:tcPr>
          <w:p>
            <w:pPr>
              <w:pStyle w:val="TableText"/>
              <w:keepNext/>
            </w:pPr>
            <w:r>
              <w:t>B</w:t>
            </w:r>
          </w:p>
        </w:tc>
        <w:tc>
          <w:tcPr>
            <w:tcW w:type="dxa" w:w="1775"/>
            <w:vAlign w:val="center"/>
          </w:tcPr>
          <w:p>
            <w:pPr>
              <w:pStyle w:val="TableText"/>
              <w:keepNext/>
            </w:pPr>
            <w:r>
              <w:t>2</w:t>
            </w:r>
          </w:p>
        </w:tc>
        <w:tc>
          <w:tcPr>
            <w:tcW w:type="dxa" w:w="1775"/>
            <w:vAlign w:val="center"/>
          </w:tcPr>
          <w:p>
            <w:pPr>
              <w:pStyle w:val="TableText"/>
              <w:keepNext/>
            </w:pPr>
            <w:r>
              <w:t>1</w:t>
            </w:r>
          </w:p>
        </w:tc>
        <w:tc>
          <w:tcPr>
            <w:tcW w:type="dxa" w:w="1775"/>
            <w:vAlign w:val="center"/>
          </w:tcPr>
          <w:p>
            <w:pPr>
              <w:pStyle w:val="TableText"/>
              <w:keepNext/>
            </w:pPr>
            <w:r>
              <w:t>2/3,1/3</w:t>
            </w:r>
          </w:p>
        </w:tc>
        <w:tc>
          <w:tcPr>
            <w:tcW w:type="dxa" w:w="1775"/>
            <w:vAlign w:val="center"/>
          </w:tcPr>
          <w:p>
            <w:pPr>
              <w:pStyle w:val="TableText"/>
              <w:keepNext/>
            </w:pPr>
            <w:r>
              <w:t>G=4/9；n=3；W=4/3。</w:t>
            </w:r>
          </w:p>
        </w:tc>
      </w:tr>
      <w:tr>
        <w:trPr>
          <w:cantSplit/>
        </w:trPr>
        <w:tc>
          <w:tcPr>
            <w:tcW w:type="dxa" w:w="2260"/>
            <w:vAlign w:val="center"/>
          </w:tcPr>
          <w:p>
            <w:pPr>
              <w:pStyle w:val="TableText"/>
            </w:pPr>
            <w:r>
              <w:t>C</w:t>
            </w:r>
          </w:p>
        </w:tc>
        <w:tc>
          <w:tcPr>
            <w:tcW w:type="dxa" w:w="1775"/>
            <w:vAlign w:val="center"/>
          </w:tcPr>
          <w:p>
            <w:pPr>
              <w:pStyle w:val="TableText"/>
            </w:pPr>
            <w:r>
              <w:t>2</w:t>
            </w:r>
          </w:p>
        </w:tc>
        <w:tc>
          <w:tcPr>
            <w:tcW w:type="dxa" w:w="1775"/>
            <w:vAlign w:val="center"/>
          </w:tcPr>
          <w:p>
            <w:pPr>
              <w:pStyle w:val="TableText"/>
            </w:pPr>
            <w:r>
              <w:t>0</w:t>
            </w:r>
          </w:p>
        </w:tc>
        <w:tc>
          <w:tcPr>
            <w:tcW w:type="dxa" w:w="1775"/>
            <w:vAlign w:val="center"/>
          </w:tcPr>
          <w:p>
            <w:pPr>
              <w:pStyle w:val="TableText"/>
            </w:pPr>
            <w:r>
              <w:t>1,0</w:t>
            </w:r>
          </w:p>
        </w:tc>
        <w:tc>
          <w:tcPr>
            <w:tcW w:type="dxa" w:w="1775"/>
            <w:vAlign w:val="center"/>
          </w:tcPr>
          <w:p>
            <w:pPr>
              <w:pStyle w:val="TableText"/>
            </w:pPr>
            <w:r>
              <w:t>G=0；n=2；W=0。</w:t>
            </w:r>
          </w:p>
        </w:tc>
      </w:tr>
    </w:tbl>
    <w:p>
      <w:pPr>
        <w:spacing w:after="0"/>
        <w:snapToGrid w:val="0"/>
      </w:pPr>
    </w:p>
    <w:p>
      <w:pPr>
        <w:snapToGrid w:val="0"/>
      </w:pPr>
      <w:r>
        <w:t>A在两个原始区域中都出现；B只需在较窄R₁中释放X₁，而在R₂中释放任何变量都能出现；C只有释放X₁才能出现。若K=2，参考集为{A,B}。这与直接调用KNN是不同的选取流程，即使此例恰好选出相同两个近点，也不能据此断言算法等价。</w:t>
      </w:r>
    </w:p>
    <w:p>
      <w:pPr>
        <w:snapToGrid w:val="0"/>
      </w:pPr>
      <w:r>
        <w:t>再令w₁=0.75、w₂=0.25，使用加权Manhattan距离：D(x,A)=0.2，D(x,B)=0.65，所以最终d(x)=(0.2+0.65)/2=0.425。0.425本身没有“正常／异常”含义，还须与ID参考分布比较。</w:t>
      </w:r>
    </w:p>
    <w:p>
      <w:pPr>
        <w:pStyle w:val="Heading3"/>
        <w:snapToGrid w:val="0"/>
      </w:pPr>
      <w:r>
        <w:t>E．一个必须处理的边界</w:t>
      </w:r>
    </w:p>
    <w:p>
      <w:pPr>
        <w:snapToGrid w:val="0"/>
      </w:pPr>
      <w:r>
        <w:t>【推导】若m=1且有出现记录，则p=1、G=0，所有W都为0，排名退化。论文Algorithm 1没有详细给出单变量、全零或大量并列时的处理。【代码：C1】当前默认选变量流程在仅有一个或没有变量通过阈值时，会回退到优先级表的全部变量；显式单变量选择仍需检查。回退行为不等于理论上不存在退化。</w:t>
      </w:r>
    </w:p>
    <w:p>
      <w:pPr>
        <w:snapToGrid w:val="0"/>
      </w:pPr>
      <w:r>
        <w:t>【图文核对备注】Fig.1将单条三维矩形规则的B点释放计数写成(0,1,1)。按“只取消一项坐标约束”的严格集合定义，属于两种不同释放区域的点应也属于原区域，因此该示意计数需要澄清。理解算法时以集合公式和上面的可逐项验证例子为准；这一图示问题不直接证明实验结果错误。</w:t>
      </w:r>
    </w:p>
    <w:p>
      <w:pPr>
        <w:pStyle w:val="Heading3"/>
        <w:snapToGrid w:val="0"/>
      </w:pPr>
      <w:r>
        <w:t>F．本节真正重要的结论</w:t>
      </w:r>
    </w:p>
    <w:p>
      <w:pPr>
        <w:pStyle w:val="ReportBullet"/>
        <w:keepNext/>
        <w:numPr>
          <w:ilvl w:val="0"/>
          <w:numId w:val="51"/>
        </w:numPr>
        <w:snapToGrid w:val="0"/>
      </w:pPr>
      <w:r>
        <w:t>规则释放不生成异常数据，只构造参考邻域。</w:t>
      </w:r>
    </w:p>
    <w:p>
      <w:pPr>
        <w:pStyle w:val="ReportBullet"/>
        <w:keepNext/>
        <w:numPr>
          <w:ilvl w:val="0"/>
          <w:numId w:val="51"/>
        </w:numPr>
        <w:snapToGrid w:val="0"/>
      </w:pPr>
      <w:r>
        <w:t>W选择参考样本；d评价待测样本。</w:t>
      </w:r>
    </w:p>
    <w:p>
      <w:pPr>
        <w:pStyle w:val="ReportBullet"/>
        <w:numPr>
          <w:ilvl w:val="0"/>
          <w:numId w:val="51"/>
        </w:numPr>
        <w:snapToGrid w:val="0"/>
      </w:pPr>
      <w:r>
        <w:t>频率均衡是启发式相似性设计，不是自动等同于真实预测风险。</w:t>
      </w:r>
    </w:p>
    <w:p>
      <w:pPr>
        <w:pStyle w:val="Heading2"/>
        <w:snapToGrid w:val="0"/>
      </w:pPr>
      <w:r>
        <w:t>6　Method §3.4：最终距离与阈值</w:t>
      </w:r>
    </w:p>
    <w:p>
      <w:pPr>
        <w:pStyle w:val="Heading3"/>
        <w:snapToGrid w:val="0"/>
      </w:pPr>
      <w:r>
        <w:t>A．这一节在讲什么，为什么还需要距离？</w:t>
      </w:r>
    </w:p>
    <w:p>
      <w:pPr>
        <w:snapToGrid w:val="0"/>
      </w:pPr>
      <w:r>
        <w:t>仅在同一叶节点或释放区域里出现，不代表数值没有远离训练经验。树叶区域可能向外无界。OutPro最后还要实际比较数值差异，避免把“走进某片叶子”直接当成训练支持充分。【论文：pp.9–10，Table 1】</w:t>
      </w:r>
    </w:p>
    <w:p>
      <w:pPr>
        <w:pStyle w:val="Heading3"/>
        <w:snapToGrid w:val="0"/>
      </w:pPr>
      <w:r>
        <w:t>B．关键公式4：最终异常分数</w:t>
      </w:r>
    </w:p>
    <w:p>
      <w:pPr>
        <w:pStyle w:val="EquationText"/>
        <w:jc w:val="center"/>
        <w:snapToGrid w:val="0"/>
      </w:pPr>
      <w:r/>
      <m:oMath>
        <m:r>
          <m:t>d(x)=(1/K)Σ_(z∈N_K(x))D_S(x,z)</m:t>
        </m:r>
      </m:oMath>
    </w:p>
    <w:p>
      <w:pPr>
        <w:snapToGrid w:val="0"/>
      </w:pPr>
      <w:r>
        <w:t>K为参考样本数；z为选中的训练点；D_S只在S坐标上计算。先用训练均值μ_s与标准差σ_s做标准化x̃_s=(x_s−μ_s)/σ_s，再应用距离。这里按标准差缩放，不能把除以方差误写成z-score标准化。</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距离</w:t>
            </w:r>
          </w:p>
        </w:tc>
        <w:tc>
          <w:tcPr>
            <w:tcW w:type="dxa" w:w="3500"/>
            <w:vAlign w:val="center"/>
            <w:shd w:fill="E8EEF5"/>
          </w:tcPr>
          <w:p>
            <w:pPr>
              <w:pStyle w:val="TableText"/>
            </w:pPr>
            <w:r>
              <w:rPr>
                <w:b/>
                <w:color w:val="1F4D78"/>
              </w:rPr>
              <w:t>公式或定义</w:t>
            </w:r>
          </w:p>
        </w:tc>
        <w:tc>
          <w:tcPr>
            <w:tcW w:type="dxa" w:w="3810"/>
            <w:vAlign w:val="center"/>
            <w:shd w:fill="E8EEF5"/>
          </w:tcPr>
          <w:p>
            <w:pPr>
              <w:pStyle w:val="TableText"/>
            </w:pPr>
            <w:r>
              <w:rPr>
                <w:b/>
                <w:color w:val="1F4D78"/>
              </w:rPr>
              <w:t>直观特性与限制</w:t>
            </w:r>
          </w:p>
        </w:tc>
      </w:tr>
      <w:tr>
        <w:trPr>
          <w:cantSplit/>
        </w:trPr>
        <w:tc>
          <w:tcPr>
            <w:tcW w:type="dxa" w:w="2050"/>
            <w:vAlign w:val="center"/>
          </w:tcPr>
          <w:p>
            <w:pPr>
              <w:pStyle w:val="TableText"/>
            </w:pPr>
            <w:r>
              <w:t>Manhattan</w:t>
            </w:r>
          </w:p>
        </w:tc>
        <w:tc>
          <w:tcPr>
            <w:tcW w:type="dxa" w:w="3500"/>
            <w:vAlign w:val="center"/>
          </w:tcPr>
          <w:p>
            <w:pPr>
              <w:pStyle w:val="TableText"/>
            </w:pPr>
            <w:r>
              <w:t>Σ_s w_s·abs(x_s−z_s)</w:t>
            </w:r>
          </w:p>
        </w:tc>
        <w:tc>
          <w:tcPr>
            <w:tcW w:type="dxa" w:w="3810"/>
            <w:vAlign w:val="center"/>
          </w:tcPr>
          <w:p>
            <w:pPr>
              <w:pStyle w:val="TableText"/>
            </w:pPr>
            <w:r>
              <w:t>加权绝对差之和；每项贡献容易解释。</w:t>
            </w:r>
          </w:p>
        </w:tc>
      </w:tr>
      <w:tr>
        <w:trPr>
          <w:cantSplit/>
        </w:trPr>
        <w:tc>
          <w:tcPr>
            <w:tcW w:type="dxa" w:w="2050"/>
            <w:vAlign w:val="center"/>
          </w:tcPr>
          <w:p>
            <w:pPr>
              <w:pStyle w:val="TableText"/>
            </w:pPr>
            <w:r>
              <w:t>Euclidean</w:t>
            </w:r>
          </w:p>
        </w:tc>
        <w:tc>
          <w:tcPr>
            <w:tcW w:type="dxa" w:w="3500"/>
            <w:vAlign w:val="center"/>
          </w:tcPr>
          <w:p>
            <w:pPr>
              <w:pStyle w:val="TableText"/>
            </w:pPr>
            <w:r>
              <w:t>sqrt(Σ_s w_s(x_s−z_s)²)</w:t>
            </w:r>
          </w:p>
        </w:tc>
        <w:tc>
          <w:tcPr>
            <w:tcW w:type="dxa" w:w="3810"/>
            <w:vAlign w:val="center"/>
          </w:tcPr>
          <w:p>
            <w:pPr>
              <w:pStyle w:val="TableText"/>
            </w:pPr>
            <w:r>
              <w:t>较大的单坐标偏差影响更强。</w:t>
            </w:r>
          </w:p>
        </w:tc>
      </w:tr>
      <w:tr>
        <w:trPr>
          <w:cantSplit/>
        </w:trPr>
        <w:tc>
          <w:tcPr>
            <w:tcW w:type="dxa" w:w="2050"/>
            <w:vAlign w:val="center"/>
          </w:tcPr>
          <w:p>
            <w:pPr>
              <w:pStyle w:val="TableText"/>
            </w:pPr>
            <w:r>
              <w:t>Minkowski</w:t>
            </w:r>
          </w:p>
        </w:tc>
        <w:tc>
          <w:tcPr>
            <w:tcW w:type="dxa" w:w="3500"/>
            <w:vAlign w:val="center"/>
          </w:tcPr>
          <w:p>
            <w:pPr>
              <w:pStyle w:val="TableText"/>
            </w:pPr>
            <w:r>
              <w:t>[Σ_s w_s abs(x_s−z_s)^p]^(1/p)，本文p=4。</w:t>
            </w:r>
          </w:p>
        </w:tc>
        <w:tc>
          <w:tcPr>
            <w:tcW w:type="dxa" w:w="3810"/>
            <w:vAlign w:val="center"/>
          </w:tcPr>
          <w:p>
            <w:pPr>
              <w:pStyle w:val="TableText"/>
            </w:pPr>
            <w:r>
              <w:t>进一步强调大偏差；不是无需调参。</w:t>
            </w:r>
          </w:p>
        </w:tc>
      </w:tr>
      <w:tr>
        <w:trPr>
          <w:cantSplit/>
        </w:trPr>
        <w:tc>
          <w:tcPr>
            <w:tcW w:type="dxa" w:w="2050"/>
            <w:vAlign w:val="center"/>
          </w:tcPr>
          <w:p>
            <w:pPr>
              <w:pStyle w:val="TableText"/>
            </w:pPr>
            <w:r>
              <w:t>Product</w:t>
            </w:r>
          </w:p>
        </w:tc>
        <w:tc>
          <w:tcPr>
            <w:tcW w:type="dxa" w:w="3500"/>
            <w:vAlign w:val="center"/>
          </w:tcPr>
          <w:p>
            <w:pPr>
              <w:pStyle w:val="TableText"/>
            </w:pPr>
            <w:r>
              <w:t>Π_s(abs(x_s−z_s)+ε)^w_s</w:t>
            </w:r>
          </w:p>
        </w:tc>
        <w:tc>
          <w:tcPr>
            <w:tcW w:type="dxa" w:w="3810"/>
            <w:vAlign w:val="center"/>
          </w:tcPr>
          <w:p>
            <w:pPr>
              <w:pStyle w:val="TableText"/>
            </w:pPr>
            <w:r>
              <w:t>加权几何组合；ε防止乘积直接归零。不是严格度量：同点距离也可能大于0。</w:t>
            </w:r>
          </w:p>
        </w:tc>
      </w:tr>
      <w:tr>
        <w:trPr>
          <w:cantSplit/>
        </w:trPr>
        <w:tc>
          <w:tcPr>
            <w:tcW w:type="dxa" w:w="2050"/>
            <w:vAlign w:val="center"/>
          </w:tcPr>
          <w:p>
            <w:pPr>
              <w:pStyle w:val="TableText"/>
            </w:pPr>
            <w:r>
              <w:t>Mahalanobis</w:t>
            </w:r>
          </w:p>
        </w:tc>
        <w:tc>
          <w:tcPr>
            <w:tcW w:type="dxa" w:w="3500"/>
            <w:vAlign w:val="center"/>
          </w:tcPr>
          <w:p>
            <w:pPr>
              <w:pStyle w:val="TableText"/>
            </w:pPr>
            <w:r>
              <w:t>sqrt[(x−z)ᵀΣ_S⁻¹(x−z)]</w:t>
            </w:r>
          </w:p>
        </w:tc>
        <w:tc>
          <w:tcPr>
            <w:tcW w:type="dxa" w:w="3810"/>
            <w:vAlign w:val="center"/>
          </w:tcPr>
          <w:p>
            <w:pPr>
              <w:pStyle w:val="TableText"/>
            </w:pPr>
            <w:r>
              <w:t>利用相关结构，论文表1不加VarPro权重；需稳定估计协方差。</w:t>
            </w:r>
          </w:p>
        </w:tc>
      </w:tr>
      <w:tr>
        <w:trPr>
          <w:cantSplit/>
        </w:trPr>
        <w:tc>
          <w:tcPr>
            <w:tcW w:type="dxa" w:w="2050"/>
            <w:vAlign w:val="center"/>
          </w:tcPr>
          <w:p>
            <w:pPr>
              <w:pStyle w:val="TableText"/>
            </w:pPr>
            <w:r>
              <w:t>OPTICS</w:t>
            </w:r>
          </w:p>
        </w:tc>
        <w:tc>
          <w:tcPr>
            <w:tcW w:type="dxa" w:w="3500"/>
            <w:vAlign w:val="center"/>
          </w:tcPr>
          <w:p>
            <w:pPr>
              <w:pStyle w:val="TableText"/>
            </w:pPr>
            <w:r>
              <w:t>对选定邻域与x计算reachability，minPts=5。</w:t>
            </w:r>
          </w:p>
        </w:tc>
        <w:tc>
          <w:tcPr>
            <w:tcW w:type="dxa" w:w="3810"/>
            <w:vAlign w:val="center"/>
          </w:tcPr>
          <w:p>
            <w:pPr>
              <w:pStyle w:val="TableText"/>
            </w:pPr>
            <w:r>
              <w:t>直接输出可达距离，不能套用平均成对距离公式；顺序、边界值需明确实现。</w:t>
            </w:r>
          </w:p>
        </w:tc>
      </w:tr>
    </w:tbl>
    <w:p>
      <w:pPr>
        <w:spacing w:after="0"/>
        <w:snapToGrid w:val="0"/>
      </w:pPr>
    </w:p>
    <w:p>
      <w:pPr>
        <w:snapToGrid w:val="0"/>
      </w:pPr>
      <w:r>
        <w:t>【二维例】若标准化差值为(2,1)，权重(0.75,0.25)，Manhattan=1.75，Euclidean=√3.25≈1.803，Product在ε很小时约为2^0.75≈1.682。不同数值不是同一量纲下的异常概率，不能用一个固定数值阈值通用于所有距离。</w:t>
      </w:r>
    </w:p>
    <w:p>
      <w:pPr>
        <w:pStyle w:val="Heading3"/>
        <w:snapToGrid w:val="0"/>
      </w:pPr>
      <w:r>
        <w:t>C．关键公式5：从原始分数到参考分位</w:t>
      </w:r>
    </w:p>
    <w:p>
      <w:pPr>
        <w:snapToGrid w:val="0"/>
      </w:pPr>
      <w:r>
        <w:t>【代码补充：C1】outpro.null用ID参考分数形成经验CDF F̂₀。可记：</w:t>
      </w:r>
    </w:p>
    <w:p>
      <w:pPr>
        <w:pStyle w:val="EquationText"/>
        <w:jc w:val="center"/>
        <w:snapToGrid w:val="0"/>
      </w:pPr>
      <w:r/>
      <m:oMath>
        <m:r>
          <m:t>F̂₀(t)=(1/n₀)Σᵢ1{dᵢ≤t},     Percentile(x)=100F̂₀(d(x))</m:t>
        </m:r>
      </m:oMath>
    </w:p>
    <w:p>
      <w:pPr>
        <w:snapToGrid w:val="0"/>
      </w:pPr>
      <w:r>
        <w:t>原始距离d大、分位高表示更异常。若使用1−F̂₀(d)作为support score，其方向相反，值小表示支持弱。CDF分位不是P(OOD给定x)，也不是自动具有有限样本保证的conformal p-value。</w:t>
      </w:r>
    </w:p>
    <w:p>
      <w:pPr>
        <w:snapToGrid w:val="0"/>
      </w:pPr>
      <w:r>
        <w:t>【教学例】正常参考距离为0.1、0.2、0.4、0.6、1.0，则前例d=0.425对应经验分位60%。样本只有5个时分位分辨率很低，这也说明不能机械地把“第95百分位”理解成可靠的5%未来误报保证。</w:t>
      </w:r>
    </w:p>
    <w:p>
      <w:pPr>
        <w:pStyle w:val="Heading3"/>
        <w:snapToGrid w:val="0"/>
      </w:pPr>
      <w:r>
        <w:t>D．论文有没有给阈值？</w:t>
      </w:r>
    </w:p>
    <w:p>
      <w:pPr>
        <w:snapToGrid w:val="0"/>
      </w:pPr>
      <w:r>
        <w:t>有两类须分开：基准实验主要用AUC-PR比较排序，不要求一个统一二元阈值；WECC案例用90、95百分位作参考线。copula表3的τ_(1−q)是生成异常标签的阈值，不是OutPro部署阈值；软件cutoff是变量选择阈值，也不是报警阈值。</w:t>
      </w:r>
    </w:p>
    <w:p>
      <w:pPr>
        <w:pStyle w:val="Heading3"/>
        <w:snapToGrid w:val="0"/>
      </w:pPr>
      <w:r>
        <w:t>E．本节真正重要的结论</w:t>
      </w:r>
    </w:p>
    <w:p>
      <w:pPr>
        <w:pStyle w:val="ReportBullet"/>
        <w:keepNext/>
        <w:numPr>
          <w:ilvl w:val="0"/>
          <w:numId w:val="51"/>
        </w:numPr>
        <w:snapToGrid w:val="0"/>
      </w:pPr>
      <w:r>
        <w:t>距离、变量选择阈值、异常生成阈值、报警阈值是四个不同对象。</w:t>
      </w:r>
    </w:p>
    <w:p>
      <w:pPr>
        <w:pStyle w:val="ReportBullet"/>
        <w:keepNext/>
        <w:numPr>
          <w:ilvl w:val="0"/>
          <w:numId w:val="51"/>
        </w:numPr>
        <w:snapToGrid w:val="0"/>
      </w:pPr>
      <w:r>
        <w:t>本篇有参考分位和案例阈值，但没有通用的误报率保障。</w:t>
      </w:r>
    </w:p>
    <w:p>
      <w:pPr>
        <w:pStyle w:val="ReportBullet"/>
        <w:numPr>
          <w:ilvl w:val="0"/>
          <w:numId w:val="51"/>
        </w:numPr>
        <w:snapToGrid w:val="0"/>
      </w:pPr>
      <w:r>
        <w:t>选择不同距离会改变适合的异常类型，不能只追求某一次实验最高值。</w:t>
      </w:r>
    </w:p>
    <w:p>
      <w:pPr>
        <w:pStyle w:val="Heading2"/>
        <w:snapToGrid w:val="0"/>
      </w:pPr>
      <w:r>
        <w:t>7　Comparison methods：基线名称不等于原始方法</w:t>
      </w:r>
    </w:p>
    <w:p>
      <w:pPr>
        <w:pStyle w:val="Heading3"/>
        <w:snapToGrid w:val="0"/>
      </w:pPr>
      <w:r>
        <w:t>A．这一节讲什么？为什么不能跳过？</w:t>
      </w:r>
    </w:p>
    <w:p>
      <w:pPr>
        <w:snapToGrid w:val="0"/>
      </w:pPr>
      <w:r>
        <w:t>论文比较了传统检测器、预测不确定性、潜在表示及梯度方法。由于任务是回归，部分分类方法被改写。结论必须针对实际实现，而不是仅凭MSP、ODIN或Energy的名称宣称击败其原始版本。【论文：§4、Table 2，pp.10–11】</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组别</w:t>
            </w:r>
          </w:p>
        </w:tc>
        <w:tc>
          <w:tcPr>
            <w:tcW w:type="dxa" w:w="3500"/>
            <w:vAlign w:val="center"/>
            <w:shd w:fill="E8EEF5"/>
          </w:tcPr>
          <w:p>
            <w:pPr>
              <w:pStyle w:val="TableText"/>
            </w:pPr>
            <w:r>
              <w:rPr>
                <w:b/>
                <w:color w:val="1F4D78"/>
              </w:rPr>
              <w:t>本篇实际分数或设置</w:t>
            </w:r>
          </w:p>
        </w:tc>
        <w:tc>
          <w:tcPr>
            <w:tcW w:type="dxa" w:w="3810"/>
            <w:vAlign w:val="center"/>
            <w:shd w:fill="E8EEF5"/>
          </w:tcPr>
          <w:p>
            <w:pPr>
              <w:pStyle w:val="TableText"/>
            </w:pPr>
            <w:r>
              <w:rPr>
                <w:b/>
                <w:color w:val="1F4D78"/>
              </w:rPr>
              <w:t>解读</w:t>
            </w:r>
          </w:p>
        </w:tc>
      </w:tr>
      <w:tr>
        <w:trPr>
          <w:cantSplit/>
        </w:trPr>
        <w:tc>
          <w:tcPr>
            <w:tcW w:type="dxa" w:w="2050"/>
            <w:vAlign w:val="center"/>
          </w:tcPr>
          <w:p>
            <w:pPr>
              <w:pStyle w:val="TableText"/>
            </w:pPr>
            <w:r>
              <w:t>传统X-only</w:t>
            </w:r>
          </w:p>
        </w:tc>
        <w:tc>
          <w:tcPr>
            <w:tcW w:type="dxa" w:w="3500"/>
            <w:vAlign w:val="center"/>
          </w:tcPr>
          <w:p>
            <w:pPr>
              <w:pStyle w:val="TableText"/>
            </w:pPr>
            <w:r>
              <w:t>LOF；200棵树Isolation Forest；RBF OCSVM；全局Mahalanobis；median/MAD标准化的稳健kNN半径。</w:t>
            </w:r>
          </w:p>
        </w:tc>
        <w:tc>
          <w:tcPr>
            <w:tcW w:type="dxa" w:w="3810"/>
            <w:vAlign w:val="center"/>
          </w:tcPr>
          <w:p>
            <w:pPr>
              <w:pStyle w:val="TableText"/>
            </w:pPr>
            <w:r>
              <w:t>不使用Y，但warp异常下很有竞争力。</w:t>
            </w:r>
          </w:p>
        </w:tc>
      </w:tr>
      <w:tr>
        <w:trPr>
          <w:cantSplit/>
        </w:trPr>
        <w:tc>
          <w:tcPr>
            <w:tcW w:type="dxa" w:w="2050"/>
            <w:vAlign w:val="center"/>
          </w:tcPr>
          <w:p>
            <w:pPr>
              <w:pStyle w:val="TableText"/>
            </w:pPr>
            <w:r>
              <w:t>MSP／ODIN回归改写</w:t>
            </w:r>
          </w:p>
        </w:tc>
        <w:tc>
          <w:tcPr>
            <w:tcW w:type="dxa" w:w="3500"/>
            <w:vAlign w:val="center"/>
          </w:tcPr>
          <w:p>
            <w:pPr>
              <w:pStyle w:val="TableText"/>
            </w:pPr>
            <w:r>
              <w:t>预测值偏离训练响应均值的绝对值；ODIN对x+0.01sign(x)计算同类分数。</w:t>
            </w:r>
          </w:p>
        </w:tc>
        <w:tc>
          <w:tcPr>
            <w:tcW w:type="dxa" w:w="3810"/>
            <w:vAlign w:val="center"/>
          </w:tcPr>
          <w:p>
            <w:pPr>
              <w:pStyle w:val="TableText"/>
            </w:pPr>
            <w:r>
              <w:t>不是分类softmax和原ODIN的原样使用。极端但合法的回归输出也可能得高分。</w:t>
            </w:r>
          </w:p>
        </w:tc>
      </w:tr>
      <w:tr>
        <w:trPr>
          <w:cantSplit/>
        </w:trPr>
        <w:tc>
          <w:tcPr>
            <w:tcW w:type="dxa" w:w="2050"/>
            <w:vAlign w:val="center"/>
          </w:tcPr>
          <w:p>
            <w:pPr>
              <w:pStyle w:val="TableText"/>
            </w:pPr>
            <w:r>
              <w:t>Energy／Sensitivity</w:t>
            </w:r>
          </w:p>
        </w:tc>
        <w:tc>
          <w:tcPr>
            <w:tcW w:type="dxa" w:w="3500"/>
            <w:vAlign w:val="center"/>
          </w:tcPr>
          <w:p>
            <w:pPr>
              <w:pStyle w:val="TableText"/>
            </w:pPr>
            <w:r>
              <w:t>扰动后潜在表示的平方范数；平均绝对输入梯度。</w:t>
            </w:r>
          </w:p>
        </w:tc>
        <w:tc>
          <w:tcPr>
            <w:tcW w:type="dxa" w:w="3810"/>
            <w:vAlign w:val="center"/>
          </w:tcPr>
          <w:p>
            <w:pPr>
              <w:pStyle w:val="TableText"/>
            </w:pPr>
            <w:r>
              <w:t>不是本篇回归任务中天然存在的分类energy。</w:t>
            </w:r>
          </w:p>
        </w:tc>
      </w:tr>
      <w:tr>
        <w:trPr>
          <w:cantSplit/>
        </w:trPr>
        <w:tc>
          <w:tcPr>
            <w:tcW w:type="dxa" w:w="2050"/>
            <w:vAlign w:val="center"/>
          </w:tcPr>
          <w:p>
            <w:pPr>
              <w:pStyle w:val="TableText"/>
            </w:pPr>
            <w:r>
              <w:t>GP／DKL／Ensembles</w:t>
            </w:r>
          </w:p>
        </w:tc>
        <w:tc>
          <w:tcPr>
            <w:tcW w:type="dxa" w:w="3500"/>
            <w:vAlign w:val="center"/>
          </w:tcPr>
          <w:p>
            <w:pPr>
              <w:pStyle w:val="TableText"/>
            </w:pPr>
            <w:r>
              <w:t>后验预测方差、潜在空间GP方差、多个网络预测的方差。</w:t>
            </w:r>
          </w:p>
        </w:tc>
        <w:tc>
          <w:tcPr>
            <w:tcW w:type="dxa" w:w="3810"/>
            <w:vAlign w:val="center"/>
          </w:tcPr>
          <w:p>
            <w:pPr>
              <w:pStyle w:val="TableText"/>
            </w:pPr>
            <w:r>
              <w:t>以不确定性提示OOD，与OutPro距离路线不同。</w:t>
            </w:r>
          </w:p>
        </w:tc>
      </w:tr>
      <w:tr>
        <w:trPr>
          <w:cantSplit/>
        </w:trPr>
        <w:tc>
          <w:tcPr>
            <w:tcW w:type="dxa" w:w="2050"/>
            <w:vAlign w:val="center"/>
          </w:tcPr>
          <w:p>
            <w:pPr>
              <w:pStyle w:val="TableText"/>
            </w:pPr>
            <w:r>
              <w:t>GMM／DkNN</w:t>
            </w:r>
          </w:p>
        </w:tc>
        <w:tc>
          <w:tcPr>
            <w:tcW w:type="dxa" w:w="3500"/>
            <w:vAlign w:val="center"/>
          </w:tcPr>
          <w:p>
            <w:pPr>
              <w:pStyle w:val="TableText"/>
            </w:pPr>
            <w:r>
              <w:t>PCA后的潜在空间负log密度；潜在空间近邻距离。</w:t>
            </w:r>
          </w:p>
        </w:tc>
        <w:tc>
          <w:tcPr>
            <w:tcW w:type="dxa" w:w="3810"/>
            <w:vAlign w:val="center"/>
          </w:tcPr>
          <w:p>
            <w:pPr>
              <w:pStyle w:val="TableText"/>
            </w:pPr>
            <w:r>
              <w:t>依赖学习到的表示及其保留的信息。</w:t>
            </w:r>
          </w:p>
        </w:tc>
      </w:tr>
      <w:tr>
        <w:trPr>
          <w:cantSplit/>
        </w:trPr>
        <w:tc>
          <w:tcPr>
            <w:tcW w:type="dxa" w:w="2050"/>
            <w:vAlign w:val="center"/>
          </w:tcPr>
          <w:p>
            <w:pPr>
              <w:pStyle w:val="TableText"/>
            </w:pPr>
            <w:r>
              <w:t>Conformal comparison</w:t>
            </w:r>
          </w:p>
        </w:tc>
        <w:tc>
          <w:tcPr>
            <w:tcW w:type="dxa" w:w="3500"/>
            <w:vAlign w:val="center"/>
          </w:tcPr>
          <w:p>
            <w:pPr>
              <w:pStyle w:val="TableText"/>
            </w:pPr>
            <w:r>
              <w:t>75%训练、25%校准；比较预测值偏离校准预测中位数的分数。</w:t>
            </w:r>
          </w:p>
        </w:tc>
        <w:tc>
          <w:tcPr>
            <w:tcW w:type="dxa" w:w="3810"/>
            <w:vAlign w:val="center"/>
          </w:tcPr>
          <w:p>
            <w:pPr>
              <w:pStyle w:val="TableText"/>
            </w:pPr>
            <w:r>
              <w:t>不是典型残差预测区间；该对照不能代表所有conformal方法。</w:t>
            </w:r>
          </w:p>
        </w:tc>
      </w:tr>
    </w:tbl>
    <w:p>
      <w:pPr>
        <w:spacing w:after="0"/>
        <w:snapToGrid w:val="0"/>
      </w:pPr>
    </w:p>
    <w:p>
      <w:pPr>
        <w:snapToGrid w:val="0"/>
      </w:pPr>
      <w:r>
        <w:t>神经网络对照共享两层ReLU隐藏层、batch normalization、dropout、单输出和MSE训练；部分方法再分别重训或拟合GP。共享框架有助于控制实现差异，但神经网络与森林仍不是完全相同的预测基础，调参预算也需要复现时明确。</w:t>
      </w:r>
    </w:p>
    <w:p>
      <w:pPr>
        <w:pStyle w:val="Heading3"/>
        <w:snapToGrid w:val="0"/>
      </w:pPr>
      <w:r>
        <w:t>B．本节真正重要的结论</w:t>
      </w:r>
    </w:p>
    <w:p>
      <w:pPr>
        <w:pStyle w:val="ReportBullet"/>
        <w:keepNext/>
        <w:numPr>
          <w:ilvl w:val="0"/>
          <w:numId w:val="51"/>
        </w:numPr>
        <w:snapToGrid w:val="0"/>
      </w:pPr>
      <w:r>
        <w:t>要按实际分数比较方法，不按名称比较。</w:t>
      </w:r>
    </w:p>
    <w:p>
      <w:pPr>
        <w:pStyle w:val="ReportBullet"/>
        <w:keepNext/>
        <w:numPr>
          <w:ilvl w:val="0"/>
          <w:numId w:val="51"/>
        </w:numPr>
        <w:snapToGrid w:val="0"/>
      </w:pPr>
      <w:r>
        <w:t>模型预测极端与输入学习外不是同一件事。</w:t>
      </w:r>
    </w:p>
    <w:p>
      <w:pPr>
        <w:pStyle w:val="ReportBullet"/>
        <w:numPr>
          <w:ilvl w:val="0"/>
          <w:numId w:val="51"/>
        </w:numPr>
        <w:snapToGrid w:val="0"/>
      </w:pPr>
      <w:r>
        <w:t>未直接比较Density-Regression，不能用本篇图表宣布它胜过上一篇。</w:t>
      </w:r>
    </w:p>
    <w:p>
      <w:pPr>
        <w:pStyle w:val="Heading2"/>
        <w:snapToGrid w:val="0"/>
      </w:pPr>
      <w:r>
        <w:t>8　Experiments §5.1：Friedman与“真异常标签”</w:t>
      </w:r>
    </w:p>
    <w:p>
      <w:pPr>
        <w:pStyle w:val="Heading3"/>
        <w:snapToGrid w:val="0"/>
      </w:pPr>
      <w:r>
        <w:t>A．这一节讲什么？为什么有价值？</w:t>
      </w:r>
    </w:p>
    <w:p>
      <w:pPr>
        <w:snapToGrid w:val="0"/>
      </w:pPr>
      <w:r>
        <w:t>Friedman模拟提供明确已知的输入范围与预测关系，作者用它检查“轻微改动少数重要变量”是否能被检测。一个优点是作者没有把所有被修改的点都强行标成异常，而是检查是否真的超出支持集。【论文：pp.12–15】</w:t>
      </w:r>
    </w:p>
    <w:p>
      <w:pPr>
        <w:pStyle w:val="Heading3"/>
        <w:snapToGrid w:val="0"/>
      </w:pPr>
      <w:r>
        <w:t>B．关键公式6：数据生成</w:t>
      </w:r>
    </w:p>
    <w:p>
      <w:pPr>
        <w:pStyle w:val="EquationText"/>
        <w:jc w:val="center"/>
        <w:snapToGrid w:val="0"/>
      </w:pPr>
      <w:r/>
      <m:oMath>
        <m:r>
          <m:t>Y=10sin(πX₁X₂)+20(X₃−0.5)²+10X₄+5X₅+ε</m:t>
        </m:r>
      </m:oMath>
    </w:p>
    <w:p>
      <w:pPr>
        <w:snapToGrid w:val="0"/>
      </w:pPr>
      <w:r>
        <w:t>X₁到X₂₀相互独立且均匀分布于[0,1]，ε∼N(0,1)。只有前5项是真实信号，其余15项是噪声变量。每轮n=2000，80%训练、20%测试，即1600／400；100轮独立数据。</w:t>
      </w:r>
    </w:p>
    <w:p>
      <w:pPr>
        <w:snapToGrid w:val="0"/>
      </w:pPr>
      <w:r>
        <w:t>通过gradient boosting对变量排序，选择前10%，在20维下为2项。扰动大小为0.05、0.25、0.5、1、2乘以各变量经验标准差，方向逐测试点随机。这一“用于造异常的变量选择器”与OutPro内部VarPro选择器不是同一个部件。</w:t>
      </w:r>
    </w:p>
    <w:p>
      <w:pPr>
        <w:pStyle w:val="Heading3"/>
        <w:snapToGrid w:val="0"/>
      </w:pPr>
      <w:r>
        <w:t>C．关键公式7：为什么被扰动不等于越界？</w:t>
      </w:r>
    </w:p>
    <w:p>
      <w:pPr>
        <w:snapToGrid w:val="0"/>
      </w:pPr>
      <w:r>
        <w:t>对固定加性位移δ，均匀独立输入仍留在原超立方体的概率为：</w:t>
      </w:r>
    </w:p>
    <w:p>
      <w:pPr>
        <w:pStyle w:val="EquationText"/>
        <w:jc w:val="center"/>
        <w:snapToGrid w:val="0"/>
      </w:pPr>
      <w:r/>
      <m:oMath>
        <m:r>
          <m:t>P(所有坐标仍在[0,1])=Πⱼ(1−|δⱼ|)₊</m:t>
        </m:r>
      </m:oMath>
    </w:p>
    <w:p>
      <w:pPr>
        <w:snapToGrid w:val="0"/>
      </w:pPr>
      <w:r>
        <w:t>(a)₊=max(a,0)。因此越界比例为1减去这个乘积，而不是100%。【二维例】δ=(0.1,0.2)，仍在范围内的概率0.9×0.8=0.72，真正越界只有28%。对δ很小的情形，异常正例可能极少，AUC-PR也会随正例比例变化。</w:t>
      </w:r>
    </w:p>
    <w:p>
      <w:pPr>
        <w:snapToGrid w:val="0"/>
      </w:pPr>
      <w:r>
        <w:t>论文标签规则为“至少一个坐标不在[0,1]时才是异常”。它是本实验的逐点支持集标签；即使一个扰动后的总体分布改变，某些具体点仍可能被该规则视为合法，这与广义分布变化定义并不完全等价。</w:t>
      </w:r>
    </w:p>
    <w:p>
      <w:pPr>
        <w:pStyle w:val="Heading3"/>
        <w:snapToGrid w:val="0"/>
      </w:pPr>
      <w:r>
        <w:t>D．结果与真正结论</w:t>
      </w:r>
    </w:p>
    <w:p>
      <w:pPr>
        <w:snapToGrid w:val="0"/>
      </w:pPr>
      <w:r>
        <w:t>Fig.2–3显示Product与Manhattan在小位移下较强，Product每种位移的平均名次最好。图为分布和名次比较，正文未提供所有方法精确均值表；本报告不从图上猜测四位小数AUC-PR。</w:t>
      </w:r>
    </w:p>
    <w:p>
      <w:pPr>
        <w:pStyle w:val="ReportBullet"/>
        <w:keepNext/>
        <w:numPr>
          <w:ilvl w:val="0"/>
          <w:numId w:val="51"/>
        </w:numPr>
        <w:snapToGrid w:val="0"/>
      </w:pPr>
      <w:r>
        <w:t>该实验直接对应课题①的范围外输入。</w:t>
      </w:r>
    </w:p>
    <w:p>
      <w:pPr>
        <w:pStyle w:val="ReportBullet"/>
        <w:keepNext/>
        <w:numPr>
          <w:ilvl w:val="0"/>
          <w:numId w:val="51"/>
        </w:numPr>
        <w:snapToGrid w:val="0"/>
      </w:pPr>
      <w:r>
        <w:t>没有独立操纵学習稀薄区域，也没有保持周边分布不变的相关性实验。</w:t>
      </w:r>
    </w:p>
    <w:p>
      <w:pPr>
        <w:pStyle w:val="ReportBullet"/>
        <w:numPr>
          <w:ilvl w:val="0"/>
          <w:numId w:val="51"/>
        </w:numPr>
        <w:snapToGrid w:val="0"/>
      </w:pPr>
      <w:r>
        <w:t>小扰动的正例率不是固定50%，跨位移比较AUC-PR必须考虑这一点。</w:t>
      </w:r>
    </w:p>
    <w:p>
      <w:pPr>
        <w:pStyle w:val="Heading2"/>
        <w:snapToGrid w:val="0"/>
      </w:pPr>
      <w:r>
        <w:t>9　Experiments §5.2：copula怎样生成三种异常？</w:t>
      </w:r>
    </w:p>
    <w:p>
      <w:pPr>
        <w:pStyle w:val="Heading3"/>
        <w:snapToGrid w:val="0"/>
      </w:pPr>
      <w:r>
        <w:t>A．这一节在讲什么？为什么是理解③的关键？</w:t>
      </w:r>
    </w:p>
    <w:p>
      <w:pPr>
        <w:snapToGrid w:val="0"/>
      </w:pPr>
      <w:r>
        <w:t>现实表格中的每个变量可能偏态或重尾，变量之间还有相关性。Copula把“单个变量长什么样”与“变量怎样搭配”分开建模，便于分别改变尾部、联合关系或范围。【论文：pp.13、16–17，Table 3】</w:t>
      </w:r>
    </w:p>
    <w:p>
      <w:pPr>
        <w:pStyle w:val="Heading3"/>
        <w:snapToGrid w:val="0"/>
      </w:pPr>
      <w:r>
        <w:t>B．关键概念与公式8</w:t>
      </w:r>
    </w:p>
    <w:p>
      <w:pPr>
        <w:pStyle w:val="EquationText"/>
        <w:jc w:val="center"/>
        <w:snapToGrid w:val="0"/>
      </w:pPr>
      <w:r/>
      <m:oMath>
        <m:r>
          <m:t>uⱼ=Fⱼ(xⱼ),     zⱼ=Φ⁻¹(uⱼ),     Z∼N(0,R),     xⱼ=Fⱼ⁻¹(Φ(zⱼ))</m:t>
        </m:r>
      </m:oMath>
    </w:p>
    <w:p>
      <w:pPr>
        <w:snapToGrid w:val="0"/>
      </w:pPr>
      <w:r>
        <w:t>Fⱼ是第j项的边际CDF，uⱼ是其分位位置，Φ是标准正态CDF，zⱼ是潜在高斯坐标，R为从训练数据估计的相关矩阵。先转到统一分位尺度，再在潜在空间改变结构，最后映回原单位。这里的z不是神经网络隐藏表示。</w:t>
      </w:r>
    </w:p>
    <w:p>
      <w:pPr>
        <w:snapToGrid w:val="0"/>
      </w:pPr>
      <w:r>
        <w:t>【二维直觉】压力与流量分别处于各自“正常的50%分位”不保证组合符合正常工况；copula记录的是这些分位位置如何一起出现。将两项边际映射保留、改变潜在组合，可以生成范围内却组合稀有的候选。</w:t>
      </w:r>
    </w:p>
    <w:p>
      <w:pPr>
        <w:pStyle w:val="Heading3"/>
        <w:snapToGrid w:val="0"/>
      </w:pPr>
      <w:r>
        <w:t>C．三种模式及标签</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模式</w:t>
            </w:r>
          </w:p>
        </w:tc>
        <w:tc>
          <w:tcPr>
            <w:tcW w:type="dxa" w:w="3500"/>
            <w:vAlign w:val="center"/>
            <w:shd w:fill="E8EEF5"/>
          </w:tcPr>
          <w:p>
            <w:pPr>
              <w:pStyle w:val="TableText"/>
              <w:keepNext/>
            </w:pPr>
            <w:r>
              <w:rPr>
                <w:b/>
                <w:color w:val="1F4D78"/>
              </w:rPr>
              <w:t>如何生成</w:t>
            </w:r>
          </w:p>
        </w:tc>
        <w:tc>
          <w:tcPr>
            <w:tcW w:type="dxa" w:w="3810"/>
            <w:vAlign w:val="center"/>
            <w:shd w:fill="E8EEF5"/>
          </w:tcPr>
          <w:p>
            <w:pPr>
              <w:pStyle w:val="TableText"/>
              <w:keepNext/>
            </w:pPr>
            <w:r>
              <w:rPr>
                <w:b/>
                <w:color w:val="1F4D78"/>
              </w:rPr>
              <w:t>正例标签与课题关系</w:t>
            </w:r>
          </w:p>
        </w:tc>
      </w:tr>
      <w:tr>
        <w:trPr>
          <w:cantSplit/>
        </w:trPr>
        <w:tc>
          <w:tcPr>
            <w:tcW w:type="dxa" w:w="2050"/>
            <w:vAlign w:val="center"/>
          </w:tcPr>
          <w:p>
            <w:pPr>
              <w:pStyle w:val="TableText"/>
              <w:keepNext/>
            </w:pPr>
            <w:r>
              <w:t>warp</w:t>
            </w:r>
          </w:p>
        </w:tc>
        <w:tc>
          <w:tcPr>
            <w:tcW w:type="dxa" w:w="3500"/>
            <w:vAlign w:val="center"/>
          </w:tcPr>
          <w:p>
            <w:pPr>
              <w:pStyle w:val="TableText"/>
              <w:keepNext/>
            </w:pPr>
            <w:r>
              <w:t>将u变为u^γ/[u^γ+(1−u)^γ]，γ&gt;1，再做原逆CDF映射。</w:t>
            </w:r>
          </w:p>
        </w:tc>
        <w:tc>
          <w:tcPr>
            <w:tcW w:type="dxa" w:w="3810"/>
            <w:vAlign w:val="center"/>
          </w:tcPr>
          <w:p>
            <w:pPr>
              <w:pStyle w:val="TableText"/>
              <w:keepNext/>
            </w:pPr>
            <w:r>
              <w:t>按潜在Mahalanobis半径是否超过训练95%分位标记；不是每个生成点都必然为正例。主要改变尾部和低密度位置。</w:t>
            </w:r>
          </w:p>
        </w:tc>
      </w:tr>
      <w:tr>
        <w:trPr>
          <w:cantSplit/>
        </w:trPr>
        <w:tc>
          <w:tcPr>
            <w:tcW w:type="dxa" w:w="2050"/>
            <w:vAlign w:val="center"/>
          </w:tcPr>
          <w:p>
            <w:pPr>
              <w:pStyle w:val="TableText"/>
              <w:keepNext/>
            </w:pPr>
            <w:r>
              <w:t>joint</w:t>
            </w:r>
          </w:p>
        </w:tc>
        <w:tc>
          <w:tcPr>
            <w:tcW w:type="dxa" w:w="3500"/>
            <w:vAlign w:val="center"/>
          </w:tcPr>
          <w:p>
            <w:pPr>
              <w:pStyle w:val="TableText"/>
              <w:keepNext/>
            </w:pPr>
            <w:r>
              <w:t>潜在训练点加随机方向上的尾部半径位移，再用原逆CDF映回。</w:t>
            </w:r>
          </w:p>
        </w:tc>
        <w:tc>
          <w:tcPr>
            <w:tcW w:type="dxa" w:w="3810"/>
            <w:vAlign w:val="center"/>
          </w:tcPr>
          <w:p>
            <w:pPr>
              <w:pStyle w:val="TableText"/>
              <w:keepNext/>
            </w:pPr>
            <w:r>
              <w:t>生成点标为异常；与③联合关系变化最贴近。但保持映射不等于严格保持边际分布。</w:t>
            </w:r>
          </w:p>
        </w:tc>
      </w:tr>
      <w:tr>
        <w:trPr>
          <w:cantSplit/>
        </w:trPr>
        <w:tc>
          <w:tcPr>
            <w:tcW w:type="dxa" w:w="2050"/>
            <w:vAlign w:val="center"/>
          </w:tcPr>
          <w:p>
            <w:pPr>
              <w:pStyle w:val="TableText"/>
            </w:pPr>
            <w:r>
              <w:t>support</w:t>
            </w:r>
          </w:p>
        </w:tc>
        <w:tc>
          <w:tcPr>
            <w:tcW w:type="dxa" w:w="3500"/>
            <w:vAlign w:val="center"/>
          </w:tcPr>
          <w:p>
            <w:pPr>
              <w:pStyle w:val="TableText"/>
            </w:pPr>
            <w:r>
              <w:t>将潜在点沿径向向外放大，采用可外推到经验范围之外的修改逆CDF。</w:t>
            </w:r>
          </w:p>
        </w:tc>
        <w:tc>
          <w:tcPr>
            <w:tcW w:type="dxa" w:w="3810"/>
            <w:vAlign w:val="center"/>
          </w:tcPr>
          <w:p>
            <w:pPr>
              <w:pStyle w:val="TableText"/>
            </w:pPr>
            <w:r>
              <w:t>生成点标为异常；主要对应①范围外。</w:t>
            </w:r>
          </w:p>
        </w:tc>
      </w:tr>
    </w:tbl>
    <w:p>
      <w:pPr>
        <w:spacing w:after="0"/>
        <w:snapToGrid w:val="0"/>
      </w:pPr>
    </w:p>
    <w:p>
      <w:pPr>
        <w:snapToGrid w:val="0"/>
      </w:pPr>
      <w:r>
        <w:t>全部实验使用尾概率q=0.05。warp的标签半径为d_M=√(z*ᵀR⁻¹z*)，与训练参考分位τ₀.₉₅比较。joint随机位移长度和support径向长度由卡方分布的上尾构造。非整数／离散变量、经验CDF的0/1端点、逆CDF外推及高维相关矩阵稳定化细节均会影响忠实复现。</w:t>
      </w:r>
    </w:p>
    <w:p>
      <w:pPr>
        <w:pStyle w:val="Heading3"/>
        <w:snapToGrid w:val="0"/>
      </w:pPr>
      <w:r>
        <w:t>D．一个简单的warp数值例</w:t>
      </w:r>
    </w:p>
    <w:p>
      <w:pPr>
        <w:snapToGrid w:val="0"/>
      </w:pPr>
      <w:r>
        <w:t>【教学例】γ=2，u=0.8变成0.64/(0.64+0.04)≈0.9412；u=0.2变成约0.0588。两者被推向尾部，但只要逆经验CDF不外推，映回值仍可能在观察范围内。因此“没有超最大最小值”并不等于没有发生分布变化。</w:t>
      </w:r>
    </w:p>
    <w:p>
      <w:pPr>
        <w:pStyle w:val="Heading3"/>
        <w:snapToGrid w:val="0"/>
      </w:pPr>
      <w:r>
        <w:t>E．必须审慎的地方</w:t>
      </w:r>
    </w:p>
    <w:p>
      <w:pPr>
        <w:snapToGrid w:val="0"/>
      </w:pPr>
      <w:r>
        <w:t>joint保留Fⱼ⁻¹这一函数，却改变传给它的u分布，所以输出的边际分布不一定原样保留；不能把它夸大为严格“只改相关性”的独立对照。随机方向的潜在位移也不逐点保证一定远离高密度区域，joint标签本质上来自构造方案，和Friedman的严格越界标签不同。</w:t>
      </w:r>
    </w:p>
    <w:p>
      <w:pPr>
        <w:snapToGrid w:val="0"/>
      </w:pPr>
      <w:r>
        <w:t>【评估待核实】论文说生成样本数量与ID测试数量匹配，但warp还经过半径标签筛选。筛出的非异常点是保留、剔除还是重采样，正文未充分说明。因此不能把所有模式的实际正例比例都写成50%。</w:t>
      </w:r>
    </w:p>
    <w:p>
      <w:pPr>
        <w:pStyle w:val="ReportBullet"/>
        <w:keepNext/>
        <w:numPr>
          <w:ilvl w:val="0"/>
          <w:numId w:val="51"/>
        </w:numPr>
        <w:snapToGrid w:val="0"/>
      </w:pPr>
      <w:r>
        <w:t>三模式不是作者对所有现实异常的完整分类。</w:t>
      </w:r>
    </w:p>
    <w:p>
      <w:pPr>
        <w:pStyle w:val="ReportBullet"/>
        <w:keepNext/>
        <w:numPr>
          <w:ilvl w:val="0"/>
          <w:numId w:val="51"/>
        </w:numPr>
        <w:snapToGrid w:val="0"/>
      </w:pPr>
      <w:r>
        <w:t>joint对③提供更直接证据，但仍是受控合成测试。</w:t>
      </w:r>
    </w:p>
    <w:p>
      <w:pPr>
        <w:pStyle w:val="ReportBullet"/>
        <w:numPr>
          <w:ilvl w:val="0"/>
          <w:numId w:val="51"/>
        </w:numPr>
        <w:snapToGrid w:val="0"/>
      </w:pPr>
      <w:r>
        <w:t>异常标签的定义与生成算法本身会影响检测器的名次。</w:t>
      </w:r>
    </w:p>
    <w:p>
      <w:pPr>
        <w:pStyle w:val="Heading2"/>
        <w:snapToGrid w:val="0"/>
      </w:pPr>
      <w:r>
        <w:t>10　Experiments §5.3–5.6：结果、调参与消融</w:t>
      </w:r>
    </w:p>
    <w:p>
      <w:pPr>
        <w:pStyle w:val="Heading3"/>
        <w:snapToGrid w:val="0"/>
      </w:pPr>
      <w:r>
        <w:t>A．实验总体设计</w:t>
      </w:r>
    </w:p>
    <w:p>
      <w:pPr>
        <w:snapToGrid w:val="0"/>
      </w:pPr>
      <w:r>
        <w:t>PMLB部分包含61个回归数据集，n=47–1066、d=10–124；每集80%／20%随机切分，三种copula模式分别评价，100次重复。只对gradient boosting选出的前10%预测变量造异常，其他变量保持不变。【论文：pp.16–18】</w:t>
      </w:r>
    </w:p>
    <w:p>
      <w:pPr>
        <w:snapToGrid w:val="0"/>
      </w:pPr>
      <w:r>
        <w:t>高维部分使用5组微阵列数据。经Cox-score筛选后d=475–881。作者用随机生存森林的OOB mortality预测作为连续伪响应，以便与回归基线比较；不是让所有回归基线直接拟合带删失的生存时间。【论文：pp.18–21】</w:t>
      </w:r>
    </w:p>
    <w:p>
      <w:pPr>
        <w:pStyle w:val="Heading3"/>
        <w:snapToGrid w:val="0"/>
      </w:pPr>
      <w:r>
        <w:t>B．关键评价概念与公式9</w:t>
      </w:r>
    </w:p>
    <w:p>
      <w:pPr>
        <w:pStyle w:val="EquationText"/>
        <w:jc w:val="center"/>
        <w:snapToGrid w:val="0"/>
      </w:pPr>
      <w:r/>
      <m:oMath>
        <m:r>
          <m:t>Precision=TP/(TP+FP),     Recall=TP/(TP+FN)</m:t>
        </m:r>
      </m:oMath>
    </w:p>
    <w:p>
      <w:pPr>
        <w:snapToGrid w:val="0"/>
      </w:pPr>
      <w:r>
        <w:t>TP是正确检测的异常，FP是正常被误报，FN是漏检异常。AUC-PR汇总不同阈值下的精确率—召回率曲线，越高越好。它不是单一阈值下的准确率。正例比例改变时，随机排序基线及AUC-PR含义也改变；论文未充分列出积分实现，不能自动把不同软件的Average Precision当作完全相同数值。</w:t>
      </w:r>
    </w:p>
    <w:p>
      <w:pPr>
        <w:snapToGrid w:val="0"/>
      </w:pPr>
      <w:r>
        <w:t>Critical Difference图显示平均排名，越低越好；横线连接组表示按相应检验未能拒绝差异，不代表已经证明性能完全相等。报告重点参考排序和原文判断，不从线条上读取未经报告的精确均值。</w:t>
      </w:r>
    </w:p>
    <w:p>
      <w:pPr>
        <w:pStyle w:val="Heading3"/>
        <w:snapToGrid w:val="0"/>
      </w:pPr>
      <w:r>
        <w:t>C．全基线比较的结果</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场景</w:t>
            </w:r>
          </w:p>
        </w:tc>
        <w:tc>
          <w:tcPr>
            <w:tcW w:type="dxa" w:w="3500"/>
            <w:vAlign w:val="center"/>
            <w:shd w:fill="E8EEF5"/>
          </w:tcPr>
          <w:p>
            <w:pPr>
              <w:pStyle w:val="TableText"/>
            </w:pPr>
            <w:r>
              <w:rPr>
                <w:b/>
                <w:color w:val="1F4D78"/>
              </w:rPr>
              <w:t>主要结果</w:t>
            </w:r>
          </w:p>
        </w:tc>
        <w:tc>
          <w:tcPr>
            <w:tcW w:type="dxa" w:w="3810"/>
            <w:vAlign w:val="center"/>
            <w:shd w:fill="E8EEF5"/>
          </w:tcPr>
          <w:p>
            <w:pPr>
              <w:pStyle w:val="TableText"/>
            </w:pPr>
            <w:r>
              <w:rPr>
                <w:b/>
                <w:color w:val="1F4D78"/>
              </w:rPr>
              <w:t>不能省略的反例</w:t>
            </w:r>
          </w:p>
        </w:tc>
      </w:tr>
      <w:tr>
        <w:trPr>
          <w:cantSplit/>
        </w:trPr>
        <w:tc>
          <w:tcPr>
            <w:tcW w:type="dxa" w:w="2050"/>
            <w:vAlign w:val="center"/>
          </w:tcPr>
          <w:p>
            <w:pPr>
              <w:pStyle w:val="TableText"/>
            </w:pPr>
            <w:r>
              <w:t>Friedman小位移</w:t>
            </w:r>
          </w:p>
        </w:tc>
        <w:tc>
          <w:tcPr>
            <w:tcW w:type="dxa" w:w="3500"/>
            <w:vAlign w:val="center"/>
          </w:tcPr>
          <w:p>
            <w:pPr>
              <w:pStyle w:val="TableText"/>
            </w:pPr>
            <w:r>
              <w:t>OutPro Product、Manhattan较强。</w:t>
            </w:r>
          </w:p>
        </w:tc>
        <w:tc>
          <w:tcPr>
            <w:tcW w:type="dxa" w:w="3810"/>
            <w:vAlign w:val="center"/>
          </w:tcPr>
          <w:p>
            <w:pPr>
              <w:pStyle w:val="TableText"/>
            </w:pPr>
            <w:r>
              <w:t>较大位移时GP、DKL、DkNN竞争力增加。</w:t>
            </w:r>
          </w:p>
        </w:tc>
      </w:tr>
      <w:tr>
        <w:trPr>
          <w:cantSplit/>
        </w:trPr>
        <w:tc>
          <w:tcPr>
            <w:tcW w:type="dxa" w:w="2050"/>
            <w:vAlign w:val="center"/>
          </w:tcPr>
          <w:p>
            <w:pPr>
              <w:pStyle w:val="TableText"/>
            </w:pPr>
            <w:r>
              <w:t>PMLB joint、support</w:t>
            </w:r>
          </w:p>
        </w:tc>
        <w:tc>
          <w:tcPr>
            <w:tcW w:type="dxa" w:w="3500"/>
            <w:vAlign w:val="center"/>
          </w:tcPr>
          <w:p>
            <w:pPr>
              <w:pStyle w:val="TableText"/>
            </w:pPr>
            <w:r>
              <w:t>OutPro系列名次领先。</w:t>
            </w:r>
          </w:p>
        </w:tc>
        <w:tc>
          <w:tcPr>
            <w:tcW w:type="dxa" w:w="3810"/>
            <w:vAlign w:val="center"/>
          </w:tcPr>
          <w:p>
            <w:pPr>
              <w:pStyle w:val="TableText"/>
            </w:pPr>
            <w:r>
              <w:t>这是本篇合成造异常方案下的结果，非现实故障检测率。</w:t>
            </w:r>
          </w:p>
        </w:tc>
      </w:tr>
      <w:tr>
        <w:trPr>
          <w:cantSplit/>
        </w:trPr>
        <w:tc>
          <w:tcPr>
            <w:tcW w:type="dxa" w:w="2050"/>
            <w:vAlign w:val="center"/>
          </w:tcPr>
          <w:p>
            <w:pPr>
              <w:pStyle w:val="TableText"/>
            </w:pPr>
            <w:r>
              <w:t>PMLB warp</w:t>
            </w:r>
          </w:p>
        </w:tc>
        <w:tc>
          <w:tcPr>
            <w:tcW w:type="dxa" w:w="3500"/>
            <w:vAlign w:val="center"/>
          </w:tcPr>
          <w:p>
            <w:pPr>
              <w:pStyle w:val="TableText"/>
            </w:pPr>
            <w:r>
              <w:t>传统OCSVM、Isolation Forest、LOF、Mahalanobis等领先。</w:t>
            </w:r>
          </w:p>
        </w:tc>
        <w:tc>
          <w:tcPr>
            <w:tcW w:type="dxa" w:w="3810"/>
            <w:vAlign w:val="center"/>
          </w:tcPr>
          <w:p>
            <w:pPr>
              <w:pStyle w:val="TableText"/>
            </w:pPr>
            <w:r>
              <w:t>OutPro并非普遍最优。</w:t>
            </w:r>
          </w:p>
        </w:tc>
      </w:tr>
      <w:tr>
        <w:trPr>
          <w:cantSplit/>
        </w:trPr>
        <w:tc>
          <w:tcPr>
            <w:tcW w:type="dxa" w:w="2050"/>
            <w:vAlign w:val="center"/>
          </w:tcPr>
          <w:p>
            <w:pPr>
              <w:pStyle w:val="TableText"/>
            </w:pPr>
            <w:r>
              <w:t>微阵列joint</w:t>
            </w:r>
          </w:p>
        </w:tc>
        <w:tc>
          <w:tcPr>
            <w:tcW w:type="dxa" w:w="3500"/>
            <w:vAlign w:val="center"/>
          </w:tcPr>
          <w:p>
            <w:pPr>
              <w:pStyle w:val="TableText"/>
            </w:pPr>
            <w:r>
              <w:t>OutPro系列整体较强。</w:t>
            </w:r>
          </w:p>
        </w:tc>
        <w:tc>
          <w:tcPr>
            <w:tcW w:type="dxa" w:w="3810"/>
            <w:vAlign w:val="center"/>
          </w:tcPr>
          <w:p>
            <w:pPr>
              <w:pStyle w:val="TableText"/>
            </w:pPr>
            <w:r>
              <w:t>更高维不自动意味着所有OutPro距离都稳定。</w:t>
            </w:r>
          </w:p>
        </w:tc>
      </w:tr>
      <w:tr>
        <w:trPr>
          <w:cantSplit/>
        </w:trPr>
        <w:tc>
          <w:tcPr>
            <w:tcW w:type="dxa" w:w="2050"/>
            <w:vAlign w:val="center"/>
          </w:tcPr>
          <w:p>
            <w:pPr>
              <w:pStyle w:val="TableText"/>
            </w:pPr>
            <w:r>
              <w:t>微阵列support</w:t>
            </w:r>
          </w:p>
        </w:tc>
        <w:tc>
          <w:tcPr>
            <w:tcW w:type="dxa" w:w="3500"/>
            <w:vAlign w:val="center"/>
          </w:tcPr>
          <w:p>
            <w:pPr>
              <w:pStyle w:val="TableText"/>
            </w:pPr>
            <w:r>
              <w:t>稳健kNN密度最优，多个OutPro距离接近前列。</w:t>
            </w:r>
          </w:p>
        </w:tc>
        <w:tc>
          <w:tcPr>
            <w:tcW w:type="dxa" w:w="3810"/>
            <w:vAlign w:val="center"/>
          </w:tcPr>
          <w:p>
            <w:pPr>
              <w:pStyle w:val="TableText"/>
            </w:pPr>
            <w:r>
              <w:t>Product较弱；加性或相关调整距离更稳健。</w:t>
            </w:r>
          </w:p>
        </w:tc>
      </w:tr>
      <w:tr>
        <w:trPr>
          <w:cantSplit/>
        </w:trPr>
        <w:tc>
          <w:tcPr>
            <w:tcW w:type="dxa" w:w="2050"/>
            <w:vAlign w:val="center"/>
          </w:tcPr>
          <w:p>
            <w:pPr>
              <w:pStyle w:val="TableText"/>
            </w:pPr>
            <w:r>
              <w:t>微阵列warp</w:t>
            </w:r>
          </w:p>
        </w:tc>
        <w:tc>
          <w:tcPr>
            <w:tcW w:type="dxa" w:w="3500"/>
            <w:vAlign w:val="center"/>
          </w:tcPr>
          <w:p>
            <w:pPr>
              <w:pStyle w:val="TableText"/>
            </w:pPr>
            <w:r>
              <w:t>Isolation Forest、稳健kNN密度、OCSVM等较强。</w:t>
            </w:r>
          </w:p>
        </w:tc>
        <w:tc>
          <w:tcPr>
            <w:tcW w:type="dxa" w:w="3810"/>
            <w:vAlign w:val="center"/>
          </w:tcPr>
          <w:p>
            <w:pPr>
              <w:pStyle w:val="TableText"/>
            </w:pPr>
            <w:r>
              <w:t>与PMLB一样，边际尾异常不一定需要监督森林。</w:t>
            </w:r>
          </w:p>
        </w:tc>
      </w:tr>
    </w:tbl>
    <w:p>
      <w:pPr>
        <w:spacing w:after="0"/>
        <w:snapToGrid w:val="0"/>
      </w:pPr>
    </w:p>
    <w:p>
      <w:pPr>
        <w:pStyle w:val="Heading3"/>
        <w:snapToGrid w:val="0"/>
      </w:pPr>
      <w:r>
        <w:t>D．参数敏感性：作者具体测试了多大范围？</w:t>
      </w:r>
    </w:p>
    <w:p>
      <w:pPr>
        <w:snapToGrid w:val="0"/>
      </w:pPr>
      <w:r>
        <w:t>默认K₀=min(n_train/10,5000)。在PMLB的support模式下测试K/K₀∈{0.5,1,1.5,2}；OPTICS还比较minPts=3、5、10。图8中较大K一般更好，提升相对温和。【论文：pp.19–22】</w:t>
      </w:r>
    </w:p>
    <w:p>
      <w:pPr>
        <w:snapToGrid w:val="0"/>
      </w:pPr>
      <w:r>
        <w:t>这只支持所测数据和范围内的稳定性，不是“任意K都不敏感”。例如Friedman训练集1600例时K₀=160；小数据n_train约38时K接近4，需要取整和边界处理。不能把K=5000当成所有数据集默认值。</w:t>
      </w:r>
    </w:p>
    <w:p>
      <w:pPr>
        <w:pStyle w:val="Heading3"/>
        <w:snapToGrid w:val="0"/>
      </w:pPr>
      <w:r>
        <w:t>E．组件消融：最值得带教追问的表5</w:t>
      </w:r>
    </w:p>
    <w:p>
      <w:pPr>
        <w:snapToGrid w:val="0"/>
      </w:pPr>
      <w:r>
        <w:t>所有消融统一使用Manhattan距离和同一K。表中数字是五个消融设置之间的平均AUC-PR名次，不是AUC-PR值。</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260"/>
        <w:gridCol w:w="1775"/>
        <w:gridCol w:w="1775"/>
        <w:gridCol w:w="1775"/>
        <w:gridCol w:w="1775"/>
      </w:tblGrid>
      <w:tr>
        <w:trPr>
          <w:cantSplit/>
          <w:tblHeader/>
        </w:trPr>
        <w:tc>
          <w:tcPr>
            <w:tcW w:type="dxa" w:w="2260"/>
            <w:vAlign w:val="center"/>
            <w:shd w:fill="E8EEF5"/>
          </w:tcPr>
          <w:p>
            <w:pPr>
              <w:pStyle w:val="TableText"/>
              <w:keepNext/>
            </w:pPr>
            <w:r>
              <w:rPr>
                <w:b/>
                <w:color w:val="1F4D78"/>
              </w:rPr>
              <w:t>设置</w:t>
            </w:r>
          </w:p>
        </w:tc>
        <w:tc>
          <w:tcPr>
            <w:tcW w:type="dxa" w:w="1775"/>
            <w:vAlign w:val="center"/>
            <w:shd w:fill="E8EEF5"/>
          </w:tcPr>
          <w:p>
            <w:pPr>
              <w:pStyle w:val="TableText"/>
              <w:keepNext/>
            </w:pPr>
            <w:r>
              <w:rPr>
                <w:b/>
                <w:color w:val="1F4D78"/>
              </w:rPr>
              <w:t>joint</w:t>
            </w:r>
          </w:p>
        </w:tc>
        <w:tc>
          <w:tcPr>
            <w:tcW w:type="dxa" w:w="1775"/>
            <w:vAlign w:val="center"/>
            <w:shd w:fill="E8EEF5"/>
          </w:tcPr>
          <w:p>
            <w:pPr>
              <w:pStyle w:val="TableText"/>
              <w:keepNext/>
            </w:pPr>
            <w:r>
              <w:rPr>
                <w:b/>
                <w:color w:val="1F4D78"/>
              </w:rPr>
              <w:t>support</w:t>
            </w:r>
          </w:p>
        </w:tc>
        <w:tc>
          <w:tcPr>
            <w:tcW w:type="dxa" w:w="1775"/>
            <w:vAlign w:val="center"/>
            <w:shd w:fill="E8EEF5"/>
          </w:tcPr>
          <w:p>
            <w:pPr>
              <w:pStyle w:val="TableText"/>
              <w:keepNext/>
            </w:pPr>
            <w:r>
              <w:rPr>
                <w:b/>
                <w:color w:val="1F4D78"/>
              </w:rPr>
              <w:t>warp</w:t>
            </w:r>
          </w:p>
        </w:tc>
        <w:tc>
          <w:tcPr>
            <w:tcW w:type="dxa" w:w="1775"/>
            <w:vAlign w:val="center"/>
            <w:shd w:fill="E8EEF5"/>
          </w:tcPr>
          <w:p>
            <w:pPr>
              <w:pStyle w:val="TableText"/>
              <w:keepNext/>
            </w:pPr>
            <w:r>
              <w:rPr>
                <w:b/>
                <w:color w:val="1F4D78"/>
              </w:rPr>
              <w:t>三模式平均名次</w:t>
            </w:r>
          </w:p>
        </w:tc>
      </w:tr>
      <w:tr>
        <w:trPr>
          <w:cantSplit/>
        </w:trPr>
        <w:tc>
          <w:tcPr>
            <w:tcW w:type="dxa" w:w="2260"/>
            <w:vAlign w:val="center"/>
          </w:tcPr>
          <w:p>
            <w:pPr>
              <w:pStyle w:val="TableText"/>
              <w:keepNext/>
            </w:pPr>
            <w:r>
              <w:t>Full OutPro</w:t>
            </w:r>
          </w:p>
        </w:tc>
        <w:tc>
          <w:tcPr>
            <w:tcW w:type="dxa" w:w="1775"/>
            <w:vAlign w:val="center"/>
          </w:tcPr>
          <w:p>
            <w:pPr>
              <w:pStyle w:val="TableText"/>
              <w:keepNext/>
            </w:pPr>
            <w:r>
              <w:t>2.88</w:t>
            </w:r>
          </w:p>
        </w:tc>
        <w:tc>
          <w:tcPr>
            <w:tcW w:type="dxa" w:w="1775"/>
            <w:vAlign w:val="center"/>
          </w:tcPr>
          <w:p>
            <w:pPr>
              <w:pStyle w:val="TableText"/>
              <w:keepNext/>
            </w:pPr>
            <w:r>
              <w:t>1.40</w:t>
            </w:r>
          </w:p>
        </w:tc>
        <w:tc>
          <w:tcPr>
            <w:tcW w:type="dxa" w:w="1775"/>
            <w:vAlign w:val="center"/>
          </w:tcPr>
          <w:p>
            <w:pPr>
              <w:pStyle w:val="TableText"/>
              <w:keepNext/>
            </w:pPr>
            <w:r>
              <w:t>1.23</w:t>
            </w:r>
          </w:p>
        </w:tc>
        <w:tc>
          <w:tcPr>
            <w:tcW w:type="dxa" w:w="1775"/>
            <w:vAlign w:val="center"/>
          </w:tcPr>
          <w:p>
            <w:pPr>
              <w:pStyle w:val="TableText"/>
              <w:keepNext/>
            </w:pPr>
            <w:r>
              <w:t>1.84</w:t>
            </w:r>
          </w:p>
        </w:tc>
      </w:tr>
      <w:tr>
        <w:trPr>
          <w:cantSplit/>
        </w:trPr>
        <w:tc>
          <w:tcPr>
            <w:tcW w:type="dxa" w:w="2260"/>
            <w:vAlign w:val="center"/>
          </w:tcPr>
          <w:p>
            <w:pPr>
              <w:pStyle w:val="TableText"/>
              <w:keepNext/>
            </w:pPr>
            <w:r>
              <w:t>去掉变量权重</w:t>
            </w:r>
          </w:p>
        </w:tc>
        <w:tc>
          <w:tcPr>
            <w:tcW w:type="dxa" w:w="1775"/>
            <w:vAlign w:val="center"/>
          </w:tcPr>
          <w:p>
            <w:pPr>
              <w:pStyle w:val="TableText"/>
              <w:keepNext/>
            </w:pPr>
            <w:r>
              <w:t>3.38</w:t>
            </w:r>
          </w:p>
        </w:tc>
        <w:tc>
          <w:tcPr>
            <w:tcW w:type="dxa" w:w="1775"/>
            <w:vAlign w:val="center"/>
          </w:tcPr>
          <w:p>
            <w:pPr>
              <w:pStyle w:val="TableText"/>
              <w:keepNext/>
            </w:pPr>
            <w:r>
              <w:t>3.42</w:t>
            </w:r>
          </w:p>
        </w:tc>
        <w:tc>
          <w:tcPr>
            <w:tcW w:type="dxa" w:w="1775"/>
            <w:vAlign w:val="center"/>
          </w:tcPr>
          <w:p>
            <w:pPr>
              <w:pStyle w:val="TableText"/>
              <w:keepNext/>
            </w:pPr>
            <w:r>
              <w:t>3.80</w:t>
            </w:r>
          </w:p>
        </w:tc>
        <w:tc>
          <w:tcPr>
            <w:tcW w:type="dxa" w:w="1775"/>
            <w:vAlign w:val="center"/>
          </w:tcPr>
          <w:p>
            <w:pPr>
              <w:pStyle w:val="TableText"/>
              <w:keepNext/>
            </w:pPr>
            <w:r>
              <w:t>3.53</w:t>
            </w:r>
          </w:p>
        </w:tc>
      </w:tr>
      <w:tr>
        <w:trPr>
          <w:cantSplit/>
        </w:trPr>
        <w:tc>
          <w:tcPr>
            <w:tcW w:type="dxa" w:w="2260"/>
            <w:vAlign w:val="center"/>
          </w:tcPr>
          <w:p>
            <w:pPr>
              <w:pStyle w:val="TableText"/>
              <w:keepNext/>
            </w:pPr>
            <w:r>
              <w:t>保留全部坐标</w:t>
            </w:r>
          </w:p>
        </w:tc>
        <w:tc>
          <w:tcPr>
            <w:tcW w:type="dxa" w:w="1775"/>
            <w:vAlign w:val="center"/>
          </w:tcPr>
          <w:p>
            <w:pPr>
              <w:pStyle w:val="TableText"/>
              <w:keepNext/>
            </w:pPr>
            <w:r>
              <w:t>2.91</w:t>
            </w:r>
          </w:p>
        </w:tc>
        <w:tc>
          <w:tcPr>
            <w:tcW w:type="dxa" w:w="1775"/>
            <w:vAlign w:val="center"/>
          </w:tcPr>
          <w:p>
            <w:pPr>
              <w:pStyle w:val="TableText"/>
              <w:keepNext/>
            </w:pPr>
            <w:r>
              <w:t>2.94</w:t>
            </w:r>
          </w:p>
        </w:tc>
        <w:tc>
          <w:tcPr>
            <w:tcW w:type="dxa" w:w="1775"/>
            <w:vAlign w:val="center"/>
          </w:tcPr>
          <w:p>
            <w:pPr>
              <w:pStyle w:val="TableText"/>
              <w:keepNext/>
            </w:pPr>
            <w:r>
              <w:t>3.89</w:t>
            </w:r>
          </w:p>
        </w:tc>
        <w:tc>
          <w:tcPr>
            <w:tcW w:type="dxa" w:w="1775"/>
            <w:vAlign w:val="center"/>
          </w:tcPr>
          <w:p>
            <w:pPr>
              <w:pStyle w:val="TableText"/>
              <w:keepNext/>
            </w:pPr>
            <w:r>
              <w:t>3.25</w:t>
            </w:r>
          </w:p>
        </w:tc>
      </w:tr>
      <w:tr>
        <w:trPr>
          <w:cantSplit/>
        </w:trPr>
        <w:tc>
          <w:tcPr>
            <w:tcW w:type="dxa" w:w="2260"/>
            <w:vAlign w:val="center"/>
          </w:tcPr>
          <w:p>
            <w:pPr>
              <w:pStyle w:val="TableText"/>
              <w:keepNext/>
            </w:pPr>
            <w:r>
              <w:t>子空间普通KNN</w:t>
            </w:r>
          </w:p>
        </w:tc>
        <w:tc>
          <w:tcPr>
            <w:tcW w:type="dxa" w:w="1775"/>
            <w:vAlign w:val="center"/>
          </w:tcPr>
          <w:p>
            <w:pPr>
              <w:pStyle w:val="TableText"/>
              <w:keepNext/>
            </w:pPr>
            <w:r>
              <w:t>1.47</w:t>
            </w:r>
          </w:p>
        </w:tc>
        <w:tc>
          <w:tcPr>
            <w:tcW w:type="dxa" w:w="1775"/>
            <w:vAlign w:val="center"/>
          </w:tcPr>
          <w:p>
            <w:pPr>
              <w:pStyle w:val="TableText"/>
              <w:keepNext/>
            </w:pPr>
            <w:r>
              <w:t>2.82</w:t>
            </w:r>
          </w:p>
        </w:tc>
        <w:tc>
          <w:tcPr>
            <w:tcW w:type="dxa" w:w="1775"/>
            <w:vAlign w:val="center"/>
          </w:tcPr>
          <w:p>
            <w:pPr>
              <w:pStyle w:val="TableText"/>
              <w:keepNext/>
            </w:pPr>
            <w:r>
              <w:t>2.30</w:t>
            </w:r>
          </w:p>
        </w:tc>
        <w:tc>
          <w:tcPr>
            <w:tcW w:type="dxa" w:w="1775"/>
            <w:vAlign w:val="center"/>
          </w:tcPr>
          <w:p>
            <w:pPr>
              <w:pStyle w:val="TableText"/>
              <w:keepNext/>
            </w:pPr>
            <w:r>
              <w:t>2.33</w:t>
            </w:r>
          </w:p>
        </w:tc>
      </w:tr>
      <w:tr>
        <w:trPr>
          <w:cantSplit/>
        </w:trPr>
        <w:tc>
          <w:tcPr>
            <w:tcW w:type="dxa" w:w="2260"/>
            <w:vAlign w:val="center"/>
          </w:tcPr>
          <w:p>
            <w:pPr>
              <w:pStyle w:val="TableText"/>
            </w:pPr>
            <w:r>
              <w:t>全空间普通KNN</w:t>
            </w:r>
          </w:p>
        </w:tc>
        <w:tc>
          <w:tcPr>
            <w:tcW w:type="dxa" w:w="1775"/>
            <w:vAlign w:val="center"/>
          </w:tcPr>
          <w:p>
            <w:pPr>
              <w:pStyle w:val="TableText"/>
            </w:pPr>
            <w:r>
              <w:t>4.37</w:t>
            </w:r>
          </w:p>
        </w:tc>
        <w:tc>
          <w:tcPr>
            <w:tcW w:type="dxa" w:w="1775"/>
            <w:vAlign w:val="center"/>
          </w:tcPr>
          <w:p>
            <w:pPr>
              <w:pStyle w:val="TableText"/>
            </w:pPr>
            <w:r>
              <w:t>4.42</w:t>
            </w:r>
          </w:p>
        </w:tc>
        <w:tc>
          <w:tcPr>
            <w:tcW w:type="dxa" w:w="1775"/>
            <w:vAlign w:val="center"/>
          </w:tcPr>
          <w:p>
            <w:pPr>
              <w:pStyle w:val="TableText"/>
            </w:pPr>
            <w:r>
              <w:t>3.78</w:t>
            </w:r>
          </w:p>
        </w:tc>
        <w:tc>
          <w:tcPr>
            <w:tcW w:type="dxa" w:w="1775"/>
            <w:vAlign w:val="center"/>
          </w:tcPr>
          <w:p>
            <w:pPr>
              <w:pStyle w:val="TableText"/>
            </w:pPr>
            <w:r>
              <w:t>4.19</w:t>
            </w:r>
          </w:p>
        </w:tc>
      </w:tr>
    </w:tbl>
    <w:p>
      <w:pPr>
        <w:spacing w:after="0"/>
        <w:snapToGrid w:val="0"/>
      </w:pPr>
    </w:p>
    <w:p>
      <w:pPr>
        <w:snapToGrid w:val="0"/>
      </w:pPr>
      <w:r>
        <w:t>完整方法平均最好，删除权重或子空间通常变差。但joint下子空间KNN的1.47优于完整方法2.88。因此，不能说“关系变化的优势已被证明来自森林邻域”；变量筛选／加权本身可能贡献很大，邻域的增益依赖移位类型。</w:t>
      </w:r>
    </w:p>
    <w:p>
      <w:pPr>
        <w:snapToGrid w:val="0"/>
      </w:pPr>
      <w:r>
        <w:t>Full OutPro在本消融warp列较好，与全方法对照中传统检测器在warp较好并不矛盾：两张图表比较的候选集合不同，不能横向混用名次。</w:t>
      </w:r>
    </w:p>
    <w:p>
      <w:pPr>
        <w:pStyle w:val="Heading3"/>
        <w:snapToGrid w:val="0"/>
      </w:pPr>
      <w:r>
        <w:t>F．有效性与复现审查</w:t>
      </w:r>
    </w:p>
    <w:p>
      <w:pPr>
        <w:snapToGrid w:val="0"/>
      </w:pPr>
      <w:r>
        <w:t>基准选出的预测变量用于造异常，与方法强调预测相关变化的目标一致，但也限定了结论范围；还应增加无关变量变化作为对照。微阵列的Cox筛选、OOB伪响应和最终切分的嵌套顺序没有充分交代，必须确认这些步骤只在每轮训练部分拟合，避免信息泄漏。OOB不等于对最终外部测试集绝对独立。</w:t>
      </w:r>
    </w:p>
    <w:p>
      <w:pPr>
        <w:pStyle w:val="ReportBullet"/>
        <w:keepNext/>
        <w:numPr>
          <w:ilvl w:val="0"/>
          <w:numId w:val="51"/>
        </w:numPr>
        <w:snapToGrid w:val="0"/>
      </w:pPr>
      <w:r>
        <w:t>本篇有直接检测评价，比上一篇更贴近检测列表字段。</w:t>
      </w:r>
    </w:p>
    <w:p>
      <w:pPr>
        <w:pStyle w:val="ReportBullet"/>
        <w:keepNext/>
        <w:numPr>
          <w:ilvl w:val="0"/>
          <w:numId w:val="51"/>
        </w:numPr>
        <w:snapToGrid w:val="0"/>
      </w:pPr>
      <w:r>
        <w:t>性能随移位形态而变，不能选一列宣布全面优越。</w:t>
      </w:r>
    </w:p>
    <w:p>
      <w:pPr>
        <w:pStyle w:val="ReportBullet"/>
        <w:numPr>
          <w:ilvl w:val="0"/>
          <w:numId w:val="51"/>
        </w:numPr>
        <w:snapToGrid w:val="0"/>
      </w:pPr>
      <w:r>
        <w:t>方法排名不等于固定误报率下的检测率，更不等于预测误差风险保证。</w:t>
      </w:r>
    </w:p>
    <w:p>
      <w:pPr>
        <w:pStyle w:val="Heading2"/>
        <w:snapToGrid w:val="0"/>
      </w:pPr>
      <w:r>
        <w:t>11　WECC案例：生存分析怎样使用OOD分数？</w:t>
      </w:r>
    </w:p>
    <w:p>
      <w:pPr>
        <w:pStyle w:val="Heading3"/>
        <w:snapToGrid w:val="0"/>
      </w:pPr>
      <w:r>
        <w:t>A．这一节在讲什么？</w:t>
      </w:r>
    </w:p>
    <w:p>
      <w:pPr>
        <w:snapToGrid w:val="0"/>
      </w:pPr>
      <w:r>
        <w:t>作者使用6142例食管腺癌患者、35项变量，研究不同淋巴结切除条件下，特定患者群体相对于参考训练群体的OOD程度。输入包括病理分期、切除及阳性淋巴结数、组织分级、肿瘤位置与长度、残留癌状态、人口学信息等。【论文：§6，pp.23–24】</w:t>
      </w:r>
    </w:p>
    <w:p>
      <w:pPr>
        <w:pStyle w:val="Heading3"/>
        <w:snapToGrid w:val="0"/>
      </w:pPr>
      <w:r>
        <w:t>B．关键概念</w:t>
      </w:r>
    </w:p>
    <w:p>
      <w:pPr>
        <w:snapToGrid w:val="0"/>
      </w:pPr>
      <w:r>
        <w:t>生存数据包含观察时间T_obs=min(T_event,T_censor)和事件指示Δ。右删失表示截止随访时只知道事件时间大于观察时间，不能把Δ=0当作“永远不发生事件”。RSF可以利用这类标签。五年生存概率是输出目标之一，不是五年长度的输入传感器窗口。</w:t>
      </w:r>
    </w:p>
    <w:p>
      <w:pPr>
        <w:snapToGrid w:val="0"/>
      </w:pPr>
      <w:r>
        <w:t>OOB预测使用某个样本未参与建树的那些树，有助于内部评估；它不能把观察性关联转变为因果结论。</w:t>
      </w:r>
    </w:p>
    <w:p>
      <w:pPr>
        <w:pStyle w:val="Heading3"/>
        <w:snapToGrid w:val="0"/>
      </w:pPr>
      <w:r>
        <w:t>C．作者怎样划分训练／测试？</w:t>
      </w:r>
    </w:p>
    <w:p>
      <w:pPr>
        <w:snapToGrid w:val="0"/>
      </w:pPr>
      <w:r>
        <w:t>切除数量阈值从0到30，共31个情景。每个情景把“pT3–4、淋巴结阳性、切除数达到阈值”的患者作测试，其余为训练。阈值变化时训练和测试群体都变化；不是同一个患者只改一个输入变量、模型与参考集完全固定的干预实验。</w:t>
      </w:r>
    </w:p>
    <w:p>
      <w:pPr>
        <w:snapToGrid w:val="0"/>
      </w:pPr>
      <w:r>
        <w:t>再按阳性淋巴结1–2、3–6、≥7分层，画测试群平均OOD百分位。作者报告随切除阈值增加总体下降，并用90／95百分位作参考；例如正文将95参考线下的切除数描述为低阳性组约3、≥7组约30。这些是本案例的群体曲线读数，不是OutPro检测正确率，也不是本报告给出的手术建议。</w:t>
      </w:r>
    </w:p>
    <w:p>
      <w:pPr>
        <w:pStyle w:val="Heading3"/>
        <w:snapToGrid w:val="0"/>
      </w:pPr>
      <w:r>
        <w:t>D．为什么不能把这个案例当成因果证据？</w:t>
      </w:r>
    </w:p>
    <w:p>
      <w:pPr>
        <w:snapToGrid w:val="0"/>
      </w:pPr>
      <w:r>
        <w:t>病例选择、疾病严重程度、治疗选择及参考群体同时变化，都可能影响曲线。较低OOD只是与相应训练群体更接近，不证明治疗更安全或效果更好。平均分位低于95也不代表每个个体都不是OOD。Fig.9局部还存在非单调变化，应把“下降趋势”与“严格单调规律”区分。</w:t>
      </w:r>
    </w:p>
    <w:p>
      <w:pPr>
        <w:pStyle w:val="Heading3"/>
        <w:snapToGrid w:val="0"/>
      </w:pPr>
      <w:r>
        <w:t>E．本节真正重要的结论</w:t>
      </w:r>
    </w:p>
    <w:p>
      <w:pPr>
        <w:pStyle w:val="ReportBullet"/>
        <w:keepNext/>
        <w:numPr>
          <w:ilvl w:val="0"/>
          <w:numId w:val="51"/>
        </w:numPr>
        <w:snapToGrid w:val="0"/>
      </w:pPr>
      <w:r>
        <w:t>案例展示了任务相关参考群体的解释方式，没有提供真实异常金标准。</w:t>
      </w:r>
    </w:p>
    <w:p>
      <w:pPr>
        <w:pStyle w:val="ReportBullet"/>
        <w:keepNext/>
        <w:numPr>
          <w:ilvl w:val="0"/>
          <w:numId w:val="51"/>
        </w:numPr>
        <w:snapToGrid w:val="0"/>
      </w:pPr>
      <w:r>
        <w:t>生存时间、删失标签和时序输入是不同概念。</w:t>
      </w:r>
    </w:p>
    <w:p>
      <w:pPr>
        <w:pStyle w:val="ReportBullet"/>
        <w:numPr>
          <w:ilvl w:val="0"/>
          <w:numId w:val="51"/>
        </w:numPr>
        <w:snapToGrid w:val="0"/>
      </w:pPr>
      <w:r>
        <w:t>对社会基础设施可借鉴“按工况分群比较”，不能直接迁移医学阈值。</w:t>
      </w:r>
    </w:p>
    <w:p>
      <w:pPr>
        <w:pStyle w:val="Heading2"/>
        <w:snapToGrid w:val="0"/>
      </w:pPr>
      <w:r>
        <w:t>12　Summary and limitations：理论边界与代码核对</w:t>
      </w:r>
    </w:p>
    <w:p>
      <w:pPr>
        <w:pStyle w:val="Heading3"/>
        <w:snapToGrid w:val="0"/>
      </w:pPr>
      <w:r>
        <w:t>A．作者自己承认的限制</w:t>
      </w:r>
    </w:p>
    <w:p>
      <w:pPr>
        <w:snapToGrid w:val="0"/>
      </w:pPr>
      <w:r>
        <w:t>没有单一检测器或距离在全部场景最优；预测子空间估计会出错；合成copula不覆盖现实全部变化；纯概念变化无法仅凭输入发现。运行时间被描述为研究中最大规模也明显低于30秒，但未给出可直接迁移到工业设备的单点最坏延迟保证。【论文：§7，pp.24–26】</w:t>
      </w:r>
    </w:p>
    <w:p>
      <w:pPr>
        <w:pStyle w:val="Heading3"/>
        <w:snapToGrid w:val="0"/>
      </w:pPr>
      <w:r>
        <w:t>B．代码与正文：本次查到了什么？</w:t>
      </w:r>
    </w:p>
    <w:p>
      <w:pPr>
        <w:snapToGrid w:val="0"/>
      </w:pPr>
      <w:r>
        <w:t>核对作者仓库提交fe2f5064b8f3973c62a3cb5a3d3143c342ed2640，并对照CRAN镜像提交34a2d31338d70ee0359719c04f0effe087ac0f2c。两者均标记varPro 3.2.0。网站旧版文档标记3.1.0，不能只记包名而不记版本。【C1–C4】</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项目</w:t>
            </w:r>
          </w:p>
        </w:tc>
        <w:tc>
          <w:tcPr>
            <w:tcW w:type="dxa" w:w="3500"/>
            <w:vAlign w:val="center"/>
            <w:shd w:fill="E8EEF5"/>
          </w:tcPr>
          <w:p>
            <w:pPr>
              <w:pStyle w:val="TableText"/>
            </w:pPr>
            <w:r>
              <w:rPr>
                <w:b/>
                <w:color w:val="1F4D78"/>
              </w:rPr>
              <w:t>当前可见实现</w:t>
            </w:r>
          </w:p>
        </w:tc>
        <w:tc>
          <w:tcPr>
            <w:tcW w:type="dxa" w:w="3810"/>
            <w:vAlign w:val="center"/>
            <w:shd w:fill="E8EEF5"/>
          </w:tcPr>
          <w:p>
            <w:pPr>
              <w:pStyle w:val="TableText"/>
            </w:pPr>
            <w:r>
              <w:rPr>
                <w:b/>
                <w:color w:val="1F4D78"/>
              </w:rPr>
              <w:t>研究影响</w:t>
            </w:r>
          </w:p>
        </w:tc>
      </w:tr>
      <w:tr>
        <w:trPr>
          <w:cantSplit/>
        </w:trPr>
        <w:tc>
          <w:tcPr>
            <w:tcW w:type="dxa" w:w="2050"/>
            <w:vAlign w:val="center"/>
          </w:tcPr>
          <w:p>
            <w:pPr>
              <w:pStyle w:val="TableText"/>
            </w:pPr>
            <w:r>
              <w:t>默认邻域</w:t>
            </w:r>
          </w:p>
        </w:tc>
        <w:tc>
          <w:tcPr>
            <w:tcW w:type="dxa" w:w="3500"/>
            <w:vAlign w:val="center"/>
          </w:tcPr>
          <w:p>
            <w:pPr>
              <w:pStyle w:val="TableText"/>
            </w:pPr>
            <w:r>
              <w:t>outpro的distancef默认knn，用选定子空间中的普通加权Manhattan近邻；不调用森林邻域函数。</w:t>
            </w:r>
          </w:p>
        </w:tc>
        <w:tc>
          <w:tcPr>
            <w:tcW w:type="dxa" w:w="3810"/>
            <w:vAlign w:val="center"/>
          </w:tcPr>
          <w:p>
            <w:pPr>
              <w:pStyle w:val="TableText"/>
            </w:pPr>
            <w:r>
              <w:t>仅默认调用并不等于复现Algorithm 1。旧版网站默认prod，文档版本也须固定。</w:t>
            </w:r>
          </w:p>
        </w:tc>
      </w:tr>
      <w:tr>
        <w:trPr>
          <w:cantSplit/>
        </w:trPr>
        <w:tc>
          <w:tcPr>
            <w:tcW w:type="dxa" w:w="2050"/>
            <w:vAlign w:val="center"/>
          </w:tcPr>
          <w:p>
            <w:pPr>
              <w:pStyle w:val="TableText"/>
            </w:pPr>
            <w:r>
              <w:t>森林分支</w:t>
            </w:r>
          </w:p>
        </w:tc>
        <w:tc>
          <w:tcPr>
            <w:tcW w:type="dxa" w:w="3500"/>
            <w:vAlign w:val="center"/>
          </w:tcPr>
          <w:p>
            <w:pPr>
              <w:pStyle w:val="TableText"/>
            </w:pPr>
            <w:r>
              <w:t>manhattan、euclidean、prod等非knn分支调用varpro.strength。</w:t>
            </w:r>
          </w:p>
        </w:tc>
        <w:tc>
          <w:tcPr>
            <w:tcW w:type="dxa" w:w="3810"/>
            <w:vAlign w:val="center"/>
          </w:tcPr>
          <w:p>
            <w:pPr>
              <w:pStyle w:val="TableText"/>
            </w:pPr>
            <w:r>
              <w:t>复现核心森林邻域应显式指定距离，而不是依赖默认值。底层全部计数实现本次未逐行验证。</w:t>
            </w:r>
          </w:p>
        </w:tc>
      </w:tr>
      <w:tr>
        <w:trPr>
          <w:cantSplit/>
        </w:trPr>
        <w:tc>
          <w:tcPr>
            <w:tcW w:type="dxa" w:w="2050"/>
            <w:vAlign w:val="center"/>
          </w:tcPr>
          <w:p>
            <w:pPr>
              <w:pStyle w:val="TableText"/>
            </w:pPr>
            <w:r>
              <w:t>变量选择</w:t>
            </w:r>
          </w:p>
        </w:tc>
        <w:tc>
          <w:tcPr>
            <w:tcW w:type="dxa" w:w="3500"/>
            <w:vAlign w:val="center"/>
          </w:tcPr>
          <w:p>
            <w:pPr>
              <w:pStyle w:val="TableText"/>
            </w:pPr>
            <w:r>
              <w:t>reduce=TRUE时按VarPro z阈值筛选；维度≤250默认0.79，更高维默认0；通过≤1项时回退。</w:t>
            </w:r>
          </w:p>
        </w:tc>
        <w:tc>
          <w:tcPr>
            <w:tcW w:type="dxa" w:w="3810"/>
            <w:vAlign w:val="center"/>
          </w:tcPr>
          <w:p>
            <w:pPr>
              <w:pStyle w:val="TableText"/>
            </w:pPr>
            <w:r>
              <w:t>0.79是选变量的门槛，不是OOD报警阈值。</w:t>
            </w:r>
          </w:p>
        </w:tc>
      </w:tr>
      <w:tr>
        <w:trPr>
          <w:cantSplit/>
        </w:trPr>
        <w:tc>
          <w:tcPr>
            <w:tcW w:type="dxa" w:w="2050"/>
            <w:vAlign w:val="center"/>
          </w:tcPr>
          <w:p>
            <w:pPr>
              <w:pStyle w:val="TableText"/>
            </w:pPr>
            <w:r>
              <w:t>权重</w:t>
            </w:r>
          </w:p>
        </w:tc>
        <w:tc>
          <w:tcPr>
            <w:tcW w:type="dxa" w:w="3500"/>
            <w:vAlign w:val="center"/>
          </w:tcPr>
          <w:p>
            <w:pPr>
              <w:pStyle w:val="TableText"/>
            </w:pPr>
            <w:r>
              <w:t>优先级先按最大值缩放并平方，距离函数默认再归一化为和1。</w:t>
            </w:r>
          </w:p>
        </w:tc>
        <w:tc>
          <w:tcPr>
            <w:tcW w:type="dxa" w:w="3810"/>
            <w:vAlign w:val="center"/>
          </w:tcPr>
          <w:p>
            <w:pPr>
              <w:pStyle w:val="TableText"/>
            </w:pPr>
            <w:r>
              <w:t>不是原始优先级数值直接相乘；复现须记录最终weights.used。</w:t>
            </w:r>
          </w:p>
        </w:tc>
      </w:tr>
      <w:tr>
        <w:trPr>
          <w:cantSplit/>
        </w:trPr>
        <w:tc>
          <w:tcPr>
            <w:tcW w:type="dxa" w:w="2050"/>
            <w:vAlign w:val="center"/>
          </w:tcPr>
          <w:p>
            <w:pPr>
              <w:pStyle w:val="TableText"/>
            </w:pPr>
            <w:r>
              <w:t>Mahalanobis</w:t>
            </w:r>
          </w:p>
        </w:tc>
        <w:tc>
          <w:tcPr>
            <w:tcW w:type="dxa" w:w="3500"/>
            <w:vAlign w:val="center"/>
          </w:tcPr>
          <w:p>
            <w:pPr>
              <w:pStyle w:val="TableText"/>
            </w:pPr>
            <w:r>
              <w:t>使用绝对差、还按权重缩放，并给协方差加极小ridge。</w:t>
            </w:r>
          </w:p>
        </w:tc>
        <w:tc>
          <w:tcPr>
            <w:tcW w:type="dxa" w:w="3810"/>
            <w:vAlign w:val="center"/>
          </w:tcPr>
          <w:p>
            <w:pPr>
              <w:pStyle w:val="TableText"/>
            </w:pPr>
            <w:r>
              <w:t>与表1有符号差、无权重的标准Mahalanobis不同，特别影响相关性分析。</w:t>
            </w:r>
          </w:p>
        </w:tc>
      </w:tr>
      <w:tr>
        <w:trPr>
          <w:cantSplit/>
        </w:trPr>
        <w:tc>
          <w:tcPr>
            <w:tcW w:type="dxa" w:w="2050"/>
            <w:vAlign w:val="center"/>
          </w:tcPr>
          <w:p>
            <w:pPr>
              <w:pStyle w:val="TableText"/>
            </w:pPr>
            <w:r>
              <w:t>OPTICS</w:t>
            </w:r>
          </w:p>
        </w:tc>
        <w:tc>
          <w:tcPr>
            <w:tcW w:type="dxa" w:w="3500"/>
            <w:vAlign w:val="center"/>
          </w:tcPr>
          <w:p>
            <w:pPr>
              <w:pStyle w:val="TableText"/>
            </w:pPr>
            <w:r>
              <w:t>论文包含此选项；当前outpro可选列表未包含optics，另含kernel与knn。</w:t>
            </w:r>
          </w:p>
        </w:tc>
        <w:tc>
          <w:tcPr>
            <w:tcW w:type="dxa" w:w="3810"/>
            <w:vAlign w:val="center"/>
          </w:tcPr>
          <w:p>
            <w:pPr>
              <w:pStyle w:val="TableText"/>
            </w:pPr>
            <w:r>
              <w:t>不能承诺当前包一条调用重现论文全部距离。</w:t>
            </w:r>
          </w:p>
        </w:tc>
      </w:tr>
      <w:tr>
        <w:trPr>
          <w:cantSplit/>
        </w:trPr>
        <w:tc>
          <w:tcPr>
            <w:tcW w:type="dxa" w:w="2050"/>
            <w:vAlign w:val="center"/>
          </w:tcPr>
          <w:p>
            <w:pPr>
              <w:pStyle w:val="TableText"/>
            </w:pPr>
            <w:r>
              <w:t>零方差变量</w:t>
            </w:r>
          </w:p>
        </w:tc>
        <w:tc>
          <w:tcPr>
            <w:tcW w:type="dxa" w:w="3500"/>
            <w:vAlign w:val="center"/>
          </w:tcPr>
          <w:p>
            <w:pPr>
              <w:pStyle w:val="TableText"/>
            </w:pPr>
            <w:r>
              <w:t>自动从最终距离中剔除。</w:t>
            </w:r>
          </w:p>
        </w:tc>
        <w:tc>
          <w:tcPr>
            <w:tcW w:type="dxa" w:w="3810"/>
            <w:vAlign w:val="center"/>
          </w:tcPr>
          <w:p>
            <w:pPr>
              <w:pStyle w:val="TableText"/>
            </w:pPr>
            <w:r>
              <w:t>训练恒定的传感器部署时变化，可能被距离忽略；应另设恒定项／范围监测。</w:t>
            </w:r>
          </w:p>
        </w:tc>
      </w:tr>
      <w:tr>
        <w:trPr>
          <w:cantSplit/>
        </w:trPr>
        <w:tc>
          <w:tcPr>
            <w:tcW w:type="dxa" w:w="2050"/>
            <w:vAlign w:val="center"/>
          </w:tcPr>
          <w:p>
            <w:pPr>
              <w:pStyle w:val="TableText"/>
            </w:pPr>
            <w:r>
              <w:t>参考分位</w:t>
            </w:r>
          </w:p>
        </w:tc>
        <w:tc>
          <w:tcPr>
            <w:tcW w:type="dxa" w:w="3500"/>
            <w:vAlign w:val="center"/>
          </w:tcPr>
          <w:p>
            <w:pPr>
              <w:pStyle w:val="TableText"/>
            </w:pPr>
            <w:r>
              <w:t>outpro.null在参考距离上构建经验CDF；可传独立nulldata。</w:t>
            </w:r>
          </w:p>
        </w:tc>
        <w:tc>
          <w:tcPr>
            <w:tcW w:type="dxa" w:w="3810"/>
            <w:vAlign w:val="center"/>
          </w:tcPr>
          <w:p>
            <w:pPr>
              <w:pStyle w:val="TableText"/>
            </w:pPr>
            <w:r>
              <w:t>这是经验校准功能，不是已证明的conformal检测保证。</w:t>
            </w:r>
          </w:p>
        </w:tc>
      </w:tr>
    </w:tbl>
    <w:p>
      <w:pPr>
        <w:spacing w:after="0"/>
        <w:snapToGrid w:val="0"/>
      </w:pPr>
    </w:p>
    <w:p>
      <w:pPr>
        <w:pStyle w:val="Heading3"/>
        <w:snapToGrid w:val="0"/>
      </w:pPr>
      <w:r>
        <w:t>C．Mahalanobis差异的二维演算</w:t>
      </w:r>
    </w:p>
    <w:p>
      <w:pPr>
        <w:snapToGrid w:val="0"/>
      </w:pPr>
      <w:r>
        <w:t>【推导】令Σ=[[1,0.9],[0.9,1]]。标准Mahalanobis对差向量v=(1,−1)给出d²=20；对|v|=(1,1)给出d²≈1.0526。两者差异来自正相关结构下“反向变化”和“同向变化”的不同稀有程度。当前代码先取绝对值，不能把其数值直接当作表1的标准距离；代码中进一步加权还会改变尺度。</w:t>
      </w:r>
    </w:p>
    <w:p>
      <w:pPr>
        <w:snapToGrid w:val="0"/>
      </w:pPr>
      <w:r>
        <w:t>这一点要求复现时对照数学式和实现，而不是断言论文所有结果无效。完整实验脚本、种子及图表生成版本未在本次检查中定位到，尚不能确认论文各图使用哪个实现版本。</w:t>
      </w:r>
    </w:p>
    <w:p>
      <w:pPr>
        <w:pStyle w:val="Heading3"/>
        <w:snapToGrid w:val="0"/>
      </w:pPr>
      <w:r>
        <w:t>D．本节真正重要的结论</w:t>
      </w:r>
    </w:p>
    <w:p>
      <w:pPr>
        <w:pStyle w:val="ReportBullet"/>
        <w:keepNext/>
        <w:numPr>
          <w:ilvl w:val="0"/>
          <w:numId w:val="51"/>
        </w:numPr>
        <w:snapToGrid w:val="0"/>
      </w:pPr>
      <w:r>
        <w:t>OutPro是值得复现的候选，但要固定软件版本及距离分支。</w:t>
      </w:r>
    </w:p>
    <w:p>
      <w:pPr>
        <w:pStyle w:val="ReportBullet"/>
        <w:keepNext/>
        <w:numPr>
          <w:ilvl w:val="0"/>
          <w:numId w:val="51"/>
        </w:numPr>
        <w:snapToGrid w:val="0"/>
      </w:pPr>
      <w:r>
        <w:t>代码可用性与论文实验可完全复现是两个层次。</w:t>
      </w:r>
    </w:p>
    <w:p>
      <w:pPr>
        <w:pStyle w:val="ReportBullet"/>
        <w:numPr>
          <w:ilvl w:val="0"/>
          <w:numId w:val="51"/>
        </w:numPr>
        <w:snapToGrid w:val="0"/>
      </w:pPr>
      <w:r>
        <w:t>纯输入无法看见的变化、变量选择遗漏和校准不足，都需要其他监测信号补充。</w:t>
      </w:r>
    </w:p>
    <w:p>
      <w:pPr>
        <w:pStyle w:val="Heading1"/>
        <w:pageBreakBefore/>
        <w:snapToGrid w:val="0"/>
      </w:pPr>
      <w:r>
        <w:t>第二部分　日本語研究報告</w:t>
      </w:r>
    </w:p>
    <w:p>
      <w:pPr>
        <w:pStyle w:val="Heading2"/>
        <w:snapToGrid w:val="0"/>
      </w:pPr>
      <w:r>
        <w:t>1　文献情報と研究上の位置付け</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内容</w:t>
            </w:r>
          </w:p>
        </w:tc>
      </w:tr>
      <w:tr>
        <w:trPr>
          <w:cantSplit/>
        </w:trPr>
        <w:tc>
          <w:tcPr>
            <w:tcW w:type="dxa" w:w="2400"/>
            <w:vAlign w:val="center"/>
          </w:tcPr>
          <w:p>
            <w:pPr>
              <w:pStyle w:val="TableText"/>
            </w:pPr>
            <w:r>
              <w:t>論文名</w:t>
            </w:r>
          </w:p>
        </w:tc>
        <w:tc>
          <w:tcPr>
            <w:tcW w:type="dxa" w:w="6960"/>
            <w:vAlign w:val="center"/>
          </w:tcPr>
          <w:p>
            <w:pPr>
              <w:pStyle w:val="TableText"/>
            </w:pPr>
            <w:r>
              <w:t>General OOD detection via model-aware and subspace-aware variable priority</w:t>
            </w:r>
          </w:p>
        </w:tc>
      </w:tr>
      <w:tr>
        <w:trPr>
          <w:cantSplit/>
        </w:trPr>
        <w:tc>
          <w:tcPr>
            <w:tcW w:type="dxa" w:w="2400"/>
            <w:vAlign w:val="center"/>
          </w:tcPr>
          <w:p>
            <w:pPr>
              <w:pStyle w:val="TableText"/>
            </w:pPr>
            <w:r>
              <w:t>著者</w:t>
            </w:r>
          </w:p>
        </w:tc>
        <w:tc>
          <w:tcPr>
            <w:tcW w:type="dxa" w:w="6960"/>
            <w:vAlign w:val="center"/>
          </w:tcPr>
          <w:p>
            <w:pPr>
              <w:pStyle w:val="TableText"/>
            </w:pPr>
            <w:r>
              <w:t>Min Lu、Hemant Ishwaran（University of Miami）。</w:t>
            </w:r>
          </w:p>
        </w:tc>
      </w:tr>
      <w:tr>
        <w:trPr>
          <w:cantSplit/>
        </w:trPr>
        <w:tc>
          <w:tcPr>
            <w:tcW w:type="dxa" w:w="2400"/>
            <w:vAlign w:val="center"/>
          </w:tcPr>
          <w:p>
            <w:pPr>
              <w:pStyle w:val="TableText"/>
            </w:pPr>
            <w:r>
              <w:t>発表先・年</w:t>
            </w:r>
          </w:p>
        </w:tc>
        <w:tc>
          <w:tcPr>
            <w:tcW w:type="dxa" w:w="6960"/>
            <w:vAlign w:val="center"/>
          </w:tcPr>
          <w:p>
            <w:pPr>
              <w:pStyle w:val="TableText"/>
            </w:pPr>
            <w:r>
              <w:t>Knowledge and Information Systems、68、Article 250、2026年。公開日2026-08-28。</w:t>
            </w:r>
          </w:p>
        </w:tc>
      </w:tr>
      <w:tr>
        <w:trPr>
          <w:cantSplit/>
        </w:trPr>
        <w:tc>
          <w:tcPr>
            <w:tcW w:type="dxa" w:w="2400"/>
            <w:vAlign w:val="center"/>
          </w:tcPr>
          <w:p>
            <w:pPr>
              <w:pStyle w:val="TableText"/>
            </w:pPr>
            <w:r>
              <w:t>DOI</w:t>
            </w:r>
          </w:p>
        </w:tc>
        <w:tc>
          <w:tcPr>
            <w:tcW w:type="dxa" w:w="6960"/>
            <w:vAlign w:val="center"/>
          </w:tcPr>
          <w:p>
            <w:pPr>
              <w:pStyle w:val="TableText"/>
            </w:pPr>
            <w:r>
              <w:t>10.1007/s10115-026-02872-5</w:t>
            </w:r>
          </w:p>
        </w:tc>
      </w:tr>
      <w:tr>
        <w:trPr>
          <w:cantSplit/>
        </w:trPr>
        <w:tc>
          <w:tcPr>
            <w:tcW w:type="dxa" w:w="2400"/>
            <w:vAlign w:val="center"/>
          </w:tcPr>
          <w:p>
            <w:pPr>
              <w:pStyle w:val="TableText"/>
            </w:pPr>
            <w:r>
              <w:t>手法・種別</w:t>
            </w:r>
          </w:p>
        </w:tc>
        <w:tc>
          <w:tcPr>
            <w:tcW w:type="dxa" w:w="6960"/>
            <w:vAlign w:val="center"/>
          </w:tcPr>
          <w:p>
            <w:pPr>
              <w:pStyle w:val="TableText"/>
            </w:pPr>
            <w:r>
              <w:t>OutPro（OOD using variable priority）。VarProを利用する提案手法論文であり、サーベイではない。</w:t>
            </w:r>
          </w:p>
        </w:tc>
      </w:tr>
      <w:tr>
        <w:trPr>
          <w:cantSplit/>
        </w:trPr>
        <w:tc>
          <w:tcPr>
            <w:tcW w:type="dxa" w:w="2400"/>
            <w:vAlign w:val="center"/>
          </w:tcPr>
          <w:p>
            <w:pPr>
              <w:pStyle w:val="TableText"/>
            </w:pPr>
            <w:r>
              <w:t>本課題との適合</w:t>
            </w:r>
          </w:p>
        </w:tc>
        <w:tc>
          <w:tcPr>
            <w:tcW w:type="dxa" w:w="6960"/>
            <w:vAlign w:val="center"/>
          </w:tcPr>
          <w:p>
            <w:pPr>
              <w:pStyle w:val="TableText"/>
            </w:pPr>
            <w:r>
              <w:t>多変量表形式データ、連続値回帰、学習外検知に直接関連。時系列入力の実証はない。</w:t>
            </w:r>
          </w:p>
        </w:tc>
      </w:tr>
    </w:tbl>
    <w:p>
      <w:pPr>
        <w:spacing w:after="0"/>
        <w:snapToGrid w:val="0"/>
      </w:pPr>
    </w:p>
    <w:p>
      <w:pPr>
        <w:snapToGrid w:val="0"/>
      </w:pPr>
      <w:r>
        <w:t>本手法は、教師あり森林のルールから予測に関係する変数と局所参照事例を求め、選択した変数上の距離で学習外入力を評価する。予測値・残差・予測分散そのものを異常スコアとする方式ではない。【論文：§1、§3】</w:t>
      </w:r>
    </w:p>
    <w:p>
      <w:pPr>
        <w:pStyle w:val="Heading2"/>
        <w:snapToGrid w:val="0"/>
      </w:pPr>
      <w:r>
        <w:t>2　学習外の定義と分類</w:t>
      </w:r>
    </w:p>
    <w:p>
      <w:pPr>
        <w:snapToGrid w:val="0"/>
      </w:pPr>
      <w:r>
        <w:t>広義の定義はP*(X,Y)≠P(X,Y)である。ただし運用時は入力Xと固定済み森林のみを使用するため、P(X)を変えずP(Y｜X)だけが変わる純粋なconcept shiftは検知できない。狙いは予測に関係する入力分布の変化である。</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本課題の分類</w:t>
            </w:r>
          </w:p>
        </w:tc>
        <w:tc>
          <w:tcPr>
            <w:tcW w:type="dxa" w:w="3500"/>
            <w:vAlign w:val="center"/>
            <w:shd w:fill="E8EEF5"/>
          </w:tcPr>
          <w:p>
            <w:pPr>
              <w:pStyle w:val="TableText"/>
              <w:keepNext/>
            </w:pPr>
            <w:r>
              <w:rPr>
                <w:b/>
                <w:color w:val="1F4D78"/>
              </w:rPr>
              <w:t>対応</w:t>
            </w:r>
          </w:p>
        </w:tc>
        <w:tc>
          <w:tcPr>
            <w:tcW w:type="dxa" w:w="3810"/>
            <w:vAlign w:val="center"/>
            <w:shd w:fill="E8EEF5"/>
          </w:tcPr>
          <w:p>
            <w:pPr>
              <w:pStyle w:val="TableText"/>
              <w:keepNext/>
            </w:pPr>
            <w:r>
              <w:rPr>
                <w:b/>
                <w:color w:val="1F4D78"/>
              </w:rPr>
              <w:t>証拠の強さ</w:t>
            </w:r>
          </w:p>
        </w:tc>
      </w:tr>
      <w:tr>
        <w:trPr>
          <w:cantSplit/>
        </w:trPr>
        <w:tc>
          <w:tcPr>
            <w:tcW w:type="dxa" w:w="2050"/>
            <w:vAlign w:val="center"/>
          </w:tcPr>
          <w:p>
            <w:pPr>
              <w:pStyle w:val="TableText"/>
              <w:keepNext/>
            </w:pPr>
            <w:r>
              <w:t>① 入力分布・範囲外</w:t>
            </w:r>
          </w:p>
        </w:tc>
        <w:tc>
          <w:tcPr>
            <w:tcW w:type="dxa" w:w="3500"/>
            <w:vAlign w:val="center"/>
          </w:tcPr>
          <w:p>
            <w:pPr>
              <w:pStyle w:val="TableText"/>
              <w:keepNext/>
            </w:pPr>
            <w:r>
              <w:t>Friedmanの支持範囲外、copula support。</w:t>
            </w:r>
          </w:p>
        </w:tc>
        <w:tc>
          <w:tcPr>
            <w:tcW w:type="dxa" w:w="3810"/>
            <w:vAlign w:val="center"/>
          </w:tcPr>
          <w:p>
            <w:pPr>
              <w:pStyle w:val="TableText"/>
              <w:keepNext/>
            </w:pPr>
            <w:r>
              <w:t>直接的な合成評価あり。全現実異常への保証ではない。</w:t>
            </w:r>
          </w:p>
        </w:tc>
      </w:tr>
      <w:tr>
        <w:trPr>
          <w:cantSplit/>
        </w:trPr>
        <w:tc>
          <w:tcPr>
            <w:tcW w:type="dxa" w:w="2050"/>
            <w:vAlign w:val="center"/>
          </w:tcPr>
          <w:p>
            <w:pPr>
              <w:pStyle w:val="TableText"/>
              <w:keepNext/>
            </w:pPr>
            <w:r>
              <w:t>② 学習データの希薄領域</w:t>
            </w:r>
          </w:p>
        </w:tc>
        <w:tc>
          <w:tcPr>
            <w:tcW w:type="dxa" w:w="3500"/>
            <w:vAlign w:val="center"/>
          </w:tcPr>
          <w:p>
            <w:pPr>
              <w:pStyle w:val="TableText"/>
              <w:keepNext/>
            </w:pPr>
            <w:r>
              <w:t>warpの尾部／低密度、参照点からの距離に関連。</w:t>
            </w:r>
          </w:p>
        </w:tc>
        <w:tc>
          <w:tcPr>
            <w:tcW w:type="dxa" w:w="3810"/>
            <w:vAlign w:val="center"/>
          </w:tcPr>
          <w:p>
            <w:pPr>
              <w:pStyle w:val="TableText"/>
              <w:keepNext/>
            </w:pPr>
            <w:r>
              <w:t>特定領域の学習件数だけを減らす独立実験はない。密度推定器そのものではない。</w:t>
            </w:r>
          </w:p>
        </w:tc>
      </w:tr>
      <w:tr>
        <w:trPr>
          <w:cantSplit/>
        </w:trPr>
        <w:tc>
          <w:tcPr>
            <w:tcW w:type="dxa" w:w="2050"/>
            <w:vAlign w:val="center"/>
          </w:tcPr>
          <w:p>
            <w:pPr>
              <w:pStyle w:val="TableText"/>
            </w:pPr>
            <w:r>
              <w:t>③ 範囲内の組合せ・相関変化</w:t>
            </w:r>
          </w:p>
        </w:tc>
        <w:tc>
          <w:tcPr>
            <w:tcW w:type="dxa" w:w="3500"/>
            <w:vAlign w:val="center"/>
          </w:tcPr>
          <w:p>
            <w:pPr>
              <w:pStyle w:val="TableText"/>
            </w:pPr>
            <w:r>
              <w:t>copula jointが最も近い。</w:t>
            </w:r>
          </w:p>
        </w:tc>
        <w:tc>
          <w:tcPr>
            <w:tcW w:type="dxa" w:w="3810"/>
            <w:vAlign w:val="center"/>
          </w:tcPr>
          <w:p>
            <w:pPr>
              <w:pStyle w:val="TableText"/>
            </w:pPr>
            <w:r>
              <w:t>関係変化を意図した評価あり。ただし逆周辺CDFの保持は周辺分布の完全保持と同義でない。</w:t>
            </w:r>
          </w:p>
        </w:tc>
      </w:tr>
    </w:tbl>
    <w:p>
      <w:pPr>
        <w:spacing w:after="0"/>
        <w:snapToGrid w:val="0"/>
      </w:pPr>
    </w:p>
    <w:p>
      <w:pPr>
        <w:snapToGrid w:val="0"/>
      </w:pPr>
      <w:r>
        <w:t>著者の実験分類はFriedmanの範囲外とwarp／joint／supportであり、本課題①〜③やpoint／contextual／collectiveをそのまま使ってはいない。スコアは基本的に1行1ケース単位なのでpoint-wiseである。変数間関係を使う点はcontextualな考え方に関連するが、時間窓単位のcollective anomaly検知は未検証。</w:t>
      </w:r>
    </w:p>
    <w:p>
      <w:pPr>
        <w:pStyle w:val="Heading2"/>
        <w:snapToGrid w:val="0"/>
      </w:pPr>
      <w:r>
        <w:t>3　今後の論文にも使う分類軸</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軸</w:t>
            </w:r>
          </w:p>
        </w:tc>
        <w:tc>
          <w:tcPr>
            <w:tcW w:type="dxa" w:w="3500"/>
            <w:vAlign w:val="center"/>
            <w:shd w:fill="E8EEF5"/>
          </w:tcPr>
          <w:p>
            <w:pPr>
              <w:pStyle w:val="TableText"/>
            </w:pPr>
            <w:r>
              <w:rPr>
                <w:b/>
                <w:color w:val="1F4D78"/>
              </w:rPr>
              <w:t>分類候補</w:t>
            </w:r>
          </w:p>
        </w:tc>
        <w:tc>
          <w:tcPr>
            <w:tcW w:type="dxa" w:w="3810"/>
            <w:vAlign w:val="center"/>
            <w:shd w:fill="E8EEF5"/>
          </w:tcPr>
          <w:p>
            <w:pPr>
              <w:pStyle w:val="TableText"/>
            </w:pPr>
            <w:r>
              <w:rPr>
                <w:b/>
                <w:color w:val="1F4D78"/>
              </w:rPr>
              <w:t>OutProの分類</w:t>
            </w:r>
          </w:p>
        </w:tc>
      </w:tr>
      <w:tr>
        <w:trPr>
          <w:cantSplit/>
        </w:trPr>
        <w:tc>
          <w:tcPr>
            <w:tcW w:type="dxa" w:w="2050"/>
            <w:vAlign w:val="center"/>
          </w:tcPr>
          <w:p>
            <w:pPr>
              <w:pStyle w:val="TableText"/>
            </w:pPr>
            <w:r>
              <w:t>検知根拠</w:t>
            </w:r>
          </w:p>
        </w:tc>
        <w:tc>
          <w:tcPr>
            <w:tcW w:type="dxa" w:w="3500"/>
            <w:vAlign w:val="center"/>
          </w:tcPr>
          <w:p>
            <w:pPr>
              <w:pStyle w:val="TableText"/>
            </w:pPr>
            <w:r>
              <w:t>範囲・距離、密度、予測不確実性、残差、再構成、分布検定等。</w:t>
            </w:r>
          </w:p>
        </w:tc>
        <w:tc>
          <w:tcPr>
            <w:tcW w:type="dxa" w:w="3810"/>
            <w:vAlign w:val="center"/>
          </w:tcPr>
          <w:p>
            <w:pPr>
              <w:pStyle w:val="TableText"/>
            </w:pPr>
            <w:r>
              <w:t>距離型＋教師ありルールに基づく参照集合。密度や不確実性の直接推定ではない。</w:t>
            </w:r>
          </w:p>
        </w:tc>
      </w:tr>
      <w:tr>
        <w:trPr>
          <w:cantSplit/>
        </w:trPr>
        <w:tc>
          <w:tcPr>
            <w:tcW w:type="dxa" w:w="2050"/>
            <w:vAlign w:val="center"/>
          </w:tcPr>
          <w:p>
            <w:pPr>
              <w:pStyle w:val="TableText"/>
            </w:pPr>
            <w:r>
              <w:t>モデルとの関係</w:t>
            </w:r>
          </w:p>
        </w:tc>
        <w:tc>
          <w:tcPr>
            <w:tcW w:type="dxa" w:w="3500"/>
            <w:vAlign w:val="center"/>
          </w:tcPr>
          <w:p>
            <w:pPr>
              <w:pStyle w:val="TableText"/>
            </w:pPr>
            <w:r>
              <w:t>入力独立型、出力利用型、内部情報型、組込み型。</w:t>
            </w:r>
          </w:p>
        </w:tc>
        <w:tc>
          <w:tcPr>
            <w:tcW w:type="dxa" w:w="3810"/>
            <w:vAlign w:val="center"/>
          </w:tcPr>
          <w:p>
            <w:pPr>
              <w:pStyle w:val="TableText"/>
            </w:pPr>
            <w:r>
              <w:t>森林内部ルール利用型。訓練応答を介してタスク依存。</w:t>
            </w:r>
          </w:p>
        </w:tc>
      </w:tr>
      <w:tr>
        <w:trPr>
          <w:cantSplit/>
        </w:trPr>
        <w:tc>
          <w:tcPr>
            <w:tcW w:type="dxa" w:w="2050"/>
            <w:vAlign w:val="center"/>
          </w:tcPr>
          <w:p>
            <w:pPr>
              <w:pStyle w:val="TableText"/>
            </w:pPr>
            <w:r>
              <w:t>空間</w:t>
            </w:r>
          </w:p>
        </w:tc>
        <w:tc>
          <w:tcPr>
            <w:tcW w:type="dxa" w:w="3500"/>
            <w:vAlign w:val="center"/>
          </w:tcPr>
          <w:p>
            <w:pPr>
              <w:pStyle w:val="TableText"/>
            </w:pPr>
            <w:r>
              <w:t>全変数、選択変数、学習表現、時系列特徴。</w:t>
            </w:r>
          </w:p>
        </w:tc>
        <w:tc>
          <w:tcPr>
            <w:tcW w:type="dxa" w:w="3810"/>
            <w:vAlign w:val="center"/>
          </w:tcPr>
          <w:p>
            <w:pPr>
              <w:pStyle w:val="TableText"/>
            </w:pPr>
            <w:r>
              <w:t>VarProで選んだ元の変数の部分集合。</w:t>
            </w:r>
          </w:p>
        </w:tc>
      </w:tr>
      <w:tr>
        <w:trPr>
          <w:cantSplit/>
        </w:trPr>
        <w:tc>
          <w:tcPr>
            <w:tcW w:type="dxa" w:w="2050"/>
            <w:vAlign w:val="center"/>
          </w:tcPr>
          <w:p>
            <w:pPr>
              <w:pStyle w:val="TableText"/>
            </w:pPr>
            <w:r>
              <w:t>参照集合</w:t>
            </w:r>
          </w:p>
        </w:tc>
        <w:tc>
          <w:tcPr>
            <w:tcW w:type="dxa" w:w="3500"/>
            <w:vAlign w:val="center"/>
          </w:tcPr>
          <w:p>
            <w:pPr>
              <w:pStyle w:val="TableText"/>
            </w:pPr>
            <w:r>
              <w:t>全データ、通常KNN、モデル由来近傍、バッチ。</w:t>
            </w:r>
          </w:p>
        </w:tc>
        <w:tc>
          <w:tcPr>
            <w:tcW w:type="dxa" w:w="3810"/>
            <w:vAlign w:val="center"/>
          </w:tcPr>
          <w:p>
            <w:pPr>
              <w:pStyle w:val="TableText"/>
            </w:pPr>
            <w:r>
              <w:t>論文中心は森林由来近傍。現行ソフトの既定値は通常KNNなので要区別。</w:t>
            </w:r>
          </w:p>
        </w:tc>
      </w:tr>
      <w:tr>
        <w:trPr>
          <w:cantSplit/>
        </w:trPr>
        <w:tc>
          <w:tcPr>
            <w:tcW w:type="dxa" w:w="2050"/>
            <w:vAlign w:val="center"/>
          </w:tcPr>
          <w:p>
            <w:pPr>
              <w:pStyle w:val="TableText"/>
            </w:pPr>
            <w:r>
              <w:t>教師情報</w:t>
            </w:r>
          </w:p>
        </w:tc>
        <w:tc>
          <w:tcPr>
            <w:tcW w:type="dxa" w:w="3500"/>
            <w:vAlign w:val="center"/>
          </w:tcPr>
          <w:p>
            <w:pPr>
              <w:pStyle w:val="TableText"/>
            </w:pPr>
            <w:r>
              <w:t>正常Xのみ、回帰(X,Y)、異常ラベルあり。</w:t>
            </w:r>
          </w:p>
        </w:tc>
        <w:tc>
          <w:tcPr>
            <w:tcW w:type="dxa" w:w="3810"/>
            <w:vAlign w:val="center"/>
          </w:tcPr>
          <w:p>
            <w:pPr>
              <w:pStyle w:val="TableText"/>
            </w:pPr>
            <w:r>
              <w:t>森林・変数選択にはIDの(X,Y)。OOD教師は学習に不要。</w:t>
            </w:r>
          </w:p>
        </w:tc>
      </w:tr>
      <w:tr>
        <w:trPr>
          <w:cantSplit/>
        </w:trPr>
        <w:tc>
          <w:tcPr>
            <w:tcW w:type="dxa" w:w="2050"/>
            <w:vAlign w:val="center"/>
          </w:tcPr>
          <w:p>
            <w:pPr>
              <w:pStyle w:val="TableText"/>
            </w:pPr>
            <w:r>
              <w:t>スコアと判定</w:t>
            </w:r>
          </w:p>
        </w:tc>
        <w:tc>
          <w:tcPr>
            <w:tcW w:type="dxa" w:w="3500"/>
            <w:vAlign w:val="center"/>
          </w:tcPr>
          <w:p>
            <w:pPr>
              <w:pStyle w:val="TableText"/>
            </w:pPr>
            <w:r>
              <w:t>連続スコア、分位、二値。</w:t>
            </w:r>
          </w:p>
        </w:tc>
        <w:tc>
          <w:tcPr>
            <w:tcW w:type="dxa" w:w="3810"/>
            <w:vAlign w:val="center"/>
          </w:tcPr>
          <w:p>
            <w:pPr>
              <w:pStyle w:val="TableText"/>
            </w:pPr>
            <w:r>
              <w:t>距離が大きいほどOOD。経験分位へ変換可能。運用閾値は別途設計。</w:t>
            </w:r>
          </w:p>
        </w:tc>
      </w:tr>
      <w:tr>
        <w:trPr>
          <w:cantSplit/>
        </w:trPr>
        <w:tc>
          <w:tcPr>
            <w:tcW w:type="dxa" w:w="2050"/>
            <w:vAlign w:val="center"/>
          </w:tcPr>
          <w:p>
            <w:pPr>
              <w:pStyle w:val="TableText"/>
            </w:pPr>
            <w:r>
              <w:t>入力単位・更新</w:t>
            </w:r>
          </w:p>
        </w:tc>
        <w:tc>
          <w:tcPr>
            <w:tcW w:type="dxa" w:w="3500"/>
            <w:vAlign w:val="center"/>
          </w:tcPr>
          <w:p>
            <w:pPr>
              <w:pStyle w:val="TableText"/>
            </w:pPr>
            <w:r>
              <w:t>単行／時間窓／系列；固定／オンライン。</w:t>
            </w:r>
          </w:p>
        </w:tc>
        <w:tc>
          <w:tcPr>
            <w:tcW w:type="dxa" w:w="3810"/>
            <w:vAlign w:val="center"/>
          </w:tcPr>
          <w:p>
            <w:pPr>
              <w:pStyle w:val="TableText"/>
            </w:pPr>
            <w:r>
              <w:t>単行、オフライン学習後の固定モデル。オンライン更新は未評価。</w:t>
            </w:r>
          </w:p>
        </w:tc>
      </w:tr>
    </w:tbl>
    <w:p>
      <w:pPr>
        <w:spacing w:after="0"/>
        <w:snapToGrid w:val="0"/>
      </w:pPr>
    </w:p>
    <w:p>
      <w:pPr>
        <w:pStyle w:val="Heading2"/>
        <w:snapToGrid w:val="0"/>
      </w:pPr>
      <w:r>
        <w:t>4　データセット調査</w:t>
      </w:r>
    </w:p>
    <w:p>
      <w:pPr>
        <w:pStyle w:val="Heading3"/>
        <w:snapToGrid w:val="0"/>
      </w:pPr>
      <w:r>
        <w:t>4.1　Friedman simulation</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要求項目</w:t>
            </w:r>
          </w:p>
        </w:tc>
        <w:tc>
          <w:tcPr>
            <w:tcW w:type="dxa" w:w="6960"/>
            <w:vAlign w:val="center"/>
            <w:shd w:fill="E8EEF5"/>
          </w:tcPr>
          <w:p>
            <w:pPr>
              <w:pStyle w:val="TableText"/>
            </w:pPr>
            <w:r>
              <w:rPr>
                <w:b/>
                <w:color w:val="1F4D78"/>
              </w:rPr>
              <w:t>確認結果</w:t>
            </w:r>
          </w:p>
        </w:tc>
      </w:tr>
      <w:tr>
        <w:trPr>
          <w:cantSplit/>
        </w:trPr>
        <w:tc>
          <w:tcPr>
            <w:tcW w:type="dxa" w:w="2400"/>
            <w:vAlign w:val="center"/>
          </w:tcPr>
          <w:p>
            <w:pPr>
              <w:pStyle w:val="TableText"/>
            </w:pPr>
            <w:r>
              <w:t>A 入出力項目</w:t>
            </w:r>
          </w:p>
        </w:tc>
        <w:tc>
          <w:tcPr>
            <w:tcW w:type="dxa" w:w="6960"/>
            <w:vAlign w:val="center"/>
          </w:tcPr>
          <w:p>
            <w:pPr>
              <w:pStyle w:val="TableText"/>
            </w:pPr>
            <w:r>
              <w:t>X₁〜X₂₀∼U[0,1]独立。Yは非線形Friedman式＋標準正規ノイズ。予測に真に関係するのは前5変数。</w:t>
            </w:r>
          </w:p>
        </w:tc>
      </w:tr>
      <w:tr>
        <w:trPr>
          <w:cantSplit/>
        </w:trPr>
        <w:tc>
          <w:tcPr>
            <w:tcW w:type="dxa" w:w="2400"/>
            <w:vAlign w:val="center"/>
          </w:tcPr>
          <w:p>
            <w:pPr>
              <w:pStyle w:val="TableText"/>
            </w:pPr>
            <w:r>
              <w:t>B データ量</w:t>
            </w:r>
          </w:p>
        </w:tc>
        <w:tc>
          <w:tcPr>
            <w:tcW w:type="dxa" w:w="6960"/>
            <w:vAlign w:val="center"/>
          </w:tcPr>
          <w:p>
            <w:pPr>
              <w:pStyle w:val="TableText"/>
            </w:pPr>
            <w:r>
              <w:t>各反復2000件、100独立反復。学習1600、テスト400。</w:t>
            </w:r>
          </w:p>
        </w:tc>
      </w:tr>
      <w:tr>
        <w:trPr>
          <w:cantSplit/>
        </w:trPr>
        <w:tc>
          <w:tcPr>
            <w:tcW w:type="dxa" w:w="2400"/>
            <w:vAlign w:val="center"/>
          </w:tcPr>
          <w:p>
            <w:pPr>
              <w:pStyle w:val="TableText"/>
            </w:pPr>
            <w:r>
              <w:t>C 正解ラベル</w:t>
            </w:r>
          </w:p>
        </w:tc>
        <w:tc>
          <w:tcPr>
            <w:tcW w:type="dxa" w:w="6960"/>
            <w:vAlign w:val="center"/>
          </w:tcPr>
          <w:p>
            <w:pPr>
              <w:pStyle w:val="TableText"/>
            </w:pPr>
            <w:r>
              <w:t>回帰Yあり。OOD正解は摂動後の少なくとも1座標が[0,1]を外れること。</w:t>
            </w:r>
          </w:p>
        </w:tc>
      </w:tr>
      <w:tr>
        <w:trPr>
          <w:cantSplit/>
        </w:trPr>
        <w:tc>
          <w:tcPr>
            <w:tcW w:type="dxa" w:w="2400"/>
            <w:vAlign w:val="center"/>
          </w:tcPr>
          <w:p>
            <w:pPr>
              <w:pStyle w:val="TableText"/>
            </w:pPr>
            <w:r>
              <w:t>D 利用条件</w:t>
            </w:r>
          </w:p>
        </w:tc>
        <w:tc>
          <w:tcPr>
            <w:tcW w:type="dxa" w:w="6960"/>
            <w:vAlign w:val="center"/>
          </w:tcPr>
          <w:p>
            <w:pPr>
              <w:pStyle w:val="TableText"/>
            </w:pPr>
            <w:r>
              <w:t>数式により生成可能。ソフトGPL≥3、論文CC BY 4.0。生成したデータとコードの条件は区別。</w:t>
            </w:r>
          </w:p>
        </w:tc>
      </w:tr>
      <w:tr>
        <w:trPr>
          <w:cantSplit/>
        </w:trPr>
        <w:tc>
          <w:tcPr>
            <w:tcW w:type="dxa" w:w="2400"/>
            <w:vAlign w:val="center"/>
          </w:tcPr>
          <w:p>
            <w:pPr>
              <w:pStyle w:val="TableText"/>
            </w:pPr>
            <w:r>
              <w:t>E 異常分類</w:t>
            </w:r>
          </w:p>
        </w:tc>
        <w:tc>
          <w:tcPr>
            <w:tcW w:type="dxa" w:w="6960"/>
            <w:vAlign w:val="center"/>
          </w:tcPr>
          <w:p>
            <w:pPr>
              <w:pStyle w:val="TableText"/>
            </w:pPr>
            <w:r>
              <w:t>①の支持範囲外。②③を独立検証する設定ではない。</w:t>
            </w:r>
          </w:p>
        </w:tc>
      </w:tr>
      <w:tr>
        <w:trPr>
          <w:cantSplit/>
        </w:trPr>
        <w:tc>
          <w:tcPr>
            <w:tcW w:type="dxa" w:w="2400"/>
            <w:vAlign w:val="center"/>
          </w:tcPr>
          <w:p>
            <w:pPr>
              <w:pStyle w:val="TableText"/>
            </w:pPr>
            <w:r>
              <w:t>F データ型・時間粒度</w:t>
            </w:r>
          </w:p>
        </w:tc>
        <w:tc>
          <w:tcPr>
            <w:tcW w:type="dxa" w:w="6960"/>
            <w:vAlign w:val="center"/>
          </w:tcPr>
          <w:p>
            <w:pPr>
              <w:pStyle w:val="TableText"/>
            </w:pPr>
            <w:r>
              <w:t>独立な数値ベクトル。時系列でなく、観測間隔や時間窓は該当しない。</w:t>
            </w:r>
          </w:p>
        </w:tc>
      </w:tr>
      <w:tr>
        <w:trPr>
          <w:cantSplit/>
        </w:trPr>
        <w:tc>
          <w:tcPr>
            <w:tcW w:type="dxa" w:w="2400"/>
            <w:vAlign w:val="center"/>
          </w:tcPr>
          <w:p>
            <w:pPr>
              <w:pStyle w:val="TableText"/>
            </w:pPr>
            <w:r>
              <w:t>G 分割・異常割合</w:t>
            </w:r>
          </w:p>
        </w:tc>
        <w:tc>
          <w:tcPr>
            <w:tcW w:type="dxa" w:w="6960"/>
            <w:vAlign w:val="center"/>
          </w:tcPr>
          <w:p>
            <w:pPr>
              <w:pStyle w:val="TableText"/>
            </w:pPr>
            <w:r>
              <w:t>80/20ランダム分割。トップ10%変数を標準偏差単位で摂動。実際の陽性割合は越界数によって変化し、固定50%ではない。</w:t>
            </w:r>
          </w:p>
        </w:tc>
      </w:tr>
      <w:tr>
        <w:trPr>
          <w:cantSplit/>
        </w:trPr>
        <w:tc>
          <w:tcPr>
            <w:tcW w:type="dxa" w:w="2400"/>
            <w:vAlign w:val="center"/>
          </w:tcPr>
          <w:p>
            <w:pPr>
              <w:pStyle w:val="TableText"/>
            </w:pPr>
            <w:r>
              <w:t>H 必要情報</w:t>
            </w:r>
          </w:p>
        </w:tc>
        <w:tc>
          <w:tcPr>
            <w:tcW w:type="dxa" w:w="6960"/>
            <w:vAlign w:val="center"/>
          </w:tcPr>
          <w:p>
            <w:pPr>
              <w:pStyle w:val="TableText"/>
            </w:pPr>
            <w:r>
              <w:t>運用時はX、学習森林・ルール、訓練参照X、選択変数・重みが必要。運用時Y不要。</w:t>
            </w:r>
          </w:p>
        </w:tc>
      </w:tr>
    </w:tbl>
    <w:p>
      <w:pPr>
        <w:spacing w:after="0"/>
        <w:snapToGrid w:val="0"/>
      </w:pPr>
    </w:p>
    <w:p>
      <w:pPr>
        <w:pStyle w:val="Heading3"/>
        <w:snapToGrid w:val="0"/>
      </w:pPr>
      <w:r>
        <w:t>4.2　PMLB回帰ベンチマーク</w:t>
      </w:r>
    </w:p>
    <w:p>
      <w:pPr>
        <w:snapToGrid w:val="0"/>
      </w:pPr>
      <w:r>
        <w:t>61データセット、n=47〜1066、d=10〜124。連続応答、10変数以上の集団から選んだサブセットである。全61件の名前、採用列、目的変数の意味、版の一覧は本文にないため、本報告で推測して補完しない。【論文：§5.3】</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要求項目</w:t>
            </w:r>
          </w:p>
        </w:tc>
        <w:tc>
          <w:tcPr>
            <w:tcW w:type="dxa" w:w="6960"/>
            <w:vAlign w:val="center"/>
            <w:shd w:fill="E8EEF5"/>
          </w:tcPr>
          <w:p>
            <w:pPr>
              <w:pStyle w:val="TableText"/>
            </w:pPr>
            <w:r>
              <w:rPr>
                <w:b/>
                <w:color w:val="1F4D78"/>
              </w:rPr>
              <w:t>確認結果</w:t>
            </w:r>
          </w:p>
        </w:tc>
      </w:tr>
      <w:tr>
        <w:trPr>
          <w:cantSplit/>
        </w:trPr>
        <w:tc>
          <w:tcPr>
            <w:tcW w:type="dxa" w:w="2400"/>
            <w:vAlign w:val="center"/>
          </w:tcPr>
          <w:p>
            <w:pPr>
              <w:pStyle w:val="TableText"/>
            </w:pPr>
            <w:r>
              <w:t>A 入出力</w:t>
            </w:r>
          </w:p>
        </w:tc>
        <w:tc>
          <w:tcPr>
            <w:tcW w:type="dxa" w:w="6960"/>
            <w:vAlign w:val="center"/>
          </w:tcPr>
          <w:p>
            <w:pPr>
              <w:pStyle w:val="TableText"/>
            </w:pPr>
            <w:r>
              <w:t>表形式説明変数→連続target。個別の採用項目一覧は未確認。PMLBには連続・順序・分類変数が混在し得るため、全61件がすべて生の連続センサ値とは断定しない。</w:t>
            </w:r>
          </w:p>
        </w:tc>
      </w:tr>
      <w:tr>
        <w:trPr>
          <w:cantSplit/>
        </w:trPr>
        <w:tc>
          <w:tcPr>
            <w:tcW w:type="dxa" w:w="2400"/>
            <w:vAlign w:val="center"/>
          </w:tcPr>
          <w:p>
            <w:pPr>
              <w:pStyle w:val="TableText"/>
            </w:pPr>
            <w:r>
              <w:t>B データ量</w:t>
            </w:r>
          </w:p>
        </w:tc>
        <w:tc>
          <w:tcPr>
            <w:tcW w:type="dxa" w:w="6960"/>
            <w:vAlign w:val="center"/>
          </w:tcPr>
          <w:p>
            <w:pPr>
              <w:pStyle w:val="TableText"/>
            </w:pPr>
            <w:r>
              <w:t>上記範囲。各データの使用件数と正確な整数切分は一覧未報告。</w:t>
            </w:r>
          </w:p>
        </w:tc>
      </w:tr>
      <w:tr>
        <w:trPr>
          <w:cantSplit/>
        </w:trPr>
        <w:tc>
          <w:tcPr>
            <w:tcW w:type="dxa" w:w="2400"/>
            <w:vAlign w:val="center"/>
          </w:tcPr>
          <w:p>
            <w:pPr>
              <w:pStyle w:val="TableText"/>
            </w:pPr>
            <w:r>
              <w:t>C ラベル</w:t>
            </w:r>
          </w:p>
        </w:tc>
        <w:tc>
          <w:tcPr>
            <w:tcW w:type="dxa" w:w="6960"/>
            <w:vAlign w:val="center"/>
          </w:tcPr>
          <w:p>
            <w:pPr>
              <w:pStyle w:val="TableText"/>
            </w:pPr>
            <w:r>
              <w:t>元の回帰targetあり。OODはcopula生成ラベルであり、実故障ラベルではない。</w:t>
            </w:r>
          </w:p>
        </w:tc>
      </w:tr>
      <w:tr>
        <w:trPr>
          <w:cantSplit/>
        </w:trPr>
        <w:tc>
          <w:tcPr>
            <w:tcW w:type="dxa" w:w="2400"/>
            <w:vAlign w:val="center"/>
          </w:tcPr>
          <w:p>
            <w:pPr>
              <w:pStyle w:val="TableText"/>
            </w:pPr>
            <w:r>
              <w:t>D 条件</w:t>
            </w:r>
          </w:p>
        </w:tc>
        <w:tc>
          <w:tcPr>
            <w:tcW w:type="dxa" w:w="6960"/>
            <w:vAlign w:val="center"/>
          </w:tcPr>
          <w:p>
            <w:pPr>
              <w:pStyle w:val="TableText"/>
            </w:pPr>
            <w:r>
              <w:t>PMLB公開リポジトリはMITのソフトウェアライセンスを掲載。各元データの利用条件は個別メタデータを確認する必要があり、全元データ一律MITとしない。</w:t>
            </w:r>
          </w:p>
        </w:tc>
      </w:tr>
      <w:tr>
        <w:trPr>
          <w:cantSplit/>
        </w:trPr>
        <w:tc>
          <w:tcPr>
            <w:tcW w:type="dxa" w:w="2400"/>
            <w:vAlign w:val="center"/>
          </w:tcPr>
          <w:p>
            <w:pPr>
              <w:pStyle w:val="TableText"/>
            </w:pPr>
            <w:r>
              <w:t>E 分類</w:t>
            </w:r>
          </w:p>
        </w:tc>
        <w:tc>
          <w:tcPr>
            <w:tcW w:type="dxa" w:w="6960"/>
            <w:vAlign w:val="center"/>
          </w:tcPr>
          <w:p>
            <w:pPr>
              <w:pStyle w:val="TableText"/>
            </w:pPr>
            <w:r>
              <w:t>warp＝尾部・低密度、joint＝関係変化、support＝経験範囲外。①〜③の排他的分類ではない。</w:t>
            </w:r>
          </w:p>
        </w:tc>
      </w:tr>
      <w:tr>
        <w:trPr>
          <w:cantSplit/>
        </w:trPr>
        <w:tc>
          <w:tcPr>
            <w:tcW w:type="dxa" w:w="2400"/>
            <w:vAlign w:val="center"/>
          </w:tcPr>
          <w:p>
            <w:pPr>
              <w:pStyle w:val="TableText"/>
            </w:pPr>
            <w:r>
              <w:t>F 入力単位</w:t>
            </w:r>
          </w:p>
        </w:tc>
        <w:tc>
          <w:tcPr>
            <w:tcW w:type="dxa" w:w="6960"/>
            <w:vAlign w:val="center"/>
          </w:tcPr>
          <w:p>
            <w:pPr>
              <w:pStyle w:val="TableText"/>
            </w:pPr>
            <w:r>
              <w:t>1行の特徴ベクトル。時間系列モデルとしての窓幅・周期・観測跨度は未提示。</w:t>
            </w:r>
          </w:p>
        </w:tc>
      </w:tr>
      <w:tr>
        <w:trPr>
          <w:cantSplit/>
        </w:trPr>
        <w:tc>
          <w:tcPr>
            <w:tcW w:type="dxa" w:w="2400"/>
            <w:vAlign w:val="center"/>
          </w:tcPr>
          <w:p>
            <w:pPr>
              <w:pStyle w:val="TableText"/>
            </w:pPr>
            <w:r>
              <w:t>G 分割・公開性</w:t>
            </w:r>
          </w:p>
        </w:tc>
        <w:tc>
          <w:tcPr>
            <w:tcW w:type="dxa" w:w="6960"/>
            <w:vAlign w:val="center"/>
          </w:tcPr>
          <w:p>
            <w:pPr>
              <w:pStyle w:val="TableText"/>
            </w:pPr>
            <w:r>
              <w:t>80/20、100反復。IDテストと同数の生成候補を用意。joint／supportは全生成点を陽性扱いとする設計上、IDと1:1なら陽性50%。warpはラベル処理詳細が不足。PMLBのTSV.gzまたはR/Pythonインターフェースで取得可能。</w:t>
            </w:r>
          </w:p>
        </w:tc>
      </w:tr>
      <w:tr>
        <w:trPr>
          <w:cantSplit/>
        </w:trPr>
        <w:tc>
          <w:tcPr>
            <w:tcW w:type="dxa" w:w="2400"/>
            <w:vAlign w:val="center"/>
          </w:tcPr>
          <w:p>
            <w:pPr>
              <w:pStyle w:val="TableText"/>
            </w:pPr>
            <w:r>
              <w:t>H 検知情報</w:t>
            </w:r>
          </w:p>
        </w:tc>
        <w:tc>
          <w:tcPr>
            <w:tcW w:type="dxa" w:w="6960"/>
            <w:vAlign w:val="center"/>
          </w:tcPr>
          <w:p>
            <w:pPr>
              <w:pStyle w:val="TableText"/>
            </w:pPr>
            <w:r>
              <w:t>森林学習時は(X,Y)、スコア時はXと森林等。合成異常の新しいYを求めずにOOD順位評価ができる。</w:t>
            </w:r>
          </w:p>
        </w:tc>
      </w:tr>
    </w:tbl>
    <w:p>
      <w:pPr>
        <w:spacing w:after="0"/>
        <w:snapToGrid w:val="0"/>
      </w:pPr>
    </w:p>
    <w:p>
      <w:pPr>
        <w:pStyle w:val="Heading3"/>
        <w:snapToGrid w:val="0"/>
      </w:pPr>
      <w:r>
        <w:t>4.3　高次元微小アレイデータ</w:t>
      </w:r>
    </w:p>
    <w:p>
      <w:pPr>
        <w:snapToGrid w:val="0"/>
      </w:pPr>
      <w:r>
        <w:t>下表は本文Table 4のCox-scoreによるフィルタ後の規模。元の全遺伝子数でも、VarProで最終選択された次元数でもない。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1550"/>
        <w:gridCol w:w="2500"/>
        <w:gridCol w:w="2600"/>
        <w:gridCol w:w="2710"/>
      </w:tblGrid>
      <w:tr>
        <w:trPr>
          <w:cantSplit/>
          <w:tblHeader/>
        </w:trPr>
        <w:tc>
          <w:tcPr>
            <w:tcW w:type="dxa" w:w="1550"/>
            <w:vAlign w:val="center"/>
            <w:shd w:fill="E8EEF5"/>
          </w:tcPr>
          <w:p>
            <w:pPr>
              <w:pStyle w:val="TableText"/>
              <w:keepNext/>
            </w:pPr>
            <w:r>
              <w:rPr>
                <w:b/>
                <w:color w:val="1F4D78"/>
              </w:rPr>
              <w:t>データ</w:t>
            </w:r>
          </w:p>
        </w:tc>
        <w:tc>
          <w:tcPr>
            <w:tcW w:type="dxa" w:w="2500"/>
            <w:vAlign w:val="center"/>
            <w:shd w:fill="E8EEF5"/>
          </w:tcPr>
          <w:p>
            <w:pPr>
              <w:pStyle w:val="TableText"/>
              <w:keepNext/>
            </w:pPr>
            <w:r>
              <w:rPr>
                <w:b/>
                <w:color w:val="1F4D78"/>
              </w:rPr>
              <w:t>n</w:t>
            </w:r>
          </w:p>
        </w:tc>
        <w:tc>
          <w:tcPr>
            <w:tcW w:type="dxa" w:w="2600"/>
            <w:vAlign w:val="center"/>
            <w:shd w:fill="E8EEF5"/>
          </w:tcPr>
          <w:p>
            <w:pPr>
              <w:pStyle w:val="TableText"/>
              <w:keepNext/>
            </w:pPr>
            <w:r>
              <w:rPr>
                <w:b/>
                <w:color w:val="1F4D78"/>
              </w:rPr>
              <w:t>フィルタ後d</w:t>
            </w:r>
          </w:p>
        </w:tc>
        <w:tc>
          <w:tcPr>
            <w:tcW w:type="dxa" w:w="2710"/>
            <w:vAlign w:val="center"/>
            <w:shd w:fill="E8EEF5"/>
          </w:tcPr>
          <w:p>
            <w:pPr>
              <w:pStyle w:val="TableText"/>
              <w:keepNext/>
            </w:pPr>
            <w:r>
              <w:rPr>
                <w:b/>
                <w:color w:val="1F4D78"/>
              </w:rPr>
              <w:t>原データの出典（本文参考文献）</w:t>
            </w:r>
          </w:p>
        </w:tc>
      </w:tr>
      <w:tr>
        <w:trPr>
          <w:cantSplit/>
        </w:trPr>
        <w:tc>
          <w:tcPr>
            <w:tcW w:type="dxa" w:w="1550"/>
            <w:vAlign w:val="center"/>
          </w:tcPr>
          <w:p>
            <w:pPr>
              <w:pStyle w:val="TableText"/>
              <w:keepNext/>
            </w:pPr>
            <w:r>
              <w:t>AML</w:t>
            </w:r>
          </w:p>
        </w:tc>
        <w:tc>
          <w:tcPr>
            <w:tcW w:type="dxa" w:w="2500"/>
            <w:vAlign w:val="center"/>
          </w:tcPr>
          <w:p>
            <w:pPr>
              <w:pStyle w:val="TableText"/>
              <w:keepNext/>
            </w:pPr>
            <w:r>
              <w:t>116</w:t>
            </w:r>
          </w:p>
        </w:tc>
        <w:tc>
          <w:tcPr>
            <w:tcW w:type="dxa" w:w="2600"/>
            <w:vAlign w:val="center"/>
          </w:tcPr>
          <w:p>
            <w:pPr>
              <w:pStyle w:val="TableText"/>
              <w:keepNext/>
            </w:pPr>
            <w:r>
              <w:t>629</w:t>
            </w:r>
          </w:p>
        </w:tc>
        <w:tc>
          <w:tcPr>
            <w:tcW w:type="dxa" w:w="2710"/>
            <w:vAlign w:val="center"/>
          </w:tcPr>
          <w:p>
            <w:pPr>
              <w:pStyle w:val="TableText"/>
              <w:keepNext/>
            </w:pPr>
            <w:r>
              <w:t>Bullinger et al., 2004（文献70）。</w:t>
            </w:r>
          </w:p>
        </w:tc>
      </w:tr>
      <w:tr>
        <w:trPr>
          <w:cantSplit/>
        </w:trPr>
        <w:tc>
          <w:tcPr>
            <w:tcW w:type="dxa" w:w="1550"/>
            <w:vAlign w:val="center"/>
          </w:tcPr>
          <w:p>
            <w:pPr>
              <w:pStyle w:val="TableText"/>
              <w:keepNext/>
            </w:pPr>
            <w:r>
              <w:t>Breast Cancer</w:t>
            </w:r>
          </w:p>
        </w:tc>
        <w:tc>
          <w:tcPr>
            <w:tcW w:type="dxa" w:w="2500"/>
            <w:vAlign w:val="center"/>
          </w:tcPr>
          <w:p>
            <w:pPr>
              <w:pStyle w:val="TableText"/>
              <w:keepNext/>
            </w:pPr>
            <w:r>
              <w:t>78</w:t>
            </w:r>
          </w:p>
        </w:tc>
        <w:tc>
          <w:tcPr>
            <w:tcW w:type="dxa" w:w="2600"/>
            <w:vAlign w:val="center"/>
          </w:tcPr>
          <w:p>
            <w:pPr>
              <w:pStyle w:val="TableText"/>
              <w:keepNext/>
            </w:pPr>
            <w:r>
              <w:t>475</w:t>
            </w:r>
          </w:p>
        </w:tc>
        <w:tc>
          <w:tcPr>
            <w:tcW w:type="dxa" w:w="2710"/>
            <w:vAlign w:val="center"/>
          </w:tcPr>
          <w:p>
            <w:pPr>
              <w:pStyle w:val="TableText"/>
              <w:keepNext/>
            </w:pPr>
            <w:r>
              <w:t>van’t Veer et al., 2002（文献68）。</w:t>
            </w:r>
          </w:p>
        </w:tc>
      </w:tr>
      <w:tr>
        <w:trPr>
          <w:cantSplit/>
        </w:trPr>
        <w:tc>
          <w:tcPr>
            <w:tcW w:type="dxa" w:w="1550"/>
            <w:vAlign w:val="center"/>
          </w:tcPr>
          <w:p>
            <w:pPr>
              <w:pStyle w:val="TableText"/>
              <w:keepNext/>
            </w:pPr>
            <w:r>
              <w:t>DLBCL</w:t>
            </w:r>
          </w:p>
        </w:tc>
        <w:tc>
          <w:tcPr>
            <w:tcW w:type="dxa" w:w="2500"/>
            <w:vAlign w:val="center"/>
          </w:tcPr>
          <w:p>
            <w:pPr>
              <w:pStyle w:val="TableText"/>
              <w:keepNext/>
            </w:pPr>
            <w:r>
              <w:t>240</w:t>
            </w:r>
          </w:p>
        </w:tc>
        <w:tc>
          <w:tcPr>
            <w:tcW w:type="dxa" w:w="2600"/>
            <w:vAlign w:val="center"/>
          </w:tcPr>
          <w:p>
            <w:pPr>
              <w:pStyle w:val="TableText"/>
              <w:keepNext/>
            </w:pPr>
            <w:r>
              <w:t>740</w:t>
            </w:r>
          </w:p>
        </w:tc>
        <w:tc>
          <w:tcPr>
            <w:tcW w:type="dxa" w:w="2710"/>
            <w:vAlign w:val="center"/>
          </w:tcPr>
          <w:p>
            <w:pPr>
              <w:pStyle w:val="TableText"/>
              <w:keepNext/>
            </w:pPr>
            <w:r>
              <w:t>Rosenwald et al., 2002（文献67）。</w:t>
            </w:r>
          </w:p>
        </w:tc>
      </w:tr>
      <w:tr>
        <w:trPr>
          <w:cantSplit/>
        </w:trPr>
        <w:tc>
          <w:tcPr>
            <w:tcW w:type="dxa" w:w="1550"/>
            <w:vAlign w:val="center"/>
          </w:tcPr>
          <w:p>
            <w:pPr>
              <w:pStyle w:val="TableText"/>
              <w:keepNext/>
            </w:pPr>
            <w:r>
              <w:t>Lung Cancer</w:t>
            </w:r>
          </w:p>
        </w:tc>
        <w:tc>
          <w:tcPr>
            <w:tcW w:type="dxa" w:w="2500"/>
            <w:vAlign w:val="center"/>
          </w:tcPr>
          <w:p>
            <w:pPr>
              <w:pStyle w:val="TableText"/>
              <w:keepNext/>
            </w:pPr>
            <w:r>
              <w:t>86</w:t>
            </w:r>
          </w:p>
        </w:tc>
        <w:tc>
          <w:tcPr>
            <w:tcW w:type="dxa" w:w="2600"/>
            <w:vAlign w:val="center"/>
          </w:tcPr>
          <w:p>
            <w:pPr>
              <w:pStyle w:val="TableText"/>
              <w:keepNext/>
            </w:pPr>
            <w:r>
              <w:t>713</w:t>
            </w:r>
          </w:p>
        </w:tc>
        <w:tc>
          <w:tcPr>
            <w:tcW w:type="dxa" w:w="2710"/>
            <w:vAlign w:val="center"/>
          </w:tcPr>
          <w:p>
            <w:pPr>
              <w:pStyle w:val="TableText"/>
              <w:keepNext/>
            </w:pPr>
            <w:r>
              <w:t>Beer et al., 2002（文献69）。</w:t>
            </w:r>
          </w:p>
        </w:tc>
      </w:tr>
      <w:tr>
        <w:trPr>
          <w:cantSplit/>
        </w:trPr>
        <w:tc>
          <w:tcPr>
            <w:tcW w:type="dxa" w:w="1550"/>
            <w:vAlign w:val="center"/>
          </w:tcPr>
          <w:p>
            <w:pPr>
              <w:pStyle w:val="TableText"/>
            </w:pPr>
            <w:r>
              <w:t>MCL</w:t>
            </w:r>
          </w:p>
        </w:tc>
        <w:tc>
          <w:tcPr>
            <w:tcW w:type="dxa" w:w="2500"/>
            <w:vAlign w:val="center"/>
          </w:tcPr>
          <w:p>
            <w:pPr>
              <w:pStyle w:val="TableText"/>
            </w:pPr>
            <w:r>
              <w:t>92</w:t>
            </w:r>
          </w:p>
        </w:tc>
        <w:tc>
          <w:tcPr>
            <w:tcW w:type="dxa" w:w="2600"/>
            <w:vAlign w:val="center"/>
          </w:tcPr>
          <w:p>
            <w:pPr>
              <w:pStyle w:val="TableText"/>
            </w:pPr>
            <w:r>
              <w:t>881</w:t>
            </w:r>
          </w:p>
        </w:tc>
        <w:tc>
          <w:tcPr>
            <w:tcW w:type="dxa" w:w="2710"/>
            <w:vAlign w:val="center"/>
          </w:tcPr>
          <w:p>
            <w:pPr>
              <w:pStyle w:val="TableText"/>
            </w:pPr>
            <w:r>
              <w:t>Rosenwald et al., 2003（文献71）。</w:t>
            </w:r>
          </w:p>
        </w:tc>
      </w:tr>
    </w:tbl>
    <w:p>
      <w:pPr>
        <w:spacing w:after="0"/>
        <w:snapToGrid w:val="0"/>
      </w:pPr>
    </w:p>
    <w:p>
      <w:pPr>
        <w:snapToGrid w:val="0"/>
      </w:pPr>
      <w:r>
        <w:t>入力は遺伝子発現特徴、元の出力は生存時間とイベント／右打切り情報。比較実験ではRSFのOOB mortalityを連続擬似応答に変換する。mortalityはモデル由来のリスク量であり、生の実測生存時間ではない。80/20分割、copula3モード、トップ10%変数への摂動、100反復はPMLBと同様。【論文：§5.4】</w:t>
      </w:r>
    </w:p>
    <w:p>
      <w:pPr>
        <w:snapToGrid w:val="0"/>
      </w:pPr>
      <w:r>
        <w:t>公開性は論文が引用元への参照を案内している。今回、各原研究の配布ファイル、患者ID対応、抽出遺伝子一覧、元データの全ライセンス、打切り率、追跡期間単位、前処理から最終切分までの実行順は未確定。共通の“ダウンロード済みデータ”としては扱わない。1患者1特徴ベクトルであり、多時刻測定を同時入力する時系列ベンチマークではない。</w:t>
      </w:r>
    </w:p>
    <w:p>
      <w:pPr>
        <w:snapToGrid w:val="0"/>
      </w:pPr>
      <w:r>
        <w:t>全空間Mahalanobis対照は標本共分散が特異で省略された。OutProの選択後次元が小さければ改善し得るが、すべての条件で逆行列が安定と保証されるわけではない。</w:t>
      </w:r>
    </w:p>
    <w:p>
      <w:pPr>
        <w:pStyle w:val="Heading3"/>
        <w:snapToGrid w:val="0"/>
      </w:pPr>
      <w:r>
        <w:t>4.4　WECC食道腺癌ケーススタディ</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要求項目</w:t>
            </w:r>
          </w:p>
        </w:tc>
        <w:tc>
          <w:tcPr>
            <w:tcW w:type="dxa" w:w="6960"/>
            <w:vAlign w:val="center"/>
            <w:shd w:fill="E8EEF5"/>
          </w:tcPr>
          <w:p>
            <w:pPr>
              <w:pStyle w:val="TableText"/>
            </w:pPr>
            <w:r>
              <w:rPr>
                <w:b/>
                <w:color w:val="1F4D78"/>
              </w:rPr>
              <w:t>確認結果</w:t>
            </w:r>
          </w:p>
        </w:tc>
      </w:tr>
      <w:tr>
        <w:trPr>
          <w:cantSplit/>
        </w:trPr>
        <w:tc>
          <w:tcPr>
            <w:tcW w:type="dxa" w:w="2400"/>
            <w:vAlign w:val="center"/>
          </w:tcPr>
          <w:p>
            <w:pPr>
              <w:pStyle w:val="TableText"/>
            </w:pPr>
            <w:r>
              <w:t>A 入出力</w:t>
            </w:r>
          </w:p>
        </w:tc>
        <w:tc>
          <w:tcPr>
            <w:tcW w:type="dxa" w:w="6960"/>
            <w:vAlign w:val="center"/>
          </w:tcPr>
          <w:p>
            <w:pPr>
              <w:pStyle w:val="TableText"/>
            </w:pPr>
            <w:r>
              <w:t>入力35項目：pTNM、切除／陽性リンパ節数、組織学的悪性度、部位・長さ、残存癌、人口統計等。出力は全死亡の生存時間・打切り、解析では5年生存予測も利用。全35列の一覧は未提示。</w:t>
            </w:r>
          </w:p>
        </w:tc>
      </w:tr>
      <w:tr>
        <w:trPr>
          <w:cantSplit/>
        </w:trPr>
        <w:tc>
          <w:tcPr>
            <w:tcW w:type="dxa" w:w="2400"/>
            <w:vAlign w:val="center"/>
          </w:tcPr>
          <w:p>
            <w:pPr>
              <w:pStyle w:val="TableText"/>
            </w:pPr>
            <w:r>
              <w:t>B データ量</w:t>
            </w:r>
          </w:p>
        </w:tc>
        <w:tc>
          <w:tcPr>
            <w:tcW w:type="dxa" w:w="6960"/>
            <w:vAlign w:val="center"/>
          </w:tcPr>
          <w:p>
            <w:pPr>
              <w:pStyle w:val="TableText"/>
            </w:pPr>
            <w:r>
              <w:t>腺癌6142例。各閾値別の学習・テスト件数、各層人数は未報告。</w:t>
            </w:r>
          </w:p>
        </w:tc>
      </w:tr>
      <w:tr>
        <w:trPr>
          <w:cantSplit/>
        </w:trPr>
        <w:tc>
          <w:tcPr>
            <w:tcW w:type="dxa" w:w="2400"/>
            <w:vAlign w:val="center"/>
          </w:tcPr>
          <w:p>
            <w:pPr>
              <w:pStyle w:val="TableText"/>
            </w:pPr>
            <w:r>
              <w:t>C ラベル</w:t>
            </w:r>
          </w:p>
        </w:tc>
        <w:tc>
          <w:tcPr>
            <w:tcW w:type="dxa" w:w="6960"/>
            <w:vAlign w:val="center"/>
          </w:tcPr>
          <w:p>
            <w:pPr>
              <w:pStyle w:val="TableText"/>
            </w:pPr>
            <w:r>
              <w:t>生存情報あり。真のOOD／正常を確定した外部金標準なし。指定患者群をhold-outして参照分位を分析。</w:t>
            </w:r>
          </w:p>
        </w:tc>
      </w:tr>
      <w:tr>
        <w:trPr>
          <w:cantSplit/>
        </w:trPr>
        <w:tc>
          <w:tcPr>
            <w:tcW w:type="dxa" w:w="2400"/>
            <w:vAlign w:val="center"/>
          </w:tcPr>
          <w:p>
            <w:pPr>
              <w:pStyle w:val="TableText"/>
            </w:pPr>
            <w:r>
              <w:t>D 利用条件</w:t>
            </w:r>
          </w:p>
        </w:tc>
        <w:tc>
          <w:tcPr>
            <w:tcW w:type="dxa" w:w="6960"/>
            <w:vAlign w:val="center"/>
          </w:tcPr>
          <w:p>
            <w:pPr>
              <w:pStyle w:val="TableText"/>
            </w:pPr>
            <w:r>
              <w:t>本文Data availabilityは非公開と明記。公開ダウンロード方法や公開ライセンスはない。</w:t>
            </w:r>
          </w:p>
        </w:tc>
      </w:tr>
      <w:tr>
        <w:trPr>
          <w:cantSplit/>
        </w:trPr>
        <w:tc>
          <w:tcPr>
            <w:tcW w:type="dxa" w:w="2400"/>
            <w:vAlign w:val="center"/>
          </w:tcPr>
          <w:p>
            <w:pPr>
              <w:pStyle w:val="TableText"/>
            </w:pPr>
            <w:r>
              <w:t>E 分類</w:t>
            </w:r>
          </w:p>
        </w:tc>
        <w:tc>
          <w:tcPr>
            <w:tcW w:type="dxa" w:w="6960"/>
            <w:vAlign w:val="center"/>
          </w:tcPr>
          <w:p>
            <w:pPr>
              <w:pStyle w:val="TableText"/>
            </w:pPr>
            <w:r>
              <w:t>患者集団・治療量と病期の組合せに関連したドメイン差。①〜③を独立統制した検証ではない。</w:t>
            </w:r>
          </w:p>
        </w:tc>
      </w:tr>
      <w:tr>
        <w:trPr>
          <w:cantSplit/>
        </w:trPr>
        <w:tc>
          <w:tcPr>
            <w:tcW w:type="dxa" w:w="2400"/>
            <w:vAlign w:val="center"/>
          </w:tcPr>
          <w:p>
            <w:pPr>
              <w:pStyle w:val="TableText"/>
            </w:pPr>
            <w:r>
              <w:t>F 時間</w:t>
            </w:r>
          </w:p>
        </w:tc>
        <w:tc>
          <w:tcPr>
            <w:tcW w:type="dxa" w:w="6960"/>
            <w:vAlign w:val="center"/>
          </w:tcPr>
          <w:p>
            <w:pPr>
              <w:pStyle w:val="TableText"/>
            </w:pPr>
            <w:r>
              <w:t>5年は予測評価時点であって入力窓ではない。患者特徴は単行。時系列粒度、反復測定構造は未提示。</w:t>
            </w:r>
          </w:p>
        </w:tc>
      </w:tr>
      <w:tr>
        <w:trPr>
          <w:cantSplit/>
        </w:trPr>
        <w:tc>
          <w:tcPr>
            <w:tcW w:type="dxa" w:w="2400"/>
            <w:vAlign w:val="center"/>
          </w:tcPr>
          <w:p>
            <w:pPr>
              <w:pStyle w:val="TableText"/>
            </w:pPr>
            <w:r>
              <w:t>G 分割</w:t>
            </w:r>
          </w:p>
        </w:tc>
        <w:tc>
          <w:tcPr>
            <w:tcW w:type="dxa" w:w="6960"/>
            <w:vAlign w:val="center"/>
          </w:tcPr>
          <w:p>
            <w:pPr>
              <w:pStyle w:val="TableText"/>
            </w:pPr>
            <w:r>
              <w:t>切除数閾値0〜30の31シナリオ。陽性pT3–4かつ閾値以上をテスト、それ以外を学習。固定80/20ではない。</w:t>
            </w:r>
          </w:p>
        </w:tc>
      </w:tr>
      <w:tr>
        <w:trPr>
          <w:cantSplit/>
        </w:trPr>
        <w:tc>
          <w:tcPr>
            <w:tcW w:type="dxa" w:w="2400"/>
            <w:vAlign w:val="center"/>
          </w:tcPr>
          <w:p>
            <w:pPr>
              <w:pStyle w:val="TableText"/>
            </w:pPr>
            <w:r>
              <w:t>H 検知情報</w:t>
            </w:r>
          </w:p>
        </w:tc>
        <w:tc>
          <w:tcPr>
            <w:tcW w:type="dxa" w:w="6960"/>
            <w:vAlign w:val="center"/>
          </w:tcPr>
          <w:p>
            <w:pPr>
              <w:pStyle w:val="TableText"/>
            </w:pPr>
            <w:r>
              <w:t>新患者の生存結果を待たずスコア可能。ただし学習には生存情報、計算には森林構造と参照事例を必要とする。</w:t>
            </w:r>
          </w:p>
        </w:tc>
      </w:tr>
    </w:tbl>
    <w:p>
      <w:pPr>
        <w:spacing w:after="0"/>
        <w:snapToGrid w:val="0"/>
      </w:pPr>
    </w:p>
    <w:p>
      <w:pPr>
        <w:pStyle w:val="Heading2"/>
        <w:snapToGrid w:val="0"/>
      </w:pPr>
      <w:r>
        <w:t>5　具体的アルゴリズムと学習・運用条件</w:t>
      </w:r>
    </w:p>
    <w:p>
      <w:pPr>
        <w:pStyle w:val="Heading3"/>
        <w:snapToGrid w:val="0"/>
      </w:pPr>
      <w:r>
        <w:t>5.1　学習時</w:t>
      </w:r>
    </w:p>
    <w:p>
      <w:pPr>
        <w:snapToGrid w:val="0"/>
      </w:pPr>
      <w:r>
        <w:t>IDの(X,Y)で森林を学習し、VarProで選択集合Sと重みを得る。木の根から葉までのルール、参照訓練X、標準化統計を保存する。生存モデルではYの代わりに観測時間・イベント指標を用いる。異常データは検知器学習に必須ではなく、論文では主に評価用に合成する。</w:t>
      </w:r>
    </w:p>
    <w:p>
      <w:pPr>
        <w:pStyle w:val="Heading3"/>
        <w:snapToGrid w:val="0"/>
      </w:pPr>
      <w:r>
        <w:t>5.2　運用時</w:t>
      </w:r>
    </w:p>
    <w:p>
      <w:pPr>
        <w:snapToGrid w:val="0"/>
      </w:pPr>
      <w:r>
        <w:t>新入力を訓練時と同じ列・単位・符号化にそろえる。入力を含むルールを取得し、選択変数を一つずつ解放して訓練点の出現頻度を数える。頻度の総数×Giniで参照候補を順位付けし、上位K点までの選択変数上の距離を集約する。真のY、予測残差、予測分散を直接用いない。</w:t>
      </w:r>
    </w:p>
    <w:p>
      <w:pPr>
        <w:snapToGrid w:val="0"/>
      </w:pPr>
      <w:r>
        <w:t>必要なのは森林内部ルールであり、“モデルの出力を必要としない”と“モデル内部情報も不要”は異なる。既存モデルがブラックボックスNNの場合、別の森林を学習することは可能だが、その森林が評価する支持領域と元のNNの信頼性が一致するかは別途確認が必要である。</w:t>
      </w:r>
    </w:p>
    <w:p>
      <w:pPr>
        <w:pStyle w:val="Heading3"/>
        <w:snapToGrid w:val="0"/>
      </w:pPr>
      <w:r>
        <w:t>5.3　スコアと閾値</w:t>
      </w:r>
    </w:p>
    <w:p>
      <w:pPr>
        <w:snapToGrid w:val="0"/>
      </w:pPr>
      <w:r>
        <w:t>主スコアdが大きいほどOOD。参照CDFによって100F̂₀(d)へ変換できる。論文ケーススタディの90／95は分位の参照線であり、普遍的な正解率・誤報率ではない。VarProのcutoff、copulaのqやτ、運用警報閾値を混同しない。</w:t>
      </w:r>
    </w:p>
    <w:p>
      <w:pPr>
        <w:snapToGrid w:val="0"/>
      </w:pPr>
      <w:r>
        <w:t>【本課題への提案】独立した正常検証区間で、許容警報率に応じた上側分位を決め、最終評価では固定する。例えば99%分位を候補にしても、未来の変動や時間依存の下で1%誤報を保証するわけではない。必要なら連続超過条件を追加し、遅延とのトレードオフを測る。</w:t>
      </w:r>
    </w:p>
    <w:p>
      <w:pPr>
        <w:pStyle w:val="Heading3"/>
        <w:snapToGrid w:val="0"/>
      </w:pPr>
      <w:r>
        <w:t>5.4　実装時に明示すべき設定</w:t>
      </w:r>
    </w:p>
    <w:p>
      <w:pPr>
        <w:snapToGrid w:val="0"/>
      </w:pPr>
      <w:r>
        <w:t>現在の3.2.0公開ソースでは既定のdistancef="knn"は通常の子空間KNNである。本文の森林由来近傍を使う分枝はdistancef="manhattan"などで明示する。outpro.nullにも同じdistancef、選択集合、重み、Kを適用する。パッケージ版、選択変数、実際の正規化重み、標準化値、無効列除去、参考CDFを記録する。【C1–C3】</w:t>
      </w:r>
    </w:p>
    <w:p>
      <w:pPr>
        <w:snapToGrid w:val="0"/>
      </w:pPr>
      <w:r>
        <w:t>公開ソフトはGPL≥3、CRAN表示はR≥4.3.0、randomForestSRC≥3.4.5、OpenMP等を要求する。今回確認は静的読解までで、環境構築・訓練・性能再実行はしていない。【S2】</w:t>
      </w:r>
    </w:p>
    <w:p>
      <w:pPr>
        <w:pStyle w:val="Heading2"/>
        <w:snapToGrid w:val="0"/>
      </w:pPr>
      <w:r>
        <w:t>6　評価方法・結果・トレードオフ</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論文／本報告の整理</w:t>
            </w:r>
          </w:p>
        </w:tc>
      </w:tr>
      <w:tr>
        <w:trPr>
          <w:cantSplit/>
        </w:trPr>
        <w:tc>
          <w:tcPr>
            <w:tcW w:type="dxa" w:w="2400"/>
            <w:vAlign w:val="center"/>
          </w:tcPr>
          <w:p>
            <w:pPr>
              <w:pStyle w:val="TableText"/>
            </w:pPr>
            <w:r>
              <w:t>評価正解</w:t>
            </w:r>
          </w:p>
        </w:tc>
        <w:tc>
          <w:tcPr>
            <w:tcW w:type="dxa" w:w="6960"/>
            <w:vAlign w:val="center"/>
          </w:tcPr>
          <w:p>
            <w:pPr>
              <w:pStyle w:val="TableText"/>
            </w:pPr>
            <w:r>
              <w:t>Friedmanは支持外ラベル。PMLB／微小アレイはcopula生成ラベル。WECCは外部異常正解なし。</w:t>
            </w:r>
          </w:p>
        </w:tc>
      </w:tr>
      <w:tr>
        <w:trPr>
          <w:cantSplit/>
        </w:trPr>
        <w:tc>
          <w:tcPr>
            <w:tcW w:type="dxa" w:w="2400"/>
            <w:vAlign w:val="center"/>
          </w:tcPr>
          <w:p>
            <w:pPr>
              <w:pStyle w:val="TableText"/>
            </w:pPr>
            <w:r>
              <w:t>主指標</w:t>
            </w:r>
          </w:p>
        </w:tc>
        <w:tc>
          <w:tcPr>
            <w:tcW w:type="dxa" w:w="6960"/>
            <w:vAlign w:val="center"/>
          </w:tcPr>
          <w:p>
            <w:pPr>
              <w:pStyle w:val="TableText"/>
            </w:pPr>
            <w:r>
              <w:t>AUC-PR、100反復の分布、平均順位、NemenyiのCD図。</w:t>
            </w:r>
          </w:p>
        </w:tc>
      </w:tr>
      <w:tr>
        <w:trPr>
          <w:cantSplit/>
        </w:trPr>
        <w:tc>
          <w:tcPr>
            <w:tcW w:type="dxa" w:w="2400"/>
            <w:vAlign w:val="center"/>
          </w:tcPr>
          <w:p>
            <w:pPr>
              <w:pStyle w:val="TableText"/>
            </w:pPr>
            <w:r>
              <w:t>主要比較</w:t>
            </w:r>
          </w:p>
        </w:tc>
        <w:tc>
          <w:tcPr>
            <w:tcW w:type="dxa" w:w="6960"/>
            <w:vAlign w:val="center"/>
          </w:tcPr>
          <w:p>
            <w:pPr>
              <w:pStyle w:val="TableText"/>
            </w:pPr>
            <w:r>
              <w:t>LOF、Isolation Forest、OCSVM、kNN密度、Mahalanobis、GP、DKL、Ensembles、潜在GMM／DkNN、回帰用に改変したMSP／ODIN等。</w:t>
            </w:r>
          </w:p>
        </w:tc>
      </w:tr>
      <w:tr>
        <w:trPr>
          <w:cantSplit/>
        </w:trPr>
        <w:tc>
          <w:tcPr>
            <w:tcW w:type="dxa" w:w="2400"/>
            <w:vAlign w:val="center"/>
          </w:tcPr>
          <w:p>
            <w:pPr>
              <w:pStyle w:val="TableText"/>
            </w:pPr>
            <w:r>
              <w:t>結果の強み</w:t>
            </w:r>
          </w:p>
        </w:tc>
        <w:tc>
          <w:tcPr>
            <w:tcW w:type="dxa" w:w="6960"/>
            <w:vAlign w:val="center"/>
          </w:tcPr>
          <w:p>
            <w:pPr>
              <w:pStyle w:val="TableText"/>
            </w:pPr>
            <w:r>
              <w:t>小さい予測変数への摂動、PMLBと高次元のjointでOutProが強い。</w:t>
            </w:r>
          </w:p>
        </w:tc>
      </w:tr>
      <w:tr>
        <w:trPr>
          <w:cantSplit/>
        </w:trPr>
        <w:tc>
          <w:tcPr>
            <w:tcW w:type="dxa" w:w="2400"/>
            <w:vAlign w:val="center"/>
          </w:tcPr>
          <w:p>
            <w:pPr>
              <w:pStyle w:val="TableText"/>
            </w:pPr>
            <w:r>
              <w:t>結果の弱み</w:t>
            </w:r>
          </w:p>
        </w:tc>
        <w:tc>
          <w:tcPr>
            <w:tcW w:type="dxa" w:w="6960"/>
            <w:vAlign w:val="center"/>
          </w:tcPr>
          <w:p>
            <w:pPr>
              <w:pStyle w:val="TableText"/>
            </w:pPr>
            <w:r>
              <w:t>warpでは従来の密度・分離型手法がしばしば上位。高次元supportではkNN密度が最良。</w:t>
            </w:r>
          </w:p>
        </w:tc>
      </w:tr>
      <w:tr>
        <w:trPr>
          <w:cantSplit/>
        </w:trPr>
        <w:tc>
          <w:tcPr>
            <w:tcW w:type="dxa" w:w="2400"/>
            <w:vAlign w:val="center"/>
          </w:tcPr>
          <w:p>
            <w:pPr>
              <w:pStyle w:val="TableText"/>
            </w:pPr>
            <w:r>
              <w:t>消融の注意</w:t>
            </w:r>
          </w:p>
        </w:tc>
        <w:tc>
          <w:tcPr>
            <w:tcW w:type="dxa" w:w="6960"/>
            <w:vAlign w:val="center"/>
          </w:tcPr>
          <w:p>
            <w:pPr>
              <w:pStyle w:val="TableText"/>
            </w:pPr>
            <w:r>
              <w:t>Full OutPro平均順位1.84、子空間KNN2.33。ただしjoint単独ではKNN1.47がFull2.88より良い。</w:t>
            </w:r>
          </w:p>
        </w:tc>
      </w:tr>
      <w:tr>
        <w:trPr>
          <w:cantSplit/>
        </w:trPr>
        <w:tc>
          <w:tcPr>
            <w:tcW w:type="dxa" w:w="2400"/>
            <w:vAlign w:val="center"/>
          </w:tcPr>
          <w:p>
            <w:pPr>
              <w:pStyle w:val="TableText"/>
            </w:pPr>
            <w:r>
              <w:t>閾値依存の指標</w:t>
            </w:r>
          </w:p>
        </w:tc>
        <w:tc>
          <w:tcPr>
            <w:tcW w:type="dxa" w:w="6960"/>
            <w:vAlign w:val="center"/>
          </w:tcPr>
          <w:p>
            <w:pPr>
              <w:pStyle w:val="TableText"/>
            </w:pPr>
            <w:r>
              <w:t>固定FPRでのTPR、イベント単位検知率、検知遅延、実運用の適合率は十分に提示されていない。</w:t>
            </w:r>
          </w:p>
        </w:tc>
      </w:tr>
      <w:tr>
        <w:trPr>
          <w:cantSplit/>
        </w:trPr>
        <w:tc>
          <w:tcPr>
            <w:tcW w:type="dxa" w:w="2400"/>
            <w:vAlign w:val="center"/>
          </w:tcPr>
          <w:p>
            <w:pPr>
              <w:pStyle w:val="TableText"/>
            </w:pPr>
            <w:r>
              <w:t>性能保証</w:t>
            </w:r>
          </w:p>
        </w:tc>
        <w:tc>
          <w:tcPr>
            <w:tcW w:type="dxa" w:w="6960"/>
            <w:vAlign w:val="center"/>
          </w:tcPr>
          <w:p>
            <w:pPr>
              <w:pStyle w:val="TableText"/>
            </w:pPr>
            <w:r>
              <w:t>順位優位は全ケースの検知保証でも、予測誤差の上界でもない。</w:t>
            </w:r>
          </w:p>
        </w:tc>
      </w:tr>
    </w:tbl>
    <w:p>
      <w:pPr>
        <w:spacing w:after="0"/>
        <w:snapToGrid w:val="0"/>
      </w:pPr>
    </w:p>
    <w:p>
      <w:pPr>
        <w:snapToGrid w:val="0"/>
      </w:pPr>
      <w:r>
        <w:t>閾値を下げると通常は検知数も誤検知数も増える。継続判定を追加すれば単発誤報を減らせる一方、短い異常の見逃しと検知遅延を増やし得る。また、予測に無関係と判断した変数の異常を見逃すことは、この方法の意図した取捨選択でもあり、安全監視の要求と一致するか確認が必要である。</w:t>
      </w:r>
    </w:p>
    <w:p>
      <w:pPr>
        <w:pStyle w:val="Heading3"/>
        <w:snapToGrid w:val="0"/>
      </w:pPr>
      <w:r>
        <w:t>正解がない場合の評価</w:t>
      </w:r>
    </w:p>
    <w:p>
      <w:pPr>
        <w:snapToGrid w:val="0"/>
      </w:pPr>
      <w:r>
        <w:t>OODラベルがなくYだけある場合、回帰誤差が大きい事例にスコアが反応するか、非警報群の誤差が小さいかを評価できるが、真のOOD検知率とは呼べない。OODラベルだけあればAUC-PRやTPR/FPRを測れるが、予測誤差との関係は不明である。両方ない場合は警報頻度、スコア分布、専門家確認、後日得られるYを蓄積する。WECCの集団スコア分析はこの種の関連付けであり、正解ラベルを持つ検知試験の代替ではない。</w:t>
      </w:r>
    </w:p>
    <w:p>
      <w:pPr>
        <w:pStyle w:val="Heading2"/>
        <w:snapToGrid w:val="0"/>
      </w:pPr>
      <w:r>
        <w:t>7　長所・短所・制約条件</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観点</w:t>
            </w:r>
          </w:p>
        </w:tc>
        <w:tc>
          <w:tcPr>
            <w:tcW w:type="dxa" w:w="6960"/>
            <w:vAlign w:val="center"/>
            <w:shd w:fill="E8EEF5"/>
          </w:tcPr>
          <w:p>
            <w:pPr>
              <w:pStyle w:val="TableText"/>
            </w:pPr>
            <w:r>
              <w:rPr>
                <w:b/>
                <w:color w:val="1F4D78"/>
              </w:rPr>
              <w:t>評価</w:t>
            </w:r>
          </w:p>
        </w:tc>
      </w:tr>
      <w:tr>
        <w:trPr>
          <w:cantSplit/>
        </w:trPr>
        <w:tc>
          <w:tcPr>
            <w:tcW w:type="dxa" w:w="2400"/>
            <w:vAlign w:val="center"/>
          </w:tcPr>
          <w:p>
            <w:pPr>
              <w:pStyle w:val="TableText"/>
            </w:pPr>
            <w:r>
              <w:t>長所</w:t>
            </w:r>
          </w:p>
        </w:tc>
        <w:tc>
          <w:tcPr>
            <w:tcW w:type="dxa" w:w="6960"/>
            <w:vAlign w:val="center"/>
          </w:tcPr>
          <w:p>
            <w:pPr>
              <w:pStyle w:val="TableText"/>
            </w:pPr>
            <w:r>
              <w:t>重要な少数入力に集中できる。モデル依存の参照事例を示せる。新Yを待たず入力スコアを出せる。連続回帰・生存モデルに対応。</w:t>
            </w:r>
          </w:p>
        </w:tc>
      </w:tr>
      <w:tr>
        <w:trPr>
          <w:cantSplit/>
        </w:trPr>
        <w:tc>
          <w:tcPr>
            <w:tcW w:type="dxa" w:w="2400"/>
            <w:vAlign w:val="center"/>
          </w:tcPr>
          <w:p>
            <w:pPr>
              <w:pStyle w:val="TableText"/>
            </w:pPr>
            <w:r>
              <w:t>弱点</w:t>
            </w:r>
          </w:p>
        </w:tc>
        <w:tc>
          <w:tcPr>
            <w:tcW w:type="dxa" w:w="6960"/>
            <w:vAlign w:val="center"/>
          </w:tcPr>
          <w:p>
            <w:pPr>
              <w:pStyle w:val="TableText"/>
            </w:pPr>
            <w:r>
              <w:t>Sや重みを誤ると重要変化を逃す。無関係とされた変数の異常は低評価になり得る。純概念変化を検知できない。</w:t>
            </w:r>
          </w:p>
        </w:tc>
      </w:tr>
      <w:tr>
        <w:trPr>
          <w:cantSplit/>
        </w:trPr>
        <w:tc>
          <w:tcPr>
            <w:tcW w:type="dxa" w:w="2400"/>
            <w:vAlign w:val="center"/>
          </w:tcPr>
          <w:p>
            <w:pPr>
              <w:pStyle w:val="TableText"/>
            </w:pPr>
            <w:r>
              <w:t>対応モデル</w:t>
            </w:r>
          </w:p>
        </w:tc>
        <w:tc>
          <w:tcPr>
            <w:tcW w:type="dxa" w:w="6960"/>
            <w:vAlign w:val="center"/>
          </w:tcPr>
          <w:p>
            <w:pPr>
              <w:pStyle w:val="TableText"/>
            </w:pPr>
            <w:r>
              <w:t>本文は教師あり森林。実装はvarpro／rfsrcの適合済みオブジェクトを要求。任意の線形回帰・NN・外部APIへ無変更で適用できるとは示されていない。</w:t>
            </w:r>
          </w:p>
        </w:tc>
      </w:tr>
      <w:tr>
        <w:trPr>
          <w:cantSplit/>
        </w:trPr>
        <w:tc>
          <w:tcPr>
            <w:tcW w:type="dxa" w:w="2400"/>
            <w:vAlign w:val="center"/>
          </w:tcPr>
          <w:p>
            <w:pPr>
              <w:pStyle w:val="TableText"/>
            </w:pPr>
            <w:r>
              <w:t>必要学習量</w:t>
            </w:r>
          </w:p>
        </w:tc>
        <w:tc>
          <w:tcPr>
            <w:tcW w:type="dxa" w:w="6960"/>
            <w:vAlign w:val="center"/>
          </w:tcPr>
          <w:p>
            <w:pPr>
              <w:pStyle w:val="TableText"/>
            </w:pPr>
            <w:r>
              <w:t>一律の最小件数保証なし。小規模データでも評価されるが、参照集合と変数選択の安定性はデータの代表性に依存。</w:t>
            </w:r>
          </w:p>
        </w:tc>
      </w:tr>
      <w:tr>
        <w:trPr>
          <w:cantSplit/>
        </w:trPr>
        <w:tc>
          <w:tcPr>
            <w:tcW w:type="dxa" w:w="2400"/>
            <w:vAlign w:val="center"/>
          </w:tcPr>
          <w:p>
            <w:pPr>
              <w:pStyle w:val="TableText"/>
            </w:pPr>
            <w:r>
              <w:t>高次元</w:t>
            </w:r>
          </w:p>
        </w:tc>
        <w:tc>
          <w:tcPr>
            <w:tcW w:type="dxa" w:w="6960"/>
            <w:vAlign w:val="center"/>
          </w:tcPr>
          <w:p>
            <w:pPr>
              <w:pStyle w:val="TableText"/>
            </w:pPr>
            <w:r>
              <w:t>変数選択で負荷と希釈を軽減する一方、共分散の特異性、離散化・符号化、選択不安定性に注意。</w:t>
            </w:r>
          </w:p>
        </w:tc>
      </w:tr>
      <w:tr>
        <w:trPr>
          <w:cantSplit/>
        </w:trPr>
        <w:tc>
          <w:tcPr>
            <w:tcW w:type="dxa" w:w="2400"/>
            <w:vAlign w:val="center"/>
          </w:tcPr>
          <w:p>
            <w:pPr>
              <w:pStyle w:val="TableText"/>
            </w:pPr>
            <w:r>
              <w:t>欠測・定数</w:t>
            </w:r>
          </w:p>
        </w:tc>
        <w:tc>
          <w:tcPr>
            <w:tcW w:type="dxa" w:w="6960"/>
            <w:vAlign w:val="center"/>
          </w:tcPr>
          <w:p>
            <w:pPr>
              <w:pStyle w:val="TableText"/>
            </w:pPr>
            <w:r>
              <w:t>既存前処理に依存。現行距離コードは訓練標準偏差ゼロの列を除くため、定数列の新しい変化は別途監視したい。</w:t>
            </w:r>
          </w:p>
        </w:tc>
      </w:tr>
      <w:tr>
        <w:trPr>
          <w:cantSplit/>
        </w:trPr>
        <w:tc>
          <w:tcPr>
            <w:tcW w:type="dxa" w:w="2400"/>
            <w:vAlign w:val="center"/>
          </w:tcPr>
          <w:p>
            <w:pPr>
              <w:pStyle w:val="TableText"/>
            </w:pPr>
            <w:r>
              <w:t>時間構造</w:t>
            </w:r>
          </w:p>
        </w:tc>
        <w:tc>
          <w:tcPr>
            <w:tcW w:type="dxa" w:w="6960"/>
            <w:vAlign w:val="center"/>
          </w:tcPr>
          <w:p>
            <w:pPr>
              <w:pStyle w:val="TableText"/>
            </w:pPr>
            <w:r>
              <w:t>単行のOOD。遅れ特徴や窓特徴への拡張は可能性であり、論文で実証された時系列検知性能ではない。</w:t>
            </w:r>
          </w:p>
        </w:tc>
      </w:tr>
      <w:tr>
        <w:trPr>
          <w:cantSplit/>
        </w:trPr>
        <w:tc>
          <w:tcPr>
            <w:tcW w:type="dxa" w:w="2400"/>
            <w:vAlign w:val="center"/>
          </w:tcPr>
          <w:p>
            <w:pPr>
              <w:pStyle w:val="TableText"/>
            </w:pPr>
            <w:r>
              <w:t>計算量</w:t>
            </w:r>
          </w:p>
        </w:tc>
        <w:tc>
          <w:tcPr>
            <w:tcW w:type="dxa" w:w="6960"/>
            <w:vAlign w:val="center"/>
          </w:tcPr>
          <w:p>
            <w:pPr>
              <w:pStyle w:val="TableText"/>
            </w:pPr>
            <w:r>
              <w:t>単純実装ではルール照合・訓練点頻度集計・上位K選択・距離集約が必要。n、森林規模、選択次元、ルール長に依存。</w:t>
            </w:r>
          </w:p>
        </w:tc>
      </w:tr>
      <w:tr>
        <w:trPr>
          <w:cantSplit/>
        </w:trPr>
        <w:tc>
          <w:tcPr>
            <w:tcW w:type="dxa" w:w="2400"/>
            <w:vAlign w:val="center"/>
          </w:tcPr>
          <w:p>
            <w:pPr>
              <w:pStyle w:val="TableText"/>
            </w:pPr>
            <w:r>
              <w:t>リアルタイム性</w:t>
            </w:r>
          </w:p>
        </w:tc>
        <w:tc>
          <w:tcPr>
            <w:tcW w:type="dxa" w:w="6960"/>
            <w:vAlign w:val="center"/>
          </w:tcPr>
          <w:p>
            <w:pPr>
              <w:pStyle w:val="TableText"/>
            </w:pPr>
            <w:r>
              <w:t>著者は研究対象の計算時間を最大でも30秒未満と概述。計測範囲・産業CPUの単点最悪遅延は不足。</w:t>
            </w:r>
          </w:p>
        </w:tc>
      </w:tr>
      <w:tr>
        <w:trPr>
          <w:cantSplit/>
        </w:trPr>
        <w:tc>
          <w:tcPr>
            <w:tcW w:type="dxa" w:w="2400"/>
            <w:vAlign w:val="center"/>
          </w:tcPr>
          <w:p>
            <w:pPr>
              <w:pStyle w:val="TableText"/>
            </w:pPr>
            <w:r>
              <w:t>再現性</w:t>
            </w:r>
          </w:p>
        </w:tc>
        <w:tc>
          <w:tcPr>
            <w:tcW w:type="dxa" w:w="6960"/>
            <w:vAlign w:val="center"/>
          </w:tcPr>
          <w:p>
            <w:pPr>
              <w:pStyle w:val="TableText"/>
            </w:pPr>
            <w:r>
              <w:t>論文と現在コードに既定距離、Mahalanobis定義、OPTICS可用性の差。実験に使った版を固定する必要。</w:t>
            </w:r>
          </w:p>
        </w:tc>
      </w:tr>
    </w:tbl>
    <w:p>
      <w:pPr>
        <w:spacing w:after="0"/>
        <w:snapToGrid w:val="0"/>
      </w:pPr>
    </w:p>
    <w:p>
      <w:pPr>
        <w:snapToGrid w:val="0"/>
      </w:pPr>
      <w:r>
        <w:t>【計算量の目安：本報告の推定】訓練n件、選択m変数、テスト点に関係するBルール、1照合の制約確認長Lとすると、素朴な頻度計算はO(nmBL)、全順位付けO(nlog n)、加法距離集約O(Km)。効率化・索引・並列化で実測は変わる。森林学習と変数選択は別の離線コストであり、この式をパッケージの厳密性能保証とはしない。</w:t>
      </w:r>
    </w:p>
    <w:p>
      <w:pPr>
        <w:pStyle w:val="Heading2"/>
        <w:snapToGrid w:val="0"/>
      </w:pPr>
      <w:r>
        <w:t>8　適用事例と社会インフラへの適用可能性</w:t>
      </w:r>
    </w:p>
    <w:p>
      <w:pPr>
        <w:snapToGrid w:val="0"/>
      </w:pPr>
      <w:r>
        <w:t>論文の実証は数値回帰、遺伝子発現に基づく生存関連予測、WECC集団解析であり、水道末端圧力モデルや監視制御ループでの検証はない。想定用途は、モデルが頼る入力の組合せが学習時と違う場合に、予測採用を保留して確認へ回す補助スコアである。</w:t>
      </w:r>
    </w:p>
    <w:p>
      <w:pPr>
        <w:pStyle w:val="Heading3"/>
        <w:snapToGrid w:val="0"/>
      </w:pPr>
      <w:r>
        <w:t>8.1　末端圧力推定との接続案</w:t>
      </w:r>
    </w:p>
    <w:p>
      <w:pPr>
        <w:snapToGrid w:val="0"/>
      </w:pPr>
      <w:r>
        <w:t>【仮定に基づく応用案】圧力モデルがポンプ状態、流量、弁状態などを使う場合、各値が範囲内でも組合せが珍しい事例を調べる候補となる。これらの入力項目は本報告の例であり、山原さんの論文の採用項目として確認したものではない。</w:t>
      </w:r>
    </w:p>
    <w:p>
      <w:pPr>
        <w:snapToGrid w:val="0"/>
      </w:pPr>
      <w:r>
        <w:t>既存モデルが森林で、そのルールと学習データを利用できるなら接続しやすい。NN等なら別の森林を学習する案と、既存NNの内部特徴に基づく案を比較する。別森林が選ぶ重要変数が対象圧力モデルと一致するか、予測誤差を使って検証する。</w:t>
      </w:r>
    </w:p>
    <w:p>
      <w:pPr>
        <w:pStyle w:val="Heading3"/>
        <w:snapToGrid w:val="0"/>
      </w:pPr>
      <w:r>
        <w:t>8.2　実習での評価計画</w:t>
      </w:r>
    </w:p>
    <w:p>
      <w:pPr>
        <w:snapToGrid w:val="0"/>
      </w:pPr>
      <w:r>
        <w:t>まず時間順に学習・閾値検証・最終テストを分ける。①範囲外、②特定工況の学習希薄化、③周辺分布・範囲をできるだけ保った関係変更を別々に設計する。③では物理的に妥当な運転条件やシミュレーションを使い、単なる無作為な組合せだけに依存しない。</w:t>
      </w:r>
    </w:p>
    <w:p>
      <w:pPr>
        <w:snapToGrid w:val="0"/>
      </w:pPr>
      <w:r>
        <w:t>比較対象は、各項目の範囲判定、全変数KNN、VarPro子空間KNN、森林近傍OutProを最低限そろえる。これに前篇Density-Regressionの密度／分散スコアを追加できる。ただし予測モデルとデータ分割が異なる結果を直接競わせない。</w:t>
      </w:r>
    </w:p>
    <w:p>
      <w:pPr>
        <w:snapToGrid w:val="0"/>
      </w:pPr>
      <w:r>
        <w:t>固定誤報率での検知率、イベント検知、遅延、非警報時の回帰誤差、処理時間・メモリを測る。入力が不変でも出力関係が変わるケースには、真の圧力取得後の残差監視などを併設する。予測関連の異常検知と設備安全ルールを同一視しない。</w:t>
      </w:r>
    </w:p>
    <w:p>
      <w:pPr>
        <w:pStyle w:val="Heading3"/>
        <w:snapToGrid w:val="0"/>
      </w:pPr>
      <w:r>
        <w:t>8.3　山原論文との照合待ち事項</w:t>
      </w:r>
    </w:p>
    <w:p>
      <w:pPr>
        <w:snapToGrid w:val="0"/>
      </w:pPr>
      <w:r>
        <w:t>原論文本文が今回の資料にないため、具体的な数式・結果・モデル構造との同一性は未判定。確認したいのは、単時刻か複数時刻か、学習入力と真値の取得条件、森林かNNか、内部情報アクセスの可否、運転状態ごとの入力関係、異常・希薄領域の定義である。</w:t>
      </w:r>
    </w:p>
    <w:p>
      <w:pPr>
        <w:pStyle w:val="Heading2"/>
        <w:snapToGrid w:val="0"/>
      </w:pPr>
      <w:r>
        <w:t>9　Density-Regressionとの直接比較</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比較軸</w:t>
            </w:r>
          </w:p>
        </w:tc>
        <w:tc>
          <w:tcPr>
            <w:tcW w:type="dxa" w:w="3500"/>
            <w:vAlign w:val="center"/>
            <w:shd w:fill="E8EEF5"/>
          </w:tcPr>
          <w:p>
            <w:pPr>
              <w:pStyle w:val="TableText"/>
            </w:pPr>
            <w:r>
              <w:rPr>
                <w:b/>
                <w:color w:val="1F4D78"/>
              </w:rPr>
              <w:t>P01 Density-Regression</w:t>
            </w:r>
          </w:p>
        </w:tc>
        <w:tc>
          <w:tcPr>
            <w:tcW w:type="dxa" w:w="3810"/>
            <w:vAlign w:val="center"/>
            <w:shd w:fill="E8EEF5"/>
          </w:tcPr>
          <w:p>
            <w:pPr>
              <w:pStyle w:val="TableText"/>
            </w:pPr>
            <w:r>
              <w:rPr>
                <w:b/>
                <w:color w:val="1F4D78"/>
              </w:rPr>
              <w:t>P02 OutPro</w:t>
            </w:r>
          </w:p>
        </w:tc>
      </w:tr>
      <w:tr>
        <w:trPr>
          <w:cantSplit/>
        </w:trPr>
        <w:tc>
          <w:tcPr>
            <w:tcW w:type="dxa" w:w="2050"/>
            <w:vAlign w:val="center"/>
          </w:tcPr>
          <w:p>
            <w:pPr>
              <w:pStyle w:val="TableText"/>
            </w:pPr>
            <w:r>
              <w:t>中心課題</w:t>
            </w:r>
          </w:p>
        </w:tc>
        <w:tc>
          <w:tcPr>
            <w:tcW w:type="dxa" w:w="3500"/>
            <w:vAlign w:val="center"/>
          </w:tcPr>
          <w:p>
            <w:pPr>
              <w:pStyle w:val="TableText"/>
            </w:pPr>
            <w:r>
              <w:t>分布変化下の回帰不確実性。</w:t>
            </w:r>
          </w:p>
        </w:tc>
        <w:tc>
          <w:tcPr>
            <w:tcW w:type="dxa" w:w="3810"/>
            <w:vAlign w:val="center"/>
          </w:tcPr>
          <w:p>
            <w:pPr>
              <w:pStyle w:val="TableText"/>
            </w:pPr>
            <w:r>
              <w:t>予測に関係する学習外入力の距離評価。</w:t>
            </w:r>
          </w:p>
        </w:tc>
      </w:tr>
      <w:tr>
        <w:trPr>
          <w:cantSplit/>
        </w:trPr>
        <w:tc>
          <w:tcPr>
            <w:tcW w:type="dxa" w:w="2050"/>
            <w:vAlign w:val="center"/>
          </w:tcPr>
          <w:p>
            <w:pPr>
              <w:pStyle w:val="TableText"/>
            </w:pPr>
            <w:r>
              <w:t>主要機構</w:t>
            </w:r>
          </w:p>
        </w:tc>
        <w:tc>
          <w:tcPr>
            <w:tcW w:type="dxa" w:w="3500"/>
            <w:vAlign w:val="center"/>
          </w:tcPr>
          <w:p>
            <w:pPr>
              <w:pStyle w:val="TableText"/>
            </w:pPr>
            <w:r>
              <w:t>特徴密度をガウス予測分散へ反映。</w:t>
            </w:r>
          </w:p>
        </w:tc>
        <w:tc>
          <w:tcPr>
            <w:tcW w:type="dxa" w:w="3810"/>
            <w:vAlign w:val="center"/>
          </w:tcPr>
          <w:p>
            <w:pPr>
              <w:pStyle w:val="TableText"/>
            </w:pPr>
            <w:r>
              <w:t>森林ルールで変数・参照近傍を選び距離集約。</w:t>
            </w:r>
          </w:p>
        </w:tc>
      </w:tr>
      <w:tr>
        <w:trPr>
          <w:cantSplit/>
        </w:trPr>
        <w:tc>
          <w:tcPr>
            <w:tcW w:type="dxa" w:w="2050"/>
            <w:vAlign w:val="center"/>
          </w:tcPr>
          <w:p>
            <w:pPr>
              <w:pStyle w:val="TableText"/>
            </w:pPr>
            <w:r>
              <w:t>モデル情報</w:t>
            </w:r>
          </w:p>
        </w:tc>
        <w:tc>
          <w:tcPr>
            <w:tcW w:type="dxa" w:w="3500"/>
            <w:vAlign w:val="center"/>
          </w:tcPr>
          <w:p>
            <w:pPr>
              <w:pStyle w:val="TableText"/>
            </w:pPr>
            <w:r>
              <w:t>本文はNN特徴・回帰頭・密度モデル。</w:t>
            </w:r>
          </w:p>
        </w:tc>
        <w:tc>
          <w:tcPr>
            <w:tcW w:type="dxa" w:w="3810"/>
            <w:vAlign w:val="center"/>
          </w:tcPr>
          <w:p>
            <w:pPr>
              <w:pStyle w:val="TableText"/>
            </w:pPr>
            <w:r>
              <w:t>教師あり森林のルール、訓練参照事例。</w:t>
            </w:r>
          </w:p>
        </w:tc>
      </w:tr>
      <w:tr>
        <w:trPr>
          <w:cantSplit/>
        </w:trPr>
        <w:tc>
          <w:tcPr>
            <w:tcW w:type="dxa" w:w="2050"/>
            <w:vAlign w:val="center"/>
          </w:tcPr>
          <w:p>
            <w:pPr>
              <w:pStyle w:val="TableText"/>
            </w:pPr>
            <w:r>
              <w:t>運用時真値</w:t>
            </w:r>
          </w:p>
        </w:tc>
        <w:tc>
          <w:tcPr>
            <w:tcW w:type="dxa" w:w="3500"/>
            <w:vAlign w:val="center"/>
          </w:tcPr>
          <w:p>
            <w:pPr>
              <w:pStyle w:val="TableText"/>
            </w:pPr>
            <w:r>
              <w:t>不要。</w:t>
            </w:r>
          </w:p>
        </w:tc>
        <w:tc>
          <w:tcPr>
            <w:tcW w:type="dxa" w:w="3810"/>
            <w:vAlign w:val="center"/>
          </w:tcPr>
          <w:p>
            <w:pPr>
              <w:pStyle w:val="TableText"/>
            </w:pPr>
            <w:r>
              <w:t>不要。</w:t>
            </w:r>
          </w:p>
        </w:tc>
      </w:tr>
      <w:tr>
        <w:trPr>
          <w:cantSplit/>
        </w:trPr>
        <w:tc>
          <w:tcPr>
            <w:tcW w:type="dxa" w:w="2050"/>
            <w:vAlign w:val="center"/>
          </w:tcPr>
          <w:p>
            <w:pPr>
              <w:pStyle w:val="TableText"/>
            </w:pPr>
            <w:r>
              <w:t>主な出力</w:t>
            </w:r>
          </w:p>
        </w:tc>
        <w:tc>
          <w:tcPr>
            <w:tcW w:type="dxa" w:w="3500"/>
            <w:vAlign w:val="center"/>
          </w:tcPr>
          <w:p>
            <w:pPr>
              <w:pStyle w:val="TableText"/>
            </w:pPr>
            <w:r>
              <w:t>予測平均・分散。</w:t>
            </w:r>
          </w:p>
        </w:tc>
        <w:tc>
          <w:tcPr>
            <w:tcW w:type="dxa" w:w="3810"/>
            <w:vAlign w:val="center"/>
          </w:tcPr>
          <w:p>
            <w:pPr>
              <w:pStyle w:val="TableText"/>
            </w:pPr>
            <w:r>
              <w:t>OOD距離、参照分位。</w:t>
            </w:r>
          </w:p>
        </w:tc>
      </w:tr>
      <w:tr>
        <w:trPr>
          <w:cantSplit/>
        </w:trPr>
        <w:tc>
          <w:tcPr>
            <w:tcW w:type="dxa" w:w="2050"/>
            <w:vAlign w:val="center"/>
          </w:tcPr>
          <w:p>
            <w:pPr>
              <w:pStyle w:val="TableText"/>
            </w:pPr>
            <w:r>
              <w:t>直接検知評価</w:t>
            </w:r>
          </w:p>
        </w:tc>
        <w:tc>
          <w:tcPr>
            <w:tcW w:type="dxa" w:w="3500"/>
            <w:vAlign w:val="center"/>
          </w:tcPr>
          <w:p>
            <w:pPr>
              <w:pStyle w:val="TableText"/>
            </w:pPr>
            <w:r>
              <w:t>NLL、RMSE、Cal等が中心。二値検知指標なし。</w:t>
            </w:r>
          </w:p>
        </w:tc>
        <w:tc>
          <w:tcPr>
            <w:tcW w:type="dxa" w:w="3810"/>
            <w:vAlign w:val="center"/>
          </w:tcPr>
          <w:p>
            <w:pPr>
              <w:pStyle w:val="TableText"/>
            </w:pPr>
            <w:r>
              <w:t>AUC-PRによる直接比較あり。固定FPRでのTPR等は不足。</w:t>
            </w:r>
          </w:p>
        </w:tc>
      </w:tr>
      <w:tr>
        <w:trPr>
          <w:cantSplit/>
        </w:trPr>
        <w:tc>
          <w:tcPr>
            <w:tcW w:type="dxa" w:w="2050"/>
            <w:vAlign w:val="center"/>
          </w:tcPr>
          <w:p>
            <w:pPr>
              <w:pStyle w:val="TableText"/>
            </w:pPr>
            <w:r>
              <w:t>③への実験</w:t>
            </w:r>
          </w:p>
        </w:tc>
        <w:tc>
          <w:tcPr>
            <w:tcW w:type="dxa" w:w="3500"/>
            <w:vAlign w:val="center"/>
          </w:tcPr>
          <w:p>
            <w:pPr>
              <w:pStyle w:val="TableText"/>
            </w:pPr>
            <w:r>
              <w:t>独立した関係変化実験は未確認。</w:t>
            </w:r>
          </w:p>
        </w:tc>
        <w:tc>
          <w:tcPr>
            <w:tcW w:type="dxa" w:w="3810"/>
            <w:vAlign w:val="center"/>
          </w:tcPr>
          <w:p>
            <w:pPr>
              <w:pStyle w:val="TableText"/>
            </w:pPr>
            <w:r>
              <w:t>copula jointあり。ただし厳密な周辺不変とは限らない。</w:t>
            </w:r>
          </w:p>
        </w:tc>
      </w:tr>
      <w:tr>
        <w:trPr>
          <w:cantSplit/>
        </w:trPr>
        <w:tc>
          <w:tcPr>
            <w:tcW w:type="dxa" w:w="2050"/>
            <w:vAlign w:val="center"/>
          </w:tcPr>
          <w:p>
            <w:pPr>
              <w:pStyle w:val="TableText"/>
            </w:pPr>
            <w:r>
              <w:t>時間系列</w:t>
            </w:r>
          </w:p>
        </w:tc>
        <w:tc>
          <w:tcPr>
            <w:tcW w:type="dxa" w:w="3500"/>
            <w:vAlign w:val="center"/>
          </w:tcPr>
          <w:p>
            <w:pPr>
              <w:pStyle w:val="TableText"/>
            </w:pPr>
            <w:r>
              <w:t>気象時系列あり。公開実装は単時刻Dense。</w:t>
            </w:r>
          </w:p>
        </w:tc>
        <w:tc>
          <w:tcPr>
            <w:tcW w:type="dxa" w:w="3810"/>
            <w:vAlign w:val="center"/>
          </w:tcPr>
          <w:p>
            <w:pPr>
              <w:pStyle w:val="TableText"/>
            </w:pPr>
            <w:r>
              <w:t>時系列入力の検証なし。生存時間は別概念。</w:t>
            </w:r>
          </w:p>
        </w:tc>
      </w:tr>
      <w:tr>
        <w:trPr>
          <w:cantSplit/>
        </w:trPr>
        <w:tc>
          <w:tcPr>
            <w:tcW w:type="dxa" w:w="2050"/>
            <w:vAlign w:val="center"/>
          </w:tcPr>
          <w:p>
            <w:pPr>
              <w:pStyle w:val="TableText"/>
            </w:pPr>
            <w:r>
              <w:t>閾値</w:t>
            </w:r>
          </w:p>
        </w:tc>
        <w:tc>
          <w:tcPr>
            <w:tcW w:type="dxa" w:w="3500"/>
            <w:vAlign w:val="center"/>
          </w:tcPr>
          <w:p>
            <w:pPr>
              <w:pStyle w:val="TableText"/>
            </w:pPr>
            <w:r>
              <w:t>学習内／外の閾値は追加設計。</w:t>
            </w:r>
          </w:p>
        </w:tc>
        <w:tc>
          <w:tcPr>
            <w:tcW w:type="dxa" w:w="3810"/>
            <w:vAlign w:val="center"/>
          </w:tcPr>
          <w:p>
            <w:pPr>
              <w:pStyle w:val="TableText"/>
            </w:pPr>
            <w:r>
              <w:t>経験CDF・ケースの90/95分位あり。校正済み汎用閾値保証ではない。</w:t>
            </w:r>
          </w:p>
        </w:tc>
      </w:tr>
      <w:tr>
        <w:trPr>
          <w:cantSplit/>
        </w:trPr>
        <w:tc>
          <w:tcPr>
            <w:tcW w:type="dxa" w:w="2050"/>
            <w:vAlign w:val="center"/>
          </w:tcPr>
          <w:p>
            <w:pPr>
              <w:pStyle w:val="TableText"/>
            </w:pPr>
            <w:r>
              <w:t>純概念変化</w:t>
            </w:r>
          </w:p>
        </w:tc>
        <w:tc>
          <w:tcPr>
            <w:tcW w:type="dxa" w:w="3500"/>
            <w:vAlign w:val="center"/>
          </w:tcPr>
          <w:p>
            <w:pPr>
              <w:pStyle w:val="TableText"/>
            </w:pPr>
            <w:r>
              <w:t>入力・固定モデルだけでは一般に識別不能。</w:t>
            </w:r>
          </w:p>
        </w:tc>
        <w:tc>
          <w:tcPr>
            <w:tcW w:type="dxa" w:w="3810"/>
            <w:vAlign w:val="center"/>
          </w:tcPr>
          <w:p>
            <w:pPr>
              <w:pStyle w:val="TableText"/>
            </w:pPr>
            <w:r>
              <w:t>同じ限界を本文で明確に認める。</w:t>
            </w:r>
          </w:p>
        </w:tc>
      </w:tr>
      <w:tr>
        <w:trPr>
          <w:cantSplit/>
        </w:trPr>
        <w:tc>
          <w:tcPr>
            <w:tcW w:type="dxa" w:w="2050"/>
            <w:vAlign w:val="center"/>
          </w:tcPr>
          <w:p>
            <w:pPr>
              <w:pStyle w:val="TableText"/>
            </w:pPr>
            <w:r>
              <w:t>本課題での位置付け</w:t>
            </w:r>
          </w:p>
        </w:tc>
        <w:tc>
          <w:tcPr>
            <w:tcW w:type="dxa" w:w="3500"/>
            <w:vAlign w:val="center"/>
          </w:tcPr>
          <w:p>
            <w:pPr>
              <w:pStyle w:val="TableText"/>
            </w:pPr>
            <w:r>
              <w:t>予測と不確実性を一体で扱う候補。</w:t>
            </w:r>
          </w:p>
        </w:tc>
        <w:tc>
          <w:tcPr>
            <w:tcW w:type="dxa" w:w="3810"/>
            <w:vAlign w:val="center"/>
          </w:tcPr>
          <w:p>
            <w:pPr>
              <w:pStyle w:val="TableText"/>
            </w:pPr>
            <w:r>
              <w:t>距離検知器と子空間選択の候補。</w:t>
            </w:r>
          </w:p>
        </w:tc>
      </w:tr>
    </w:tbl>
    <w:p>
      <w:pPr>
        <w:spacing w:after="0"/>
        <w:snapToGrid w:val="0"/>
      </w:pPr>
    </w:p>
    <w:p>
      <w:pPr>
        <w:snapToGrid w:val="0"/>
      </w:pPr>
      <w:r>
        <w:t>両論文は同じデータ・同じ検知指標で直接対決していないため、どちらの性能が上かはまだ判定できない。OutProは③の評価設計を考える資料としてより直接的であり、Density-Regressionは回帰出力の不確実性を併記する設計として参考になる。</w:t>
      </w:r>
    </w:p>
    <w:p>
      <w:pPr>
        <w:pStyle w:val="Heading2"/>
        <w:pageBreakBefore/>
        <w:snapToGrid w:val="0"/>
      </w:pPr>
      <w:r>
        <w:t>10　総合比較用の統一記録</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共通フィールド</w:t>
            </w:r>
          </w:p>
        </w:tc>
        <w:tc>
          <w:tcPr>
            <w:tcW w:type="dxa" w:w="6960"/>
            <w:vAlign w:val="center"/>
            <w:shd w:fill="E8EEF5"/>
          </w:tcPr>
          <w:p>
            <w:pPr>
              <w:pStyle w:val="TableText"/>
            </w:pPr>
            <w:r>
              <w:rPr>
                <w:b/>
                <w:color w:val="1F4D78"/>
              </w:rPr>
              <w:t>P02の記録</w:t>
            </w:r>
          </w:p>
        </w:tc>
      </w:tr>
      <w:tr>
        <w:trPr>
          <w:cantSplit/>
        </w:trPr>
        <w:tc>
          <w:tcPr>
            <w:tcW w:type="dxa" w:w="2400"/>
            <w:vAlign w:val="center"/>
          </w:tcPr>
          <w:p>
            <w:pPr>
              <w:pStyle w:val="TableText"/>
            </w:pPr>
            <w:r>
              <w:t>名称・分類</w:t>
            </w:r>
          </w:p>
        </w:tc>
        <w:tc>
          <w:tcPr>
            <w:tcW w:type="dxa" w:w="6960"/>
            <w:vAlign w:val="center"/>
          </w:tcPr>
          <w:p>
            <w:pPr>
              <w:pStyle w:val="TableText"/>
            </w:pPr>
            <w:r>
              <w:t>OutPro／モデルルール＋予測子空間の距離型。</w:t>
            </w:r>
          </w:p>
        </w:tc>
      </w:tr>
      <w:tr>
        <w:trPr>
          <w:cantSplit/>
        </w:trPr>
        <w:tc>
          <w:tcPr>
            <w:tcW w:type="dxa" w:w="2400"/>
            <w:vAlign w:val="center"/>
          </w:tcPr>
          <w:p>
            <w:pPr>
              <w:pStyle w:val="TableText"/>
            </w:pPr>
            <w:r>
              <w:t>学習外定義</w:t>
            </w:r>
          </w:p>
        </w:tc>
        <w:tc>
          <w:tcPr>
            <w:tcW w:type="dxa" w:w="6960"/>
            <w:vAlign w:val="center"/>
          </w:tcPr>
          <w:p>
            <w:pPr>
              <w:pStyle w:val="TableText"/>
            </w:pPr>
            <w:r>
              <w:t>広義の同時分布変化。実際の対象は予測関連の入力変化。</w:t>
            </w:r>
          </w:p>
        </w:tc>
      </w:tr>
      <w:tr>
        <w:trPr>
          <w:cantSplit/>
        </w:trPr>
        <w:tc>
          <w:tcPr>
            <w:tcW w:type="dxa" w:w="2400"/>
            <w:vAlign w:val="center"/>
          </w:tcPr>
          <w:p>
            <w:pPr>
              <w:pStyle w:val="TableText"/>
            </w:pPr>
            <w:r>
              <w:t>①②③</w:t>
            </w:r>
          </w:p>
        </w:tc>
        <w:tc>
          <w:tcPr>
            <w:tcW w:type="dxa" w:w="6960"/>
            <w:vAlign w:val="center"/>
          </w:tcPr>
          <w:p>
            <w:pPr>
              <w:pStyle w:val="TableText"/>
            </w:pPr>
            <w:r>
              <w:t>①直接、②間接・希薄化単独なし、③joint実験あり。</w:t>
            </w:r>
          </w:p>
        </w:tc>
      </w:tr>
      <w:tr>
        <w:trPr>
          <w:cantSplit/>
        </w:trPr>
        <w:tc>
          <w:tcPr>
            <w:tcW w:type="dxa" w:w="2400"/>
            <w:vAlign w:val="center"/>
          </w:tcPr>
          <w:p>
            <w:pPr>
              <w:pStyle w:val="TableText"/>
            </w:pPr>
            <w:r>
              <w:t>入力単位</w:t>
            </w:r>
          </w:p>
        </w:tc>
        <w:tc>
          <w:tcPr>
            <w:tcW w:type="dxa" w:w="6960"/>
            <w:vAlign w:val="center"/>
          </w:tcPr>
          <w:p>
            <w:pPr>
              <w:pStyle w:val="TableText"/>
            </w:pPr>
            <w:r>
              <w:t>多変量表形式の1ケース。時間窓なし。</w:t>
            </w:r>
          </w:p>
        </w:tc>
      </w:tr>
      <w:tr>
        <w:trPr>
          <w:cantSplit/>
        </w:trPr>
        <w:tc>
          <w:tcPr>
            <w:tcW w:type="dxa" w:w="2400"/>
            <w:vAlign w:val="center"/>
          </w:tcPr>
          <w:p>
            <w:pPr>
              <w:pStyle w:val="TableText"/>
            </w:pPr>
            <w:r>
              <w:t>学習教師</w:t>
            </w:r>
          </w:p>
        </w:tc>
        <w:tc>
          <w:tcPr>
            <w:tcW w:type="dxa" w:w="6960"/>
            <w:vAlign w:val="center"/>
          </w:tcPr>
          <w:p>
            <w:pPr>
              <w:pStyle w:val="TableText"/>
            </w:pPr>
            <w:r>
              <w:t>IDの(X,Y)、または生存時間・イベント。OOD教師不要。</w:t>
            </w:r>
          </w:p>
        </w:tc>
      </w:tr>
      <w:tr>
        <w:trPr>
          <w:cantSplit/>
        </w:trPr>
        <w:tc>
          <w:tcPr>
            <w:tcW w:type="dxa" w:w="2400"/>
            <w:vAlign w:val="center"/>
          </w:tcPr>
          <w:p>
            <w:pPr>
              <w:pStyle w:val="TableText"/>
            </w:pPr>
            <w:r>
              <w:t>運用情報</w:t>
            </w:r>
          </w:p>
        </w:tc>
        <w:tc>
          <w:tcPr>
            <w:tcW w:type="dxa" w:w="6960"/>
            <w:vAlign w:val="center"/>
          </w:tcPr>
          <w:p>
            <w:pPr>
              <w:pStyle w:val="TableText"/>
            </w:pPr>
            <w:r>
              <w:t>X、森林ルール、参照X、選択S、重み、前処理統計。新Y不要。</w:t>
            </w:r>
          </w:p>
        </w:tc>
      </w:tr>
      <w:tr>
        <w:trPr>
          <w:cantSplit/>
        </w:trPr>
        <w:tc>
          <w:tcPr>
            <w:tcW w:type="dxa" w:w="2400"/>
            <w:vAlign w:val="center"/>
          </w:tcPr>
          <w:p>
            <w:pPr>
              <w:pStyle w:val="TableText"/>
            </w:pPr>
            <w:r>
              <w:t>スコア</w:t>
            </w:r>
          </w:p>
        </w:tc>
        <w:tc>
          <w:tcPr>
            <w:tcW w:type="dxa" w:w="6960"/>
            <w:vAlign w:val="center"/>
          </w:tcPr>
          <w:p>
            <w:pPr>
              <w:pStyle w:val="TableText"/>
            </w:pPr>
            <w:r>
              <w:t>選択変数上の平均距離。OPTICSは直接可達距離。</w:t>
            </w:r>
          </w:p>
        </w:tc>
      </w:tr>
      <w:tr>
        <w:trPr>
          <w:cantSplit/>
        </w:trPr>
        <w:tc>
          <w:tcPr>
            <w:tcW w:type="dxa" w:w="2400"/>
            <w:vAlign w:val="center"/>
          </w:tcPr>
          <w:p>
            <w:pPr>
              <w:pStyle w:val="TableText"/>
            </w:pPr>
            <w:r>
              <w:t>閾値</w:t>
            </w:r>
          </w:p>
        </w:tc>
        <w:tc>
          <w:tcPr>
            <w:tcW w:type="dxa" w:w="6960"/>
            <w:vAlign w:val="center"/>
          </w:tcPr>
          <w:p>
            <w:pPr>
              <w:pStyle w:val="TableText"/>
            </w:pPr>
            <w:r>
              <w:t>経験分位利用可能。90/95は臨床ケースの参照、普遍保証なし。</w:t>
            </w:r>
          </w:p>
        </w:tc>
      </w:tr>
      <w:tr>
        <w:trPr>
          <w:cantSplit/>
        </w:trPr>
        <w:tc>
          <w:tcPr>
            <w:tcW w:type="dxa" w:w="2400"/>
            <w:vAlign w:val="center"/>
          </w:tcPr>
          <w:p>
            <w:pPr>
              <w:pStyle w:val="TableText"/>
            </w:pPr>
            <w:r>
              <w:t>評価</w:t>
            </w:r>
          </w:p>
        </w:tc>
        <w:tc>
          <w:tcPr>
            <w:tcW w:type="dxa" w:w="6960"/>
            <w:vAlign w:val="center"/>
          </w:tcPr>
          <w:p>
            <w:pPr>
              <w:pStyle w:val="TableText"/>
            </w:pPr>
            <w:r>
              <w:t>AUC-PR、100反復、CD／平均順位、消融。</w:t>
            </w:r>
          </w:p>
        </w:tc>
      </w:tr>
      <w:tr>
        <w:trPr>
          <w:cantSplit/>
        </w:trPr>
        <w:tc>
          <w:tcPr>
            <w:tcW w:type="dxa" w:w="2400"/>
            <w:vAlign w:val="center"/>
          </w:tcPr>
          <w:p>
            <w:pPr>
              <w:pStyle w:val="TableText"/>
            </w:pPr>
            <w:r>
              <w:t>代表数値</w:t>
            </w:r>
          </w:p>
        </w:tc>
        <w:tc>
          <w:tcPr>
            <w:tcW w:type="dxa" w:w="6960"/>
            <w:vAlign w:val="center"/>
          </w:tcPr>
          <w:p>
            <w:pPr>
              <w:pStyle w:val="TableText"/>
            </w:pPr>
            <w:r>
              <w:t>Full OutProの消融平均順位1.84、子空間KNN2.33。jointのみでは順序逆。</w:t>
            </w:r>
          </w:p>
        </w:tc>
      </w:tr>
      <w:tr>
        <w:trPr>
          <w:cantSplit/>
        </w:trPr>
        <w:tc>
          <w:tcPr>
            <w:tcW w:type="dxa" w:w="2400"/>
            <w:vAlign w:val="center"/>
          </w:tcPr>
          <w:p>
            <w:pPr>
              <w:pStyle w:val="TableText"/>
            </w:pPr>
            <w:r>
              <w:t>弱い条件</w:t>
            </w:r>
          </w:p>
        </w:tc>
        <w:tc>
          <w:tcPr>
            <w:tcW w:type="dxa" w:w="6960"/>
            <w:vAlign w:val="center"/>
          </w:tcPr>
          <w:p>
            <w:pPr>
              <w:pStyle w:val="TableText"/>
            </w:pPr>
            <w:r>
              <w:t>warp、誤った変数選択、純概念変化、高次元Product。</w:t>
            </w:r>
          </w:p>
        </w:tc>
      </w:tr>
      <w:tr>
        <w:trPr>
          <w:cantSplit/>
        </w:trPr>
        <w:tc>
          <w:tcPr>
            <w:tcW w:type="dxa" w:w="2400"/>
            <w:vAlign w:val="center"/>
          </w:tcPr>
          <w:p>
            <w:pPr>
              <w:pStyle w:val="TableText"/>
            </w:pPr>
            <w:r>
              <w:t>公開性</w:t>
            </w:r>
          </w:p>
        </w:tc>
        <w:tc>
          <w:tcPr>
            <w:tcW w:type="dxa" w:w="6960"/>
            <w:vAlign w:val="center"/>
          </w:tcPr>
          <w:p>
            <w:pPr>
              <w:pStyle w:val="TableText"/>
            </w:pPr>
            <w:r>
              <w:t>varPro公開GPL≥3、PMLB公開、微小アレイは引用先確認、WECC非公開。</w:t>
            </w:r>
          </w:p>
        </w:tc>
      </w:tr>
      <w:tr>
        <w:trPr>
          <w:cantSplit/>
        </w:trPr>
        <w:tc>
          <w:tcPr>
            <w:tcW w:type="dxa" w:w="2400"/>
            <w:vAlign w:val="center"/>
          </w:tcPr>
          <w:p>
            <w:pPr>
              <w:pStyle w:val="TableText"/>
            </w:pPr>
            <w:r>
              <w:t>主な追加検証</w:t>
            </w:r>
          </w:p>
        </w:tc>
        <w:tc>
          <w:tcPr>
            <w:tcW w:type="dxa" w:w="6960"/>
            <w:vAlign w:val="center"/>
          </w:tcPr>
          <w:p>
            <w:pPr>
              <w:pStyle w:val="TableText"/>
            </w:pPr>
            <w:r>
              <w:t>実験版固定、三分類別TPR/FPR、時間依存、対象回帰誤差との関係、単件遅延。</w:t>
            </w:r>
          </w:p>
        </w:tc>
      </w:tr>
    </w:tbl>
    <w:p>
      <w:pPr>
        <w:spacing w:after="0"/>
        <w:snapToGrid w:val="0"/>
      </w:pPr>
    </w:p>
    <w:p>
      <w:pPr>
        <w:pStyle w:val="Heading1"/>
        <w:pageBreakBefore/>
        <w:snapToGrid w:val="0"/>
      </w:pPr>
      <w:r>
        <w:t>第三部分　汇报与口头讲解材料</w:t>
      </w:r>
    </w:p>
    <w:p>
      <w:pPr>
        <w:pStyle w:val="Heading2"/>
        <w:snapToGrid w:val="0"/>
      </w:pPr>
      <w:r>
        <w:t>1　日本語口頭原稿（目安4〜5分）</w:t>
      </w:r>
    </w:p>
    <w:p>
      <w:pPr>
        <w:snapToGrid w:val="0"/>
      </w:pPr>
      <w:r>
        <w:t>本日は、2026年に発表されたOutProという学習外入力検知手法を調査しました。前回のDensity-Regressionが予測分散を扱っていたのに対し、今回は学習データとの距離を直接スコアにする方法です。</w:t>
      </w:r>
    </w:p>
    <w:p>
      <w:pPr>
        <w:snapToGrid w:val="0"/>
      </w:pPr>
      <w:r>
        <w:t>特徴は、単純に全入力変数で距離を計算しないことです。教師ありランダムフォレストを使って、予測に関係する変数と、新しい入力を比較する参照事例を選びます。この二つをそれぞれmodel-aware、subspace-awareという観点で説明しています。</w:t>
      </w:r>
    </w:p>
    <w:p>
      <w:pPr>
        <w:snapToGrid w:val="0"/>
      </w:pPr>
      <w:r>
        <w:t>具体的には、新しい入力が入る木のルールについて、重要変数の制約を一つずつ外します。そして、どの訓練事例がその領域に繰り返し現れるかを数えます。頻繁に、かつ複数の変数の解放でバランスよく現れる事例を参照点として選び、その事例までの距離を重要変数上で平均します。</w:t>
      </w:r>
    </w:p>
    <w:p>
      <w:pPr>
        <w:snapToGrid w:val="0"/>
      </w:pPr>
      <w:r>
        <w:t>ここで、参照点を選ぶスコアが大きいことは、その事例が良い比較相手であることを表します。一方、最終的な距離が大きいことは、新しい入力が学習外らしいことを表します。この二つのスコアを区別する必要があります。</w:t>
      </w:r>
    </w:p>
    <w:p>
      <w:pPr>
        <w:snapToGrid w:val="0"/>
      </w:pPr>
      <w:r>
        <w:t>実験はFriedmanのシミュレーション、61件の回帰ベンチマーク、5件の高次元データ、食道癌の生存分析です。時系列入力の実験はありません。生存分析に時間が含まれていても、複数時刻のセンサデータを同時入力するモデルとは異なります。</w:t>
      </w:r>
    </w:p>
    <w:p>
      <w:pPr>
        <w:snapToGrid w:val="0"/>
      </w:pPr>
      <w:r>
        <w:t>今回の課題に特に関係するのは、copulaを使ったjointという異常生成です。これは変数間の関係を変えることを意図しており、各項目が範囲内でも組合せが異なる、という第三の分類に近い評価です。ただし、周辺分布を数学的に完全に固定した実験とは限らないため、その点は限定して理解しています。</w:t>
      </w:r>
    </w:p>
    <w:p>
      <w:pPr>
        <w:snapToGrid w:val="0"/>
      </w:pPr>
      <w:r>
        <w:t>結果は、関係変化や小さい予測変数の摂動ではOutProが強い一方、周辺の尾を変えるwarpではIsolation ForestやOCSVMなどが上位でした。また消融では、全体平均は完全版が良いものの、jointだけでは子空間KNNが完全版より良い結果でした。したがって、森林近傍を使えば必ず良くなるとは言えません。</w:t>
      </w:r>
    </w:p>
    <w:p>
      <w:pPr>
        <w:snapToGrid w:val="0"/>
      </w:pPr>
      <w:r>
        <w:t>実装面でも注意点があり、現在の公開ソースでは既定値が通常の子空間KNNになっています。論文の中心となる森林由来近傍を再現するには、距離のオプションを明示する必要があります。今回はコードの静的確認までで、性能の再実行はしていません。</w:t>
      </w:r>
    </w:p>
    <w:p>
      <w:pPr>
        <w:snapToGrid w:val="0"/>
      </w:pPr>
      <w:r>
        <w:t>運用時に真の出力を待たずにスコアを出せる点は、圧力推定への適用でも利点です。一方、入力分布が変わらず圧力との関係だけが変わる場合は検知できません。次の検証では、範囲判定、全空間KNN、子空間KNN、森林版OutProを同じデータで比較し、一定の誤報率での検知率と、予測誤差との関係を評価したいと考えています。</w:t>
      </w:r>
    </w:p>
    <w:p>
      <w:pPr>
        <w:pStyle w:val="Heading2"/>
        <w:snapToGrid w:val="0"/>
      </w:pPr>
      <w:r>
        <w:t>2　带教可能追问什么？</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質問</w:t>
            </w:r>
          </w:p>
        </w:tc>
        <w:tc>
          <w:tcPr>
            <w:tcW w:type="dxa" w:w="6960"/>
            <w:vAlign w:val="center"/>
            <w:shd w:fill="E8EEF5"/>
          </w:tcPr>
          <w:p>
            <w:pPr>
              <w:pStyle w:val="TableText"/>
            </w:pPr>
            <w:r>
              <w:rPr>
                <w:b/>
                <w:color w:val="1F4D78"/>
              </w:rPr>
              <w:t>回答例</w:t>
            </w:r>
          </w:p>
        </w:tc>
      </w:tr>
      <w:tr>
        <w:trPr>
          <w:cantSplit/>
        </w:trPr>
        <w:tc>
          <w:tcPr>
            <w:tcW w:type="dxa" w:w="2400"/>
            <w:vAlign w:val="center"/>
          </w:tcPr>
          <w:p>
            <w:pPr>
              <w:pStyle w:val="TableText"/>
            </w:pPr>
            <w:r>
              <w:t>何が新しいのですか。</w:t>
            </w:r>
          </w:p>
        </w:tc>
        <w:tc>
          <w:tcPr>
            <w:tcW w:type="dxa" w:w="6960"/>
            <w:vAlign w:val="center"/>
          </w:tcPr>
          <w:p>
            <w:pPr>
              <w:pStyle w:val="TableText"/>
            </w:pPr>
            <w:r>
              <w:t>同一の教師あり森林から、重要変数と局所参照事例の両方を作り、選択変数上で距離を測る統合構成です。</w:t>
            </w:r>
          </w:p>
        </w:tc>
      </w:tr>
      <w:tr>
        <w:trPr>
          <w:cantSplit/>
        </w:trPr>
        <w:tc>
          <w:tcPr>
            <w:tcW w:type="dxa" w:w="2400"/>
            <w:vAlign w:val="center"/>
          </w:tcPr>
          <w:p>
            <w:pPr>
              <w:pStyle w:val="TableText"/>
            </w:pPr>
            <w:r>
              <w:t>VarProとOutProは同じですか。</w:t>
            </w:r>
          </w:p>
        </w:tc>
        <w:tc>
          <w:tcPr>
            <w:tcW w:type="dxa" w:w="6960"/>
            <w:vAlign w:val="center"/>
          </w:tcPr>
          <w:p>
            <w:pPr>
              <w:pStyle w:val="TableText"/>
            </w:pPr>
            <w:r>
              <w:t>VarProは変数優先度の方法、OutProはそれを利用したOODスコアです。</w:t>
            </w:r>
          </w:p>
        </w:tc>
      </w:tr>
      <w:tr>
        <w:trPr>
          <w:cantSplit/>
        </w:trPr>
        <w:tc>
          <w:tcPr>
            <w:tcW w:type="dxa" w:w="2400"/>
            <w:vAlign w:val="center"/>
          </w:tcPr>
          <w:p>
            <w:pPr>
              <w:pStyle w:val="TableText"/>
            </w:pPr>
            <w:r>
              <w:t>普通のKNNとの違いは。</w:t>
            </w:r>
          </w:p>
        </w:tc>
        <w:tc>
          <w:tcPr>
            <w:tcW w:type="dxa" w:w="6960"/>
            <w:vAlign w:val="center"/>
          </w:tcPr>
          <w:p>
            <w:pPr>
              <w:pStyle w:val="TableText"/>
            </w:pPr>
            <w:r>
              <w:t>本文中心方式では、距離が近い点ではなくルール解放の頻度に基づいて参照点を選びます。</w:t>
            </w:r>
          </w:p>
        </w:tc>
      </w:tr>
      <w:tr>
        <w:trPr>
          <w:cantSplit/>
        </w:trPr>
        <w:tc>
          <w:tcPr>
            <w:tcW w:type="dxa" w:w="2400"/>
            <w:vAlign w:val="center"/>
          </w:tcPr>
          <w:p>
            <w:pPr>
              <w:pStyle w:val="TableText"/>
            </w:pPr>
            <w:r>
              <w:t>時系列の三条件を全部満たしますか。</w:t>
            </w:r>
          </w:p>
        </w:tc>
        <w:tc>
          <w:tcPr>
            <w:tcW w:type="dxa" w:w="6960"/>
            <w:vAlign w:val="center"/>
          </w:tcPr>
          <w:p>
            <w:pPr>
              <w:pStyle w:val="TableText"/>
            </w:pPr>
            <w:r>
              <w:t>数値多変量・回帰・OODは満たしますが、時系列入力の実験はありません。</w:t>
            </w:r>
          </w:p>
        </w:tc>
      </w:tr>
      <w:tr>
        <w:trPr>
          <w:cantSplit/>
        </w:trPr>
        <w:tc>
          <w:tcPr>
            <w:tcW w:type="dxa" w:w="2400"/>
            <w:vAlign w:val="center"/>
          </w:tcPr>
          <w:p>
            <w:pPr>
              <w:pStyle w:val="TableText"/>
            </w:pPr>
            <w:r>
              <w:t>第三分類を検証していますか。</w:t>
            </w:r>
          </w:p>
        </w:tc>
        <w:tc>
          <w:tcPr>
            <w:tcW w:type="dxa" w:w="6960"/>
            <w:vAlign w:val="center"/>
          </w:tcPr>
          <w:p>
            <w:pPr>
              <w:pStyle w:val="TableText"/>
            </w:pPr>
            <w:r>
              <w:t>jointが近い設定です。ただし周辺分布を厳密に不変とした純粋な相関変更とは断定しません。</w:t>
            </w:r>
          </w:p>
        </w:tc>
      </w:tr>
      <w:tr>
        <w:trPr>
          <w:cantSplit/>
        </w:trPr>
        <w:tc>
          <w:tcPr>
            <w:tcW w:type="dxa" w:w="2400"/>
            <w:vAlign w:val="center"/>
          </w:tcPr>
          <w:p>
            <w:pPr>
              <w:pStyle w:val="TableText"/>
            </w:pPr>
            <w:r>
              <w:t>森林内部は必要ですか。</w:t>
            </w:r>
          </w:p>
        </w:tc>
        <w:tc>
          <w:tcPr>
            <w:tcW w:type="dxa" w:w="6960"/>
            <w:vAlign w:val="center"/>
          </w:tcPr>
          <w:p>
            <w:pPr>
              <w:pStyle w:val="TableText"/>
            </w:pPr>
            <w:r>
              <w:t>はい。最終予測値は直接使いませんが、森林ルールと参照学習入力が必要です。</w:t>
            </w:r>
          </w:p>
        </w:tc>
      </w:tr>
      <w:tr>
        <w:trPr>
          <w:cantSplit/>
        </w:trPr>
        <w:tc>
          <w:tcPr>
            <w:tcW w:type="dxa" w:w="2400"/>
            <w:vAlign w:val="center"/>
          </w:tcPr>
          <w:p>
            <w:pPr>
              <w:pStyle w:val="TableText"/>
            </w:pPr>
            <w:r>
              <w:t>どんな変化を検知できませんか。</w:t>
            </w:r>
          </w:p>
        </w:tc>
        <w:tc>
          <w:tcPr>
            <w:tcW w:type="dxa" w:w="6960"/>
            <w:vAlign w:val="center"/>
          </w:tcPr>
          <w:p>
            <w:pPr>
              <w:pStyle w:val="TableText"/>
            </w:pPr>
            <w:r>
              <w:t>入力分布が同じで出力との関係だけが変わる純概念変化です。また未選択の変数の変化も低く評価され得ます。</w:t>
            </w:r>
          </w:p>
        </w:tc>
      </w:tr>
      <w:tr>
        <w:trPr>
          <w:cantSplit/>
        </w:trPr>
        <w:tc>
          <w:tcPr>
            <w:tcW w:type="dxa" w:w="2400"/>
            <w:vAlign w:val="center"/>
          </w:tcPr>
          <w:p>
            <w:pPr>
              <w:pStyle w:val="TableText"/>
            </w:pPr>
            <w:r>
              <w:t>AUC-PRが高ければ導入できますか。</w:t>
            </w:r>
          </w:p>
        </w:tc>
        <w:tc>
          <w:tcPr>
            <w:tcW w:type="dxa" w:w="6960"/>
            <w:vAlign w:val="center"/>
          </w:tcPr>
          <w:p>
            <w:pPr>
              <w:pStyle w:val="TableText"/>
            </w:pPr>
            <w:r>
              <w:t>運用閾値での誤報率、検知率、遅延、予測誤差も必要です。AUC-PRは順位性能です。</w:t>
            </w:r>
          </w:p>
        </w:tc>
      </w:tr>
      <w:tr>
        <w:trPr>
          <w:cantSplit/>
        </w:trPr>
        <w:tc>
          <w:tcPr>
            <w:tcW w:type="dxa" w:w="2400"/>
            <w:vAlign w:val="center"/>
          </w:tcPr>
          <w:p>
            <w:pPr>
              <w:pStyle w:val="TableText"/>
            </w:pPr>
            <w:r>
              <w:t>95分位とは95%異常という意味ですか。</w:t>
            </w:r>
          </w:p>
        </w:tc>
        <w:tc>
          <w:tcPr>
            <w:tcW w:type="dxa" w:w="6960"/>
            <w:vAlign w:val="center"/>
          </w:tcPr>
          <w:p>
            <w:pPr>
              <w:pStyle w:val="TableText"/>
            </w:pPr>
            <w:r>
              <w:t>いいえ。参照IDスコア分布のどの位置にあるかであり、異常の事後確率ではありません。</w:t>
            </w:r>
          </w:p>
        </w:tc>
      </w:tr>
      <w:tr>
        <w:trPr>
          <w:cantSplit/>
        </w:trPr>
        <w:tc>
          <w:tcPr>
            <w:tcW w:type="dxa" w:w="2400"/>
            <w:vAlign w:val="center"/>
          </w:tcPr>
          <w:p>
            <w:pPr>
              <w:pStyle w:val="TableText"/>
            </w:pPr>
            <w:r>
              <w:t>OutProの森林近傍は必須ですか。</w:t>
            </w:r>
          </w:p>
        </w:tc>
        <w:tc>
          <w:tcPr>
            <w:tcW w:type="dxa" w:w="6960"/>
            <w:vAlign w:val="center"/>
          </w:tcPr>
          <w:p>
            <w:pPr>
              <w:pStyle w:val="TableText"/>
            </w:pPr>
            <w:r>
              <w:t>消融ではjointで子空間KNNが上回りました。対象データでその追加価値を比較すべきです。</w:t>
            </w:r>
          </w:p>
        </w:tc>
      </w:tr>
      <w:tr>
        <w:trPr>
          <w:cantSplit/>
        </w:trPr>
        <w:tc>
          <w:tcPr>
            <w:tcW w:type="dxa" w:w="2400"/>
            <w:vAlign w:val="center"/>
          </w:tcPr>
          <w:p>
            <w:pPr>
              <w:pStyle w:val="TableText"/>
            </w:pPr>
            <w:r>
              <w:t>前篇より良いですか。</w:t>
            </w:r>
          </w:p>
        </w:tc>
        <w:tc>
          <w:tcPr>
            <w:tcW w:type="dxa" w:w="6960"/>
            <w:vAlign w:val="center"/>
          </w:tcPr>
          <w:p>
            <w:pPr>
              <w:pStyle w:val="TableText"/>
            </w:pPr>
            <w:r>
              <w:t>直接比較実験がないため判定できません。今回は直接検知指標と関係変化の評価がある点が違います。</w:t>
            </w:r>
          </w:p>
        </w:tc>
      </w:tr>
      <w:tr>
        <w:trPr>
          <w:cantSplit/>
        </w:trPr>
        <w:tc>
          <w:tcPr>
            <w:tcW w:type="dxa" w:w="2400"/>
            <w:vAlign w:val="center"/>
          </w:tcPr>
          <w:p>
            <w:pPr>
              <w:pStyle w:val="TableText"/>
            </w:pPr>
            <w:r>
              <w:t>今日の成果はどこまでですか。</w:t>
            </w:r>
          </w:p>
        </w:tc>
        <w:tc>
          <w:tcPr>
            <w:tcW w:type="dxa" w:w="6960"/>
            <w:vAlign w:val="center"/>
          </w:tcPr>
          <w:p>
            <w:pPr>
              <w:pStyle w:val="TableText"/>
            </w:pPr>
            <w:r>
              <w:t>本文・図表・公開版のコードを確認し、方法と実験の限定を整理しました。学習やAUC-PR再現はまだ行っていません。</w:t>
            </w:r>
          </w:p>
        </w:tc>
      </w:tr>
    </w:tbl>
    <w:p>
      <w:pPr>
        <w:spacing w:after="0"/>
        <w:snapToGrid w:val="0"/>
      </w:pPr>
    </w:p>
    <w:p>
      <w:pPr>
        <w:pStyle w:val="Heading1"/>
        <w:pageBreakBefore/>
        <w:snapToGrid w:val="0"/>
      </w:pPr>
      <w:r>
        <w:t>证据索引与后续核实清单</w:t>
      </w:r>
    </w:p>
    <w:p>
      <w:pPr>
        <w:pStyle w:val="Heading2"/>
        <w:snapToGrid w:val="0"/>
      </w:pPr>
      <w:r>
        <w:t>1　论文与公开来源</w:t>
      </w:r>
    </w:p>
    <w:p>
      <w:pPr>
        <w:snapToGrid w:val="0"/>
      </w:pPr>
      <w:r>
        <w:t>S1．用户上传的30页PDF为主要内容依据。书目信息及出版日期：</w:t>
      </w:r>
    </w:p>
    <w:p>
      <w:pPr>
        <w:pStyle w:val="SourceText"/>
        <w:snapToGrid w:val="0"/>
      </w:pPr>
      <w:r/>
      <w:hyperlink r:id="rId11">
        <w:r>
          <w:rPr>
            <w:color w:val="2E74B5"/>
          </w:rPr>
          <w:t>https://doi.org/10.1007/s10115-026-02872-5</w:t>
        </w:r>
      </w:hyperlink>
      <w:r/>
    </w:p>
    <w:p>
      <w:pPr>
        <w:snapToGrid w:val="0"/>
      </w:pPr>
      <w:r>
        <w:t>方法：§3／Algorithm 1／Table 1；基线：Table 2；异常生成：§5.1／Table 3；数据量：§5.3／Table 4／§6；性能：Fig.2–8／Table 5；案例：Fig.9；公开性：p.26。大部分公式原文未编号，本报告使用自己的“关键公式”编号，避免伪造原文式号。</w:t>
      </w:r>
    </w:p>
    <w:p>
      <w:pPr>
        <w:snapToGrid w:val="0"/>
      </w:pPr>
      <w:r>
        <w:t>S2．CRAN varPro发布信息、依赖、GPL≥3许可；核对时显示3.2.0：</w:t>
      </w:r>
    </w:p>
    <w:p>
      <w:pPr>
        <w:pStyle w:val="SourceText"/>
        <w:snapToGrid w:val="0"/>
      </w:pPr>
      <w:r/>
      <w:hyperlink r:id="rId12">
        <w:r>
          <w:rPr>
            <w:color w:val="2E74B5"/>
          </w:rPr>
          <w:t>https://cran.r-project.org/web/packages/varPro/index.html</w:t>
        </w:r>
      </w:hyperlink>
      <w:r/>
    </w:p>
    <w:p>
      <w:pPr>
        <w:snapToGrid w:val="0"/>
      </w:pPr>
      <w:r>
        <w:t>S3．作者网站outpro文档（页面标3.1.0，默认prod；与当前源码版本不同）：</w:t>
      </w:r>
    </w:p>
    <w:p>
      <w:pPr>
        <w:pStyle w:val="SourceText"/>
        <w:snapToGrid w:val="0"/>
      </w:pPr>
      <w:r/>
      <w:hyperlink r:id="rId13">
        <w:r>
          <w:rPr>
            <w:color w:val="2E74B5"/>
          </w:rPr>
          <w:t>https://www.varprotools.org/reference/outpro.html</w:t>
        </w:r>
      </w:hyperlink>
      <w:r/>
    </w:p>
    <w:p>
      <w:pPr>
        <w:snapToGrid w:val="0"/>
      </w:pPr>
      <w:r>
        <w:t>S4．PMLB官方数据说明、target列、TSV.gz格式及元数据入口：</w:t>
      </w:r>
    </w:p>
    <w:p>
      <w:pPr>
        <w:pStyle w:val="SourceText"/>
        <w:snapToGrid w:val="0"/>
      </w:pPr>
      <w:r/>
      <w:hyperlink r:id="rId14">
        <w:r>
          <w:rPr>
            <w:color w:val="2E74B5"/>
          </w:rPr>
          <w:t>https://epistasislab.github.io/pmlb/</w:t>
        </w:r>
      </w:hyperlink>
      <w:r/>
    </w:p>
    <w:p>
      <w:pPr>
        <w:snapToGrid w:val="0"/>
      </w:pPr>
      <w:r>
        <w:t>S5．PMLB公开仓库与MIT软件许可；各原数据许可仍需逐项核查：</w:t>
      </w:r>
    </w:p>
    <w:p>
      <w:pPr>
        <w:pStyle w:val="SourceText"/>
        <w:snapToGrid w:val="0"/>
      </w:pPr>
      <w:r/>
      <w:hyperlink r:id="rId15">
        <w:r>
          <w:rPr>
            <w:color w:val="2E74B5"/>
          </w:rPr>
          <w:t>https://github.com/EpistasisLab/pmlb</w:t>
        </w:r>
      </w:hyperlink>
      <w:r/>
    </w:p>
    <w:p>
      <w:pPr>
        <w:snapToGrid w:val="0"/>
      </w:pPr>
      <w:r>
        <w:t>S6．前篇Density-Regression正式记录（比较依据同时使用上次已精读的上传原文）：</w:t>
      </w:r>
    </w:p>
    <w:p>
      <w:pPr>
        <w:pStyle w:val="SourceText"/>
        <w:snapToGrid w:val="0"/>
      </w:pPr>
      <w:r/>
      <w:hyperlink r:id="rId16">
        <w:r>
          <w:rPr>
            <w:color w:val="2E74B5"/>
          </w:rPr>
          <w:t>https://proceedings.mlr.press/v238/manh-bui24a.html</w:t>
        </w:r>
      </w:hyperlink>
      <w:r/>
    </w:p>
    <w:p>
      <w:pPr>
        <w:pStyle w:val="Heading2"/>
        <w:snapToGrid w:val="0"/>
      </w:pPr>
      <w:r>
        <w:t>2　源码定位</w:t>
      </w:r>
    </w:p>
    <w:p>
      <w:pPr>
        <w:snapToGrid w:val="0"/>
      </w:pPr>
      <w:r>
        <w:t>C1．作者仓库R/outpro.R：默认分支、选择阈值、输入编码、outpro.null经验CDF；固定提交：</w:t>
      </w:r>
    </w:p>
    <w:p>
      <w:pPr>
        <w:pStyle w:val="SourceText"/>
        <w:snapToGrid w:val="0"/>
      </w:pPr>
      <w:r/>
      <w:hyperlink r:id="rId17">
        <w:r>
          <w:rPr>
            <w:color w:val="2E74B5"/>
          </w:rPr>
          <w:t>https://github.com/kogalur/varPro/blob/fe2f5064b8f3973c62a3cb5a3d3143c342ed2640/R/outpro.R</w:t>
        </w:r>
      </w:hyperlink>
      <w:r/>
    </w:p>
    <w:p>
      <w:pPr>
        <w:snapToGrid w:val="0"/>
      </w:pPr>
      <w:r>
        <w:t>C2．R/utilities_outpro.R：权重、Manhattan／Product／Mahalanobis、K设置与KNN实现：</w:t>
      </w:r>
    </w:p>
    <w:p>
      <w:pPr>
        <w:pStyle w:val="SourceText"/>
        <w:snapToGrid w:val="0"/>
      </w:pPr>
      <w:r/>
      <w:hyperlink r:id="rId18">
        <w:r>
          <w:rPr>
            <w:color w:val="2E74B5"/>
          </w:rPr>
          <w:t>作者公开代码（固定提交）</w:t>
        </w:r>
      </w:hyperlink>
      <w:r/>
    </w:p>
    <w:p>
      <w:pPr>
        <w:snapToGrid w:val="0"/>
      </w:pPr>
      <w:r>
        <w:t>C3．man/outpro.Rd：当前函数说明、零方差剔除、森林分支与普通KNN区别：</w:t>
      </w:r>
    </w:p>
    <w:p>
      <w:pPr>
        <w:pStyle w:val="SourceText"/>
        <w:snapToGrid w:val="0"/>
      </w:pPr>
      <w:r/>
      <w:hyperlink r:id="rId19">
        <w:r>
          <w:rPr>
            <w:color w:val="2E74B5"/>
          </w:rPr>
          <w:t>https://github.com/kogalur/varPro/blob/fe2f5064b8f3973c62a3cb5a3d3143c342ed2640/man/outpro.Rd</w:t>
        </w:r>
      </w:hyperlink>
      <w:r/>
    </w:p>
    <w:p>
      <w:pPr>
        <w:snapToGrid w:val="0"/>
      </w:pPr>
      <w:r>
        <w:t>C4．CRAN镜像对照版本：</w:t>
      </w:r>
    </w:p>
    <w:p>
      <w:pPr>
        <w:pStyle w:val="SourceText"/>
        <w:snapToGrid w:val="0"/>
      </w:pPr>
      <w:r/>
      <w:hyperlink r:id="rId20">
        <w:r>
          <w:rPr>
            <w:color w:val="2E74B5"/>
          </w:rPr>
          <w:t>https://github.com/cran/varPro/tree/34a2d31338d70ee0359719c04f0effe087ac0f2c</w:t>
        </w:r>
      </w:hyperlink>
      <w:r/>
    </w:p>
    <w:p>
      <w:pPr>
        <w:snapToGrid w:val="0"/>
      </w:pPr>
      <w:r>
        <w:t>注意：已核对R层入口与距离计算，但未逐行审计全部底层森林实现，亦未将源码输出与论文所有图表进行数值比对。</w:t>
      </w:r>
    </w:p>
    <w:p>
      <w:pPr>
        <w:pStyle w:val="Heading2"/>
        <w:snapToGrid w:val="0"/>
      </w:pPr>
      <w:r>
        <w:t>3　下一步最值得核实的内容</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优先级</w:t>
            </w:r>
          </w:p>
        </w:tc>
        <w:tc>
          <w:tcPr>
            <w:tcW w:type="dxa" w:w="3500"/>
            <w:vAlign w:val="center"/>
            <w:shd w:fill="E8EEF5"/>
          </w:tcPr>
          <w:p>
            <w:pPr>
              <w:pStyle w:val="TableText"/>
            </w:pPr>
            <w:r>
              <w:rPr>
                <w:b/>
                <w:color w:val="1F4D78"/>
              </w:rPr>
              <w:t>问题</w:t>
            </w:r>
          </w:p>
        </w:tc>
        <w:tc>
          <w:tcPr>
            <w:tcW w:type="dxa" w:w="3810"/>
            <w:vAlign w:val="center"/>
            <w:shd w:fill="E8EEF5"/>
          </w:tcPr>
          <w:p>
            <w:pPr>
              <w:pStyle w:val="TableText"/>
            </w:pPr>
            <w:r>
              <w:rPr>
                <w:b/>
                <w:color w:val="1F4D78"/>
              </w:rPr>
              <w:t>影响</w:t>
            </w:r>
          </w:p>
        </w:tc>
      </w:tr>
      <w:tr>
        <w:trPr>
          <w:cantSplit/>
        </w:trPr>
        <w:tc>
          <w:tcPr>
            <w:tcW w:type="dxa" w:w="2050"/>
            <w:vAlign w:val="center"/>
          </w:tcPr>
          <w:p>
            <w:pPr>
              <w:pStyle w:val="TableText"/>
            </w:pPr>
            <w:r>
              <w:t>高</w:t>
            </w:r>
          </w:p>
        </w:tc>
        <w:tc>
          <w:tcPr>
            <w:tcW w:type="dxa" w:w="3500"/>
            <w:vAlign w:val="center"/>
          </w:tcPr>
          <w:p>
            <w:pPr>
              <w:pStyle w:val="TableText"/>
            </w:pPr>
            <w:r>
              <w:t>确定实验使用的软件提交、完整脚本与61数据清单。</w:t>
            </w:r>
          </w:p>
        </w:tc>
        <w:tc>
          <w:tcPr>
            <w:tcW w:type="dxa" w:w="3810"/>
            <w:vAlign w:val="center"/>
          </w:tcPr>
          <w:p>
            <w:pPr>
              <w:pStyle w:val="TableText"/>
            </w:pPr>
            <w:r>
              <w:t>当前默认KNN、OPTICS缺失和Mahalanobis差异均影响忠实复现。</w:t>
            </w:r>
          </w:p>
        </w:tc>
      </w:tr>
      <w:tr>
        <w:trPr>
          <w:cantSplit/>
        </w:trPr>
        <w:tc>
          <w:tcPr>
            <w:tcW w:type="dxa" w:w="2050"/>
            <w:vAlign w:val="center"/>
          </w:tcPr>
          <w:p>
            <w:pPr>
              <w:pStyle w:val="TableText"/>
            </w:pPr>
            <w:r>
              <w:t>高</w:t>
            </w:r>
          </w:p>
        </w:tc>
        <w:tc>
          <w:tcPr>
            <w:tcW w:type="dxa" w:w="3500"/>
            <w:vAlign w:val="center"/>
          </w:tcPr>
          <w:p>
            <w:pPr>
              <w:pStyle w:val="TableText"/>
            </w:pPr>
            <w:r>
              <w:t>核实warp非异常候选的去留与真实正例比例。</w:t>
            </w:r>
          </w:p>
        </w:tc>
        <w:tc>
          <w:tcPr>
            <w:tcW w:type="dxa" w:w="3810"/>
            <w:vAlign w:val="center"/>
          </w:tcPr>
          <w:p>
            <w:pPr>
              <w:pStyle w:val="TableText"/>
            </w:pPr>
            <w:r>
              <w:t>AUC-PR依赖类别比例，不能用生成候选数替代异常数。</w:t>
            </w:r>
          </w:p>
        </w:tc>
      </w:tr>
      <w:tr>
        <w:trPr>
          <w:cantSplit/>
        </w:trPr>
        <w:tc>
          <w:tcPr>
            <w:tcW w:type="dxa" w:w="2050"/>
            <w:vAlign w:val="center"/>
          </w:tcPr>
          <w:p>
            <w:pPr>
              <w:pStyle w:val="TableText"/>
            </w:pPr>
            <w:r>
              <w:t>高</w:t>
            </w:r>
          </w:p>
        </w:tc>
        <w:tc>
          <w:tcPr>
            <w:tcW w:type="dxa" w:w="3500"/>
            <w:vAlign w:val="center"/>
          </w:tcPr>
          <w:p>
            <w:pPr>
              <w:pStyle w:val="TableText"/>
            </w:pPr>
            <w:r>
              <w:t>核实Cox筛选、RSF伪响应和切分的嵌套顺序。</w:t>
            </w:r>
          </w:p>
        </w:tc>
        <w:tc>
          <w:tcPr>
            <w:tcW w:type="dxa" w:w="3810"/>
            <w:vAlign w:val="center"/>
          </w:tcPr>
          <w:p>
            <w:pPr>
              <w:pStyle w:val="TableText"/>
            </w:pPr>
            <w:r>
              <w:t>关系到测试信息泄漏和泛化评价。</w:t>
            </w:r>
          </w:p>
        </w:tc>
      </w:tr>
      <w:tr>
        <w:trPr>
          <w:cantSplit/>
        </w:trPr>
        <w:tc>
          <w:tcPr>
            <w:tcW w:type="dxa" w:w="2050"/>
            <w:vAlign w:val="center"/>
          </w:tcPr>
          <w:p>
            <w:pPr>
              <w:pStyle w:val="TableText"/>
            </w:pPr>
            <w:r>
              <w:t>高</w:t>
            </w:r>
          </w:p>
        </w:tc>
        <w:tc>
          <w:tcPr>
            <w:tcW w:type="dxa" w:w="3500"/>
            <w:vAlign w:val="center"/>
          </w:tcPr>
          <w:p>
            <w:pPr>
              <w:pStyle w:val="TableText"/>
            </w:pPr>
            <w:r>
              <w:t>在相同数据上对照子空间KNN与森林邻域。</w:t>
            </w:r>
          </w:p>
        </w:tc>
        <w:tc>
          <w:tcPr>
            <w:tcW w:type="dxa" w:w="3810"/>
            <w:vAlign w:val="center"/>
          </w:tcPr>
          <w:p>
            <w:pPr>
              <w:pStyle w:val="TableText"/>
            </w:pPr>
            <w:r>
              <w:t>判断新增复杂度是否带来检测收益。</w:t>
            </w:r>
          </w:p>
        </w:tc>
      </w:tr>
      <w:tr>
        <w:trPr>
          <w:cantSplit/>
        </w:trPr>
        <w:tc>
          <w:tcPr>
            <w:tcW w:type="dxa" w:w="2050"/>
            <w:vAlign w:val="center"/>
          </w:tcPr>
          <w:p>
            <w:pPr>
              <w:pStyle w:val="TableText"/>
            </w:pPr>
            <w:r>
              <w:t>中</w:t>
            </w:r>
          </w:p>
        </w:tc>
        <w:tc>
          <w:tcPr>
            <w:tcW w:type="dxa" w:w="3500"/>
            <w:vAlign w:val="center"/>
          </w:tcPr>
          <w:p>
            <w:pPr>
              <w:pStyle w:val="TableText"/>
            </w:pPr>
            <w:r>
              <w:t>核实单变量、零频率、并列及候选不足K的行为。</w:t>
            </w:r>
          </w:p>
        </w:tc>
        <w:tc>
          <w:tcPr>
            <w:tcW w:type="dxa" w:w="3810"/>
            <w:vAlign w:val="center"/>
          </w:tcPr>
          <w:p>
            <w:pPr>
              <w:pStyle w:val="TableText"/>
            </w:pPr>
            <w:r>
              <w:t>关系到边界样本和极稀疏区域的稳定性。</w:t>
            </w:r>
          </w:p>
        </w:tc>
      </w:tr>
      <w:tr>
        <w:trPr>
          <w:cantSplit/>
        </w:trPr>
        <w:tc>
          <w:tcPr>
            <w:tcW w:type="dxa" w:w="2050"/>
            <w:vAlign w:val="center"/>
          </w:tcPr>
          <w:p>
            <w:pPr>
              <w:pStyle w:val="TableText"/>
            </w:pPr>
            <w:r>
              <w:t>中</w:t>
            </w:r>
          </w:p>
        </w:tc>
        <w:tc>
          <w:tcPr>
            <w:tcW w:type="dxa" w:w="3500"/>
            <w:vAlign w:val="center"/>
          </w:tcPr>
          <w:p>
            <w:pPr>
              <w:pStyle w:val="TableText"/>
            </w:pPr>
            <w:r>
              <w:t>建立时间依赖、固定误报预算和回归误差评价。</w:t>
            </w:r>
          </w:p>
        </w:tc>
        <w:tc>
          <w:tcPr>
            <w:tcW w:type="dxa" w:w="3810"/>
            <w:vAlign w:val="center"/>
          </w:tcPr>
          <w:p>
            <w:pPr>
              <w:pStyle w:val="TableText"/>
            </w:pPr>
            <w:r>
              <w:t>把表格合成检测结果转化为实习任务的可用证据。</w:t>
            </w:r>
          </w:p>
        </w:tc>
      </w:tr>
    </w:tbl>
    <w:p>
      <w:pPr>
        <w:spacing w:after="0"/>
        <w:snapToGrid w:val="0"/>
      </w:pPr>
    </w:p>
    <w:p>
      <w:pPr>
        <w:pStyle w:val="Heading2"/>
        <w:snapToGrid w:val="0"/>
      </w:pPr>
      <w:r>
        <w:t>4　中文理解自检</w:t>
      </w:r>
    </w:p>
    <w:p>
      <w:pPr>
        <w:pStyle w:val="ReportBullet"/>
        <w:keepNext/>
        <w:numPr>
          <w:ilvl w:val="0"/>
          <w:numId w:val="51"/>
        </w:numPr>
        <w:snapToGrid w:val="0"/>
      </w:pPr>
      <w:r>
        <w:t>能否分清VarPro选变量、gradient boosting选造异常变量、OutPro选参考邻居三个步骤？</w:t>
      </w:r>
    </w:p>
    <w:p>
      <w:pPr>
        <w:pStyle w:val="ReportBullet"/>
        <w:keepNext/>
        <w:numPr>
          <w:ilvl w:val="0"/>
          <w:numId w:val="51"/>
        </w:numPr>
        <w:snapToGrid w:val="0"/>
      </w:pPr>
      <w:r>
        <w:t>能否手算p、G、W，并解释为什么W越大不意味着测试点越异常？</w:t>
      </w:r>
    </w:p>
    <w:p>
      <w:pPr>
        <w:pStyle w:val="ReportBullet"/>
        <w:keepNext/>
        <w:numPr>
          <w:ilvl w:val="0"/>
          <w:numId w:val="51"/>
        </w:numPr>
        <w:snapToGrid w:val="0"/>
      </w:pPr>
      <w:r>
        <w:t>能否解释为什么joint保持逆CDF映射，却不一定保持边际分布？</w:t>
      </w:r>
    </w:p>
    <w:p>
      <w:pPr>
        <w:pStyle w:val="ReportBullet"/>
        <w:keepNext/>
        <w:numPr>
          <w:ilvl w:val="0"/>
          <w:numId w:val="51"/>
        </w:numPr>
        <w:snapToGrid w:val="0"/>
      </w:pPr>
      <w:r>
        <w:t>能否说清支持集外标签、合成生成标签和临床群体分位的区别？</w:t>
      </w:r>
    </w:p>
    <w:p>
      <w:pPr>
        <w:pStyle w:val="ReportBullet"/>
        <w:keepNext/>
        <w:numPr>
          <w:ilvl w:val="0"/>
          <w:numId w:val="51"/>
        </w:numPr>
        <w:snapToGrid w:val="0"/>
      </w:pPr>
      <w:r>
        <w:t>能否指出表5中一个支持完整方法的结果和一个反例？</w:t>
      </w:r>
    </w:p>
    <w:p>
      <w:pPr>
        <w:pStyle w:val="ReportBullet"/>
        <w:numPr>
          <w:ilvl w:val="0"/>
          <w:numId w:val="51"/>
        </w:numPr>
        <w:snapToGrid w:val="0"/>
      </w:pPr>
      <w:r>
        <w:t>能否说明现行默认KNN为何不能自动当成论文的森林算法？</w:t>
      </w:r>
    </w:p>
    <w:p>
      <w:pPr>
        <w:snapToGrid w:val="0"/>
      </w:pPr>
      <w:r>
        <w:t>本篇的总体定位是“有直接检测评价、适合研究③类关系变化的候选方法”。对时间序列、纯概念变化、实际工业误报预算及完整复现的空白已保留，不以推测替代论文证据。</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88A"/>
        <w:sz w:val="16"/>
      </w:rPr>
      <w:t xml:space="preserve">2026-09-08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Text"/>
    </w:pPr>
    <w:r>
      <w:rPr>
        <w:color w:val="68788A"/>
        <w:sz w:val="16"/>
      </w:rPr>
      <w:t>P02  /  OutPro     论文精读・研究報告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tabs>
          <w:tab w:val="num" w:pos="540"/>
        </w:tabs>
        <w:ind w:left="540" w:hanging="271"/>
        <w:spacing w:before="0" w:after="80" w:line="30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0" w:lineRule="exact"/>
    </w:pPr>
    <w:rPr>
      <w:rFonts w:ascii="Noto Sans CJK SC" w:hAnsi="Noto Sans CJK SC" w:eastAsia="Noto Sans CJK S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8" w:lineRule="auto" w:before="0"/>
      <w:contextualSpacing/>
    </w:pPr>
    <w:rPr>
      <w:rFonts w:asciiTheme="majorHAnsi" w:eastAsiaTheme="majorEastAsia" w:hAnsiTheme="majorHAnsi" w:cstheme="majorBidi" w:ascii="Noto Sans CJK SC" w:hAnsi="Noto Sans CJK SC" w:eastAsia="Noto Sans CJK SC"/>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60" w:lineRule="exact"/>
    </w:pPr>
    <w:rPr>
      <w:rFonts w:ascii="Noto Sans CJK SC" w:hAnsi="Noto Sans CJK SC" w:eastAsia="Noto Sans CJK SC"/>
      <w:b w:val="0"/>
      <w:color w:val="222222"/>
      <w:sz w:val="19"/>
    </w:rPr>
  </w:style>
  <w:style w:type="paragraph" w:customStyle="1" w:styleId="EquationText">
    <w:name w:val="Equation Text"/>
    <w:pPr>
      <w:keepNext/>
      <w:spacing w:before="100" w:after="140" w:line="320" w:lineRule="exact"/>
    </w:pPr>
    <w:rPr>
      <w:rFonts w:ascii="Noto Sans CJK SC" w:hAnsi="Noto Sans CJK SC" w:eastAsia="Noto Sans CJK SC"/>
      <w:b w:val="0"/>
      <w:color w:val="222222"/>
      <w:sz w:val="22"/>
    </w:rPr>
  </w:style>
  <w:style w:type="paragraph" w:customStyle="1" w:styleId="SourceText">
    <w:name w:val="Source Text"/>
    <w:pPr>
      <w:spacing w:before="80" w:after="80" w:line="320" w:lineRule="exact"/>
    </w:pPr>
    <w:rPr>
      <w:rFonts w:ascii="Noto Sans CJK SC" w:hAnsi="Noto Sans CJK SC" w:eastAsia="Noto Sans CJK SC"/>
      <w:b w:val="0"/>
      <w:color w:val="222222"/>
      <w:sz w:val="18"/>
    </w:rPr>
  </w:style>
  <w:style w:type="paragraph" w:customStyle="1" w:styleId="ReportBullet">
    <w:name w:val="Report Bullet"/>
    <w:pPr>
      <w:spacing w:before="0" w:after="80" w:line="320" w:lineRule="exact"/>
    </w:pPr>
    <w:rPr>
      <w:rFonts w:ascii="Noto Sans CJK SC" w:hAnsi="Noto Sans CJK SC" w:eastAsia="Noto Sans CJK SC"/>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07/s10115-026-02872-5" TargetMode="External"/><Relationship Id="rId12" Type="http://schemas.openxmlformats.org/officeDocument/2006/relationships/hyperlink" Target="https://cran.r-project.org/web/packages/varPro/index.html" TargetMode="External"/><Relationship Id="rId13" Type="http://schemas.openxmlformats.org/officeDocument/2006/relationships/hyperlink" Target="https://www.varprotools.org/reference/outpro.html" TargetMode="External"/><Relationship Id="rId14" Type="http://schemas.openxmlformats.org/officeDocument/2006/relationships/hyperlink" Target="https://epistasislab.github.io/pmlb/" TargetMode="External"/><Relationship Id="rId15" Type="http://schemas.openxmlformats.org/officeDocument/2006/relationships/hyperlink" Target="https://github.com/EpistasisLab/pmlb" TargetMode="External"/><Relationship Id="rId16" Type="http://schemas.openxmlformats.org/officeDocument/2006/relationships/hyperlink" Target="https://proceedings.mlr.press/v238/manh-bui24a.html" TargetMode="External"/><Relationship Id="rId17" Type="http://schemas.openxmlformats.org/officeDocument/2006/relationships/hyperlink" Target="https://github.com/kogalur/varPro/blob/fe2f5064b8f3973c62a3cb5a3d3143c342ed2640/R/outpro.R" TargetMode="External"/><Relationship Id="rId18" Type="http://schemas.openxmlformats.org/officeDocument/2006/relationships/hyperlink" Target="https://github.com/kogalur/varPro/blob/fe2f5064b8f3973c62a3cb5a3d3143c342ed2640/R/utilities_outpro.R" TargetMode="External"/><Relationship Id="rId19" Type="http://schemas.openxmlformats.org/officeDocument/2006/relationships/hyperlink" Target="https://github.com/kogalur/varPro/blob/fe2f5064b8f3973c62a3cb5a3d3143c342ed2640/man/outpro.Rd" TargetMode="External"/><Relationship Id="rId20" Type="http://schemas.openxmlformats.org/officeDocument/2006/relationships/hyperlink" Target="https://github.com/cran/varPro/tree/34a2d31338d70ee0359719c04f0effe087ac0f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OutPro 论文精读与研究分析</dc:title>
  <dc:subject>中文精读／日本語研究報告／口頭説明</dc:subject>
  <dc:creator>研究整理</dc:creator>
  <cp:keywords>学習外入力データ, OutPro, OOD, 回帰, 気象時系列</cp:keywords>
  <dc:description>generated by python-docx</dc:description>
  <cp:lastModifiedBy/>
  <cp:revision>1</cp:revision>
  <dcterms:created xsi:type="dcterms:W3CDTF">2013-12-23T23:15:00Z</dcterms:created>
  <dcterms:modified xsi:type="dcterms:W3CDTF">2013-12-23T23:15:00Z</dcterms:modified>
  <cp:category/>
</cp:coreProperties>
</file>