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多変量回帰モデルの学習外入力検知</w:t>
      </w:r>
    </w:p>
    <w:p>
      <w:pPr>
        <w:pStyle w:val="Subtitle"/>
      </w:pPr>
      <w:r>
        <w:t>日本語発表原稿と中文对照</w:t>
      </w:r>
    </w:p>
    <w:p>
      <w:pPr>
        <w:widowControl/>
      </w:pPr>
      <w:r>
        <w:rPr>
          <w:rFonts w:ascii="Microsoft YaHei" w:hAnsi="Microsoft YaHei" w:eastAsia="Microsoft YaHei"/>
          <w:lang w:eastAsia="zh-CN"/>
        </w:rPr>
        <w:t>对应最新版 PPT 详细流程改订版 03。正文为第1至16页，日语讲述按约20分钟安排。中文用于理解和练习，不与日语连续朗读；附录第17至27页仅在提问时使用。</w:t>
      </w:r>
    </w:p>
    <w:p>
      <w:pPr>
        <w:widowControl/>
      </w:pPr>
      <w:r>
        <w:rPr>
          <w:rFonts w:ascii="Microsoft YaHei" w:hAnsi="Microsoft YaHei" w:eastAsia="Microsoft YaHei"/>
          <w:lang w:eastAsia="zh-CN"/>
        </w:rPr>
        <w:t>各页先列日语演讲稿，再列中文对照。指图提示不朗读。时间包含指图、停顿和换页，是练习目标；实际时长请以一次完整试讲为准。</w:t>
      </w:r>
    </w:p>
    <w:p>
      <w:pPr>
        <w:pStyle w:val="Heading2"/>
      </w:pPr>
      <w:r>
        <w:t>正文时间安排</w:t>
      </w:r>
    </w:p>
    <w:tbl>
      <w:tblPr>
        <w:tblW w:type="auto" w:w="0"/>
        <w:tblLayout w:type="fixed"/>
        <w:tblLook w:firstColumn="1" w:firstRow="1" w:lastColumn="0" w:lastRow="0" w:noHBand="0" w:noVBand="1" w:val="04A0"/>
      </w:tblPr>
      <w:tblGrid>
        <w:gridCol w:w="850"/>
        <w:gridCol w:w="6520"/>
        <w:gridCol w:w="2268"/>
      </w:tblGrid>
      <w:tr>
        <w:tc>
          <w:tcPr>
            <w:tcW w:type="dxa" w:w="3213"/>
            <w:tcBorders>
              <w:top w:val="single" w:sz="4" w:color="D9D9D9"/>
              <w:left w:val="single" w:sz="4" w:color="D9D9D9"/>
              <w:bottom w:val="single" w:sz="4" w:color="D9D9D9"/>
              <w:right w:val="single" w:sz="4" w:color="D9D9D9"/>
            </w:tcBorders>
            <w:shd w:fill="E9EEF2"/>
          </w:tcPr>
          <w:p>
            <w:pPr>
              <w:spacing w:after="60" w:before="60" w:line="252" w:lineRule="auto"/>
              <w:jc w:val="center"/>
            </w:pPr>
            <w:r>
              <w:rPr>
                <w:b/>
                <w:sz w:val="18"/>
              </w:rPr>
              <w:t>PPT</w:t>
            </w:r>
          </w:p>
        </w:tc>
        <w:tc>
          <w:tcPr>
            <w:tcW w:type="dxa" w:w="3213"/>
            <w:tcBorders>
              <w:top w:val="single" w:sz="4" w:color="D9D9D9"/>
              <w:left w:val="single" w:sz="4" w:color="D9D9D9"/>
              <w:bottom w:val="single" w:sz="4" w:color="D9D9D9"/>
              <w:right w:val="single" w:sz="4" w:color="D9D9D9"/>
            </w:tcBorders>
            <w:shd w:fill="E9EEF2"/>
          </w:tcPr>
          <w:p>
            <w:pPr>
              <w:spacing w:after="60" w:before="60" w:line="252" w:lineRule="auto"/>
            </w:pPr>
            <w:r>
              <w:rPr>
                <w:b/>
                <w:sz w:val="18"/>
              </w:rPr>
              <w:t>内容</w:t>
            </w:r>
          </w:p>
        </w:tc>
        <w:tc>
          <w:tcPr>
            <w:tcW w:type="dxa" w:w="3213"/>
            <w:tcBorders>
              <w:top w:val="single" w:sz="4" w:color="D9D9D9"/>
              <w:left w:val="single" w:sz="4" w:color="D9D9D9"/>
              <w:bottom w:val="single" w:sz="4" w:color="D9D9D9"/>
              <w:right w:val="single" w:sz="4" w:color="D9D9D9"/>
            </w:tcBorders>
            <w:shd w:fill="E9EEF2"/>
          </w:tcPr>
          <w:p>
            <w:pPr>
              <w:spacing w:after="60" w:before="60" w:line="252" w:lineRule="auto"/>
              <w:jc w:val="center"/>
            </w:pPr>
            <w:r>
              <w:rPr>
                <w:b/>
                <w:sz w:val="18"/>
              </w:rPr>
              <w:t>时间</w:t>
            </w:r>
          </w:p>
        </w:tc>
      </w:tr>
      <w:tr>
        <w:tc>
          <w:tcPr>
            <w:tcW w:type="dxa" w:w="850"/>
            <w:tcBorders>
              <w:top w:val="single" w:sz="4" w:color="D9D9D9"/>
              <w:left w:val="single" w:sz="4" w:color="D9D9D9"/>
              <w:bottom w:val="single" w:sz="4" w:color="D9D9D9"/>
              <w:right w:val="single" w:sz="4" w:color="D9D9D9"/>
            </w:tcBorders>
            <w:shd w:fill="FFFFFF"/>
          </w:tcPr>
          <w:p>
            <w:pPr>
              <w:spacing w:after="60" w:before="60" w:line="252" w:lineRule="auto"/>
              <w:jc w:val="center"/>
            </w:pPr>
            <w:r>
              <w:rPr>
                <w:b w:val="0"/>
                <w:sz w:val="18"/>
              </w:rPr>
              <w:t>1</w:t>
            </w:r>
          </w:p>
        </w:tc>
        <w:tc>
          <w:tcPr>
            <w:tcW w:type="dxa" w:w="6520"/>
            <w:tcBorders>
              <w:top w:val="single" w:sz="4" w:color="D9D9D9"/>
              <w:left w:val="single" w:sz="4" w:color="D9D9D9"/>
              <w:bottom w:val="single" w:sz="4" w:color="D9D9D9"/>
              <w:right w:val="single" w:sz="4" w:color="D9D9D9"/>
            </w:tcBorders>
            <w:shd w:fill="FFFFFF"/>
          </w:tcPr>
          <w:p>
            <w:pPr>
              <w:spacing w:after="60" w:before="60" w:line="252" w:lineRule="auto"/>
            </w:pPr>
            <w:r>
              <w:rPr>
                <w:b w:val="0"/>
                <w:sz w:val="18"/>
              </w:rPr>
              <w:t>タイトル</w:t>
            </w:r>
          </w:p>
        </w:tc>
        <w:tc>
          <w:tcPr>
            <w:tcW w:type="dxa" w:w="2268"/>
            <w:tcBorders>
              <w:top w:val="single" w:sz="4" w:color="D9D9D9"/>
              <w:left w:val="single" w:sz="4" w:color="D9D9D9"/>
              <w:bottom w:val="single" w:sz="4" w:color="D9D9D9"/>
              <w:right w:val="single" w:sz="4" w:color="D9D9D9"/>
            </w:tcBorders>
            <w:shd w:fill="FFFFFF"/>
          </w:tcPr>
          <w:p>
            <w:pPr>
              <w:spacing w:after="60" w:before="60" w:line="252" w:lineRule="auto"/>
              <w:jc w:val="center"/>
            </w:pPr>
            <w:r>
              <w:rPr>
                <w:b w:val="0"/>
                <w:sz w:val="18"/>
              </w:rPr>
              <w:t>0:00–0:20</w:t>
            </w:r>
          </w:p>
        </w:tc>
      </w:tr>
      <w:tr>
        <w:tc>
          <w:tcPr>
            <w:tcW w:type="dxa" w:w="850"/>
            <w:tcBorders>
              <w:top w:val="single" w:sz="4" w:color="D9D9D9"/>
              <w:left w:val="single" w:sz="4" w:color="D9D9D9"/>
              <w:bottom w:val="single" w:sz="4" w:color="D9D9D9"/>
              <w:right w:val="single" w:sz="4" w:color="D9D9D9"/>
            </w:tcBorders>
            <w:shd w:fill="F7F7F7"/>
          </w:tcPr>
          <w:p>
            <w:pPr>
              <w:spacing w:after="60" w:before="60" w:line="252" w:lineRule="auto"/>
              <w:jc w:val="center"/>
            </w:pPr>
            <w:r>
              <w:rPr>
                <w:b w:val="0"/>
                <w:sz w:val="18"/>
              </w:rPr>
              <w:t>2</w:t>
            </w:r>
          </w:p>
        </w:tc>
        <w:tc>
          <w:tcPr>
            <w:tcW w:type="dxa" w:w="6520"/>
            <w:tcBorders>
              <w:top w:val="single" w:sz="4" w:color="D9D9D9"/>
              <w:left w:val="single" w:sz="4" w:color="D9D9D9"/>
              <w:bottom w:val="single" w:sz="4" w:color="D9D9D9"/>
              <w:right w:val="single" w:sz="4" w:color="D9D9D9"/>
            </w:tcBorders>
            <w:shd w:fill="F7F7F7"/>
          </w:tcPr>
          <w:p>
            <w:pPr>
              <w:spacing w:after="60" w:before="60" w:line="252" w:lineRule="auto"/>
            </w:pPr>
            <w:r>
              <w:rPr>
                <w:b w:val="0"/>
                <w:sz w:val="18"/>
              </w:rPr>
              <w:t>学習と校正と運用を分けた検知システムの構成</w:t>
            </w:r>
          </w:p>
        </w:tc>
        <w:tc>
          <w:tcPr>
            <w:tcW w:type="dxa" w:w="2268"/>
            <w:tcBorders>
              <w:top w:val="single" w:sz="4" w:color="D9D9D9"/>
              <w:left w:val="single" w:sz="4" w:color="D9D9D9"/>
              <w:bottom w:val="single" w:sz="4" w:color="D9D9D9"/>
              <w:right w:val="single" w:sz="4" w:color="D9D9D9"/>
            </w:tcBorders>
            <w:shd w:fill="F7F7F7"/>
          </w:tcPr>
          <w:p>
            <w:pPr>
              <w:spacing w:after="60" w:before="60" w:line="252" w:lineRule="auto"/>
              <w:jc w:val="center"/>
            </w:pPr>
            <w:r>
              <w:rPr>
                <w:b w:val="0"/>
                <w:sz w:val="18"/>
              </w:rPr>
              <w:t>0:20–1:30</w:t>
            </w:r>
          </w:p>
        </w:tc>
      </w:tr>
      <w:tr>
        <w:tc>
          <w:tcPr>
            <w:tcW w:type="dxa" w:w="850"/>
            <w:tcBorders>
              <w:top w:val="single" w:sz="4" w:color="D9D9D9"/>
              <w:left w:val="single" w:sz="4" w:color="D9D9D9"/>
              <w:bottom w:val="single" w:sz="4" w:color="D9D9D9"/>
              <w:right w:val="single" w:sz="4" w:color="D9D9D9"/>
            </w:tcBorders>
            <w:shd w:fill="FFFFFF"/>
          </w:tcPr>
          <w:p>
            <w:pPr>
              <w:spacing w:after="60" w:before="60" w:line="252" w:lineRule="auto"/>
              <w:jc w:val="center"/>
            </w:pPr>
            <w:r>
              <w:rPr>
                <w:b w:val="0"/>
                <w:sz w:val="18"/>
              </w:rPr>
              <w:t>3</w:t>
            </w:r>
          </w:p>
        </w:tc>
        <w:tc>
          <w:tcPr>
            <w:tcW w:type="dxa" w:w="6520"/>
            <w:tcBorders>
              <w:top w:val="single" w:sz="4" w:color="D9D9D9"/>
              <w:left w:val="single" w:sz="4" w:color="D9D9D9"/>
              <w:bottom w:val="single" w:sz="4" w:color="D9D9D9"/>
              <w:right w:val="single" w:sz="4" w:color="D9D9D9"/>
            </w:tcBorders>
            <w:shd w:fill="FFFFFF"/>
          </w:tcPr>
          <w:p>
            <w:pPr>
              <w:spacing w:after="60" w:before="60" w:line="252" w:lineRule="auto"/>
            </w:pPr>
            <w:r>
              <w:rPr>
                <w:b w:val="0"/>
                <w:sz w:val="18"/>
              </w:rPr>
              <w:t>対象となる多変量数値入力の回帰モデル</w:t>
            </w:r>
          </w:p>
        </w:tc>
        <w:tc>
          <w:tcPr>
            <w:tcW w:type="dxa" w:w="2268"/>
            <w:tcBorders>
              <w:top w:val="single" w:sz="4" w:color="D9D9D9"/>
              <w:left w:val="single" w:sz="4" w:color="D9D9D9"/>
              <w:bottom w:val="single" w:sz="4" w:color="D9D9D9"/>
              <w:right w:val="single" w:sz="4" w:color="D9D9D9"/>
            </w:tcBorders>
            <w:shd w:fill="FFFFFF"/>
          </w:tcPr>
          <w:p>
            <w:pPr>
              <w:spacing w:after="60" w:before="60" w:line="252" w:lineRule="auto"/>
              <w:jc w:val="center"/>
            </w:pPr>
            <w:r>
              <w:rPr>
                <w:b w:val="0"/>
                <w:sz w:val="18"/>
              </w:rPr>
              <w:t>1:30–2:55</w:t>
            </w:r>
          </w:p>
        </w:tc>
      </w:tr>
      <w:tr>
        <w:tc>
          <w:tcPr>
            <w:tcW w:type="dxa" w:w="850"/>
            <w:tcBorders>
              <w:top w:val="single" w:sz="4" w:color="D9D9D9"/>
              <w:left w:val="single" w:sz="4" w:color="D9D9D9"/>
              <w:bottom w:val="single" w:sz="4" w:color="D9D9D9"/>
              <w:right w:val="single" w:sz="4" w:color="D9D9D9"/>
            </w:tcBorders>
            <w:shd w:fill="F7F7F7"/>
          </w:tcPr>
          <w:p>
            <w:pPr>
              <w:spacing w:after="60" w:before="60" w:line="252" w:lineRule="auto"/>
              <w:jc w:val="center"/>
            </w:pPr>
            <w:r>
              <w:rPr>
                <w:b w:val="0"/>
                <w:sz w:val="18"/>
              </w:rPr>
              <w:t>4</w:t>
            </w:r>
          </w:p>
        </w:tc>
        <w:tc>
          <w:tcPr>
            <w:tcW w:type="dxa" w:w="6520"/>
            <w:tcBorders>
              <w:top w:val="single" w:sz="4" w:color="D9D9D9"/>
              <w:left w:val="single" w:sz="4" w:color="D9D9D9"/>
              <w:bottom w:val="single" w:sz="4" w:color="D9D9D9"/>
              <w:right w:val="single" w:sz="4" w:color="D9D9D9"/>
            </w:tcBorders>
            <w:shd w:fill="F7F7F7"/>
          </w:tcPr>
          <w:p>
            <w:pPr>
              <w:spacing w:after="60" w:before="60" w:line="252" w:lineRule="auto"/>
            </w:pPr>
            <w:r>
              <w:rPr>
                <w:b w:val="0"/>
                <w:sz w:val="18"/>
              </w:rPr>
              <w:t>調査した五編と本報告での役割</w:t>
            </w:r>
          </w:p>
        </w:tc>
        <w:tc>
          <w:tcPr>
            <w:tcW w:type="dxa" w:w="2268"/>
            <w:tcBorders>
              <w:top w:val="single" w:sz="4" w:color="D9D9D9"/>
              <w:left w:val="single" w:sz="4" w:color="D9D9D9"/>
              <w:bottom w:val="single" w:sz="4" w:color="D9D9D9"/>
              <w:right w:val="single" w:sz="4" w:color="D9D9D9"/>
            </w:tcBorders>
            <w:shd w:fill="F7F7F7"/>
          </w:tcPr>
          <w:p>
            <w:pPr>
              <w:spacing w:after="60" w:before="60" w:line="252" w:lineRule="auto"/>
              <w:jc w:val="center"/>
            </w:pPr>
            <w:r>
              <w:rPr>
                <w:b w:val="0"/>
                <w:sz w:val="18"/>
              </w:rPr>
              <w:t>2:55–3:45</w:t>
            </w:r>
          </w:p>
        </w:tc>
      </w:tr>
      <w:tr>
        <w:tc>
          <w:tcPr>
            <w:tcW w:type="dxa" w:w="850"/>
            <w:tcBorders>
              <w:top w:val="single" w:sz="4" w:color="D9D9D9"/>
              <w:left w:val="single" w:sz="4" w:color="D9D9D9"/>
              <w:bottom w:val="single" w:sz="4" w:color="D9D9D9"/>
              <w:right w:val="single" w:sz="4" w:color="D9D9D9"/>
            </w:tcBorders>
            <w:shd w:fill="FFFFFF"/>
          </w:tcPr>
          <w:p>
            <w:pPr>
              <w:spacing w:after="60" w:before="60" w:line="252" w:lineRule="auto"/>
              <w:jc w:val="center"/>
            </w:pPr>
            <w:r>
              <w:rPr>
                <w:b w:val="0"/>
                <w:sz w:val="18"/>
              </w:rPr>
              <w:t>5</w:t>
            </w:r>
          </w:p>
        </w:tc>
        <w:tc>
          <w:tcPr>
            <w:tcW w:type="dxa" w:w="6520"/>
            <w:tcBorders>
              <w:top w:val="single" w:sz="4" w:color="D9D9D9"/>
              <w:left w:val="single" w:sz="4" w:color="D9D9D9"/>
              <w:bottom w:val="single" w:sz="4" w:color="D9D9D9"/>
              <w:right w:val="single" w:sz="4" w:color="D9D9D9"/>
            </w:tcBorders>
            <w:shd w:fill="FFFFFF"/>
          </w:tcPr>
          <w:p>
            <w:pPr>
              <w:spacing w:after="60" w:before="60" w:line="252" w:lineRule="auto"/>
            </w:pPr>
            <w:r>
              <w:rPr>
                <w:b w:val="0"/>
                <w:sz w:val="18"/>
              </w:rPr>
              <w:t>学習外入力の三つのケース</w:t>
            </w:r>
          </w:p>
        </w:tc>
        <w:tc>
          <w:tcPr>
            <w:tcW w:type="dxa" w:w="2268"/>
            <w:tcBorders>
              <w:top w:val="single" w:sz="4" w:color="D9D9D9"/>
              <w:left w:val="single" w:sz="4" w:color="D9D9D9"/>
              <w:bottom w:val="single" w:sz="4" w:color="D9D9D9"/>
              <w:right w:val="single" w:sz="4" w:color="D9D9D9"/>
            </w:tcBorders>
            <w:shd w:fill="FFFFFF"/>
          </w:tcPr>
          <w:p>
            <w:pPr>
              <w:spacing w:after="60" w:before="60" w:line="252" w:lineRule="auto"/>
              <w:jc w:val="center"/>
            </w:pPr>
            <w:r>
              <w:rPr>
                <w:b w:val="0"/>
                <w:sz w:val="18"/>
              </w:rPr>
              <w:t>3:45–4:35</w:t>
            </w:r>
          </w:p>
        </w:tc>
      </w:tr>
      <w:tr>
        <w:tc>
          <w:tcPr>
            <w:tcW w:type="dxa" w:w="850"/>
            <w:tcBorders>
              <w:top w:val="single" w:sz="4" w:color="D9D9D9"/>
              <w:left w:val="single" w:sz="4" w:color="D9D9D9"/>
              <w:bottom w:val="single" w:sz="4" w:color="D9D9D9"/>
              <w:right w:val="single" w:sz="4" w:color="D9D9D9"/>
            </w:tcBorders>
            <w:shd w:fill="F7F7F7"/>
          </w:tcPr>
          <w:p>
            <w:pPr>
              <w:spacing w:after="60" w:before="60" w:line="252" w:lineRule="auto"/>
              <w:jc w:val="center"/>
            </w:pPr>
            <w:r>
              <w:rPr>
                <w:b w:val="0"/>
                <w:sz w:val="18"/>
              </w:rPr>
              <w:t>6</w:t>
            </w:r>
          </w:p>
        </w:tc>
        <w:tc>
          <w:tcPr>
            <w:tcW w:type="dxa" w:w="6520"/>
            <w:tcBorders>
              <w:top w:val="single" w:sz="4" w:color="D9D9D9"/>
              <w:left w:val="single" w:sz="4" w:color="D9D9D9"/>
              <w:bottom w:val="single" w:sz="4" w:color="D9D9D9"/>
              <w:right w:val="single" w:sz="4" w:color="D9D9D9"/>
            </w:tcBorders>
            <w:shd w:fill="F7F7F7"/>
          </w:tcPr>
          <w:p>
            <w:pPr>
              <w:spacing w:after="60" w:before="60" w:line="252" w:lineRule="auto"/>
            </w:pPr>
            <w:r>
              <w:rPr>
                <w:b w:val="0"/>
                <w:sz w:val="18"/>
              </w:rPr>
              <w:t>各変数は範囲内でも組合せは未知になる</w:t>
            </w:r>
          </w:p>
        </w:tc>
        <w:tc>
          <w:tcPr>
            <w:tcW w:type="dxa" w:w="2268"/>
            <w:tcBorders>
              <w:top w:val="single" w:sz="4" w:color="D9D9D9"/>
              <w:left w:val="single" w:sz="4" w:color="D9D9D9"/>
              <w:bottom w:val="single" w:sz="4" w:color="D9D9D9"/>
              <w:right w:val="single" w:sz="4" w:color="D9D9D9"/>
            </w:tcBorders>
            <w:shd w:fill="F7F7F7"/>
          </w:tcPr>
          <w:p>
            <w:pPr>
              <w:spacing w:after="60" w:before="60" w:line="252" w:lineRule="auto"/>
              <w:jc w:val="center"/>
            </w:pPr>
            <w:r>
              <w:rPr>
                <w:b w:val="0"/>
                <w:sz w:val="18"/>
              </w:rPr>
              <w:t>4:35–5:25</w:t>
            </w:r>
          </w:p>
        </w:tc>
      </w:tr>
      <w:tr>
        <w:tc>
          <w:tcPr>
            <w:tcW w:type="dxa" w:w="850"/>
            <w:tcBorders>
              <w:top w:val="single" w:sz="4" w:color="D9D9D9"/>
              <w:left w:val="single" w:sz="4" w:color="D9D9D9"/>
              <w:bottom w:val="single" w:sz="4" w:color="D9D9D9"/>
              <w:right w:val="single" w:sz="4" w:color="D9D9D9"/>
            </w:tcBorders>
            <w:shd w:fill="FFFFFF"/>
          </w:tcPr>
          <w:p>
            <w:pPr>
              <w:spacing w:after="60" w:before="60" w:line="252" w:lineRule="auto"/>
              <w:jc w:val="center"/>
            </w:pPr>
            <w:r>
              <w:rPr>
                <w:b w:val="0"/>
                <w:sz w:val="18"/>
              </w:rPr>
              <w:t>7</w:t>
            </w:r>
          </w:p>
        </w:tc>
        <w:tc>
          <w:tcPr>
            <w:tcW w:type="dxa" w:w="6520"/>
            <w:tcBorders>
              <w:top w:val="single" w:sz="4" w:color="D9D9D9"/>
              <w:left w:val="single" w:sz="4" w:color="D9D9D9"/>
              <w:bottom w:val="single" w:sz="4" w:color="D9D9D9"/>
              <w:right w:val="single" w:sz="4" w:color="D9D9D9"/>
            </w:tcBorders>
            <w:shd w:fill="FFFFFF"/>
          </w:tcPr>
          <w:p>
            <w:pPr>
              <w:spacing w:after="60" w:before="60" w:line="252" w:lineRule="auto"/>
            </w:pPr>
            <w:r>
              <w:rPr>
                <w:b w:val="0"/>
                <w:sz w:val="18"/>
              </w:rPr>
              <w:t>時系列異常は文献ごとに別の軸で分類される</w:t>
            </w:r>
          </w:p>
        </w:tc>
        <w:tc>
          <w:tcPr>
            <w:tcW w:type="dxa" w:w="2268"/>
            <w:tcBorders>
              <w:top w:val="single" w:sz="4" w:color="D9D9D9"/>
              <w:left w:val="single" w:sz="4" w:color="D9D9D9"/>
              <w:bottom w:val="single" w:sz="4" w:color="D9D9D9"/>
              <w:right w:val="single" w:sz="4" w:color="D9D9D9"/>
            </w:tcBorders>
            <w:shd w:fill="FFFFFF"/>
          </w:tcPr>
          <w:p>
            <w:pPr>
              <w:spacing w:after="60" w:before="60" w:line="252" w:lineRule="auto"/>
              <w:jc w:val="center"/>
            </w:pPr>
            <w:r>
              <w:rPr>
                <w:b w:val="0"/>
                <w:sz w:val="18"/>
              </w:rPr>
              <w:t>5:25–7:05</w:t>
            </w:r>
          </w:p>
        </w:tc>
      </w:tr>
      <w:tr>
        <w:tc>
          <w:tcPr>
            <w:tcW w:type="dxa" w:w="850"/>
            <w:tcBorders>
              <w:top w:val="single" w:sz="4" w:color="D9D9D9"/>
              <w:left w:val="single" w:sz="4" w:color="D9D9D9"/>
              <w:bottom w:val="single" w:sz="4" w:color="D9D9D9"/>
              <w:right w:val="single" w:sz="4" w:color="D9D9D9"/>
            </w:tcBorders>
            <w:shd w:fill="F7F7F7"/>
          </w:tcPr>
          <w:p>
            <w:pPr>
              <w:spacing w:after="60" w:before="60" w:line="252" w:lineRule="auto"/>
              <w:jc w:val="center"/>
            </w:pPr>
            <w:r>
              <w:rPr>
                <w:b w:val="0"/>
                <w:sz w:val="18"/>
              </w:rPr>
              <w:t>8</w:t>
            </w:r>
          </w:p>
        </w:tc>
        <w:tc>
          <w:tcPr>
            <w:tcW w:type="dxa" w:w="6520"/>
            <w:tcBorders>
              <w:top w:val="single" w:sz="4" w:color="D9D9D9"/>
              <w:left w:val="single" w:sz="4" w:color="D9D9D9"/>
              <w:bottom w:val="single" w:sz="4" w:color="D9D9D9"/>
              <w:right w:val="single" w:sz="4" w:color="D9D9D9"/>
            </w:tcBorders>
            <w:shd w:fill="F7F7F7"/>
          </w:tcPr>
          <w:p>
            <w:pPr>
              <w:spacing w:after="60" w:before="60" w:line="252" w:lineRule="auto"/>
            </w:pPr>
            <w:r>
              <w:rPr>
                <w:b w:val="0"/>
                <w:sz w:val="18"/>
              </w:rPr>
              <w:t>サーベイごとの手法分類と本調査の比較軸</w:t>
            </w:r>
          </w:p>
        </w:tc>
        <w:tc>
          <w:tcPr>
            <w:tcW w:type="dxa" w:w="2268"/>
            <w:tcBorders>
              <w:top w:val="single" w:sz="4" w:color="D9D9D9"/>
              <w:left w:val="single" w:sz="4" w:color="D9D9D9"/>
              <w:bottom w:val="single" w:sz="4" w:color="D9D9D9"/>
              <w:right w:val="single" w:sz="4" w:color="D9D9D9"/>
            </w:tcBorders>
            <w:shd w:fill="F7F7F7"/>
          </w:tcPr>
          <w:p>
            <w:pPr>
              <w:spacing w:after="60" w:before="60" w:line="252" w:lineRule="auto"/>
              <w:jc w:val="center"/>
            </w:pPr>
            <w:r>
              <w:rPr>
                <w:b w:val="0"/>
                <w:sz w:val="18"/>
              </w:rPr>
              <w:t>7:05–8:35</w:t>
            </w:r>
          </w:p>
        </w:tc>
      </w:tr>
      <w:tr>
        <w:tc>
          <w:tcPr>
            <w:tcW w:type="dxa" w:w="850"/>
            <w:tcBorders>
              <w:top w:val="single" w:sz="4" w:color="D9D9D9"/>
              <w:left w:val="single" w:sz="4" w:color="D9D9D9"/>
              <w:bottom w:val="single" w:sz="4" w:color="D9D9D9"/>
              <w:right w:val="single" w:sz="4" w:color="D9D9D9"/>
            </w:tcBorders>
            <w:shd w:fill="FFFFFF"/>
          </w:tcPr>
          <w:p>
            <w:pPr>
              <w:spacing w:after="60" w:before="60" w:line="252" w:lineRule="auto"/>
              <w:jc w:val="center"/>
            </w:pPr>
            <w:r>
              <w:rPr>
                <w:b w:val="0"/>
                <w:sz w:val="18"/>
              </w:rPr>
              <w:t>9</w:t>
            </w:r>
          </w:p>
        </w:tc>
        <w:tc>
          <w:tcPr>
            <w:tcW w:type="dxa" w:w="6520"/>
            <w:tcBorders>
              <w:top w:val="single" w:sz="4" w:color="D9D9D9"/>
              <w:left w:val="single" w:sz="4" w:color="D9D9D9"/>
              <w:bottom w:val="single" w:sz="4" w:color="D9D9D9"/>
              <w:right w:val="single" w:sz="4" w:color="D9D9D9"/>
            </w:tcBorders>
            <w:shd w:fill="FFFFFF"/>
          </w:tcPr>
          <w:p>
            <w:pPr>
              <w:spacing w:after="60" w:before="60" w:line="252" w:lineRule="auto"/>
            </w:pPr>
            <w:r>
              <w:rPr>
                <w:b w:val="0"/>
                <w:sz w:val="18"/>
              </w:rPr>
              <w:t>AEの学習と校正と推論の詳細フロー</w:t>
            </w:r>
          </w:p>
        </w:tc>
        <w:tc>
          <w:tcPr>
            <w:tcW w:type="dxa" w:w="2268"/>
            <w:tcBorders>
              <w:top w:val="single" w:sz="4" w:color="D9D9D9"/>
              <w:left w:val="single" w:sz="4" w:color="D9D9D9"/>
              <w:bottom w:val="single" w:sz="4" w:color="D9D9D9"/>
              <w:right w:val="single" w:sz="4" w:color="D9D9D9"/>
            </w:tcBorders>
            <w:shd w:fill="FFFFFF"/>
          </w:tcPr>
          <w:p>
            <w:pPr>
              <w:spacing w:after="60" w:before="60" w:line="252" w:lineRule="auto"/>
              <w:jc w:val="center"/>
            </w:pPr>
            <w:r>
              <w:rPr>
                <w:b w:val="0"/>
                <w:sz w:val="18"/>
              </w:rPr>
              <w:t>8:35–10:55</w:t>
            </w:r>
          </w:p>
        </w:tc>
      </w:tr>
      <w:tr>
        <w:tc>
          <w:tcPr>
            <w:tcW w:type="dxa" w:w="850"/>
            <w:tcBorders>
              <w:top w:val="single" w:sz="4" w:color="D9D9D9"/>
              <w:left w:val="single" w:sz="4" w:color="D9D9D9"/>
              <w:bottom w:val="single" w:sz="4" w:color="D9D9D9"/>
              <w:right w:val="single" w:sz="4" w:color="D9D9D9"/>
            </w:tcBorders>
            <w:shd w:fill="F7F7F7"/>
          </w:tcPr>
          <w:p>
            <w:pPr>
              <w:spacing w:after="60" w:before="60" w:line="252" w:lineRule="auto"/>
              <w:jc w:val="center"/>
            </w:pPr>
            <w:r>
              <w:rPr>
                <w:b w:val="0"/>
                <w:sz w:val="18"/>
              </w:rPr>
              <w:t>10</w:t>
            </w:r>
          </w:p>
        </w:tc>
        <w:tc>
          <w:tcPr>
            <w:tcW w:type="dxa" w:w="6520"/>
            <w:tcBorders>
              <w:top w:val="single" w:sz="4" w:color="D9D9D9"/>
              <w:left w:val="single" w:sz="4" w:color="D9D9D9"/>
              <w:bottom w:val="single" w:sz="4" w:color="D9D9D9"/>
              <w:right w:val="single" w:sz="4" w:color="D9D9D9"/>
            </w:tcBorders>
            <w:shd w:fill="F7F7F7"/>
          </w:tcPr>
          <w:p>
            <w:pPr>
              <w:spacing w:after="60" w:before="60" w:line="252" w:lineRule="auto"/>
            </w:pPr>
            <w:r>
              <w:rPr>
                <w:b w:val="0"/>
                <w:sz w:val="18"/>
              </w:rPr>
              <w:t>OutProの学習と参照近傍の計算手順</w:t>
            </w:r>
          </w:p>
        </w:tc>
        <w:tc>
          <w:tcPr>
            <w:tcW w:type="dxa" w:w="2268"/>
            <w:tcBorders>
              <w:top w:val="single" w:sz="4" w:color="D9D9D9"/>
              <w:left w:val="single" w:sz="4" w:color="D9D9D9"/>
              <w:bottom w:val="single" w:sz="4" w:color="D9D9D9"/>
              <w:right w:val="single" w:sz="4" w:color="D9D9D9"/>
            </w:tcBorders>
            <w:shd w:fill="F7F7F7"/>
          </w:tcPr>
          <w:p>
            <w:pPr>
              <w:spacing w:after="60" w:before="60" w:line="252" w:lineRule="auto"/>
              <w:jc w:val="center"/>
            </w:pPr>
            <w:r>
              <w:rPr>
                <w:b w:val="0"/>
                <w:sz w:val="18"/>
              </w:rPr>
              <w:t>10:55–13:25</w:t>
            </w:r>
          </w:p>
        </w:tc>
      </w:tr>
      <w:tr>
        <w:tc>
          <w:tcPr>
            <w:tcW w:type="dxa" w:w="850"/>
            <w:tcBorders>
              <w:top w:val="single" w:sz="4" w:color="D9D9D9"/>
              <w:left w:val="single" w:sz="4" w:color="D9D9D9"/>
              <w:bottom w:val="single" w:sz="4" w:color="D9D9D9"/>
              <w:right w:val="single" w:sz="4" w:color="D9D9D9"/>
            </w:tcBorders>
            <w:shd w:fill="FFFFFF"/>
          </w:tcPr>
          <w:p>
            <w:pPr>
              <w:spacing w:after="60" w:before="60" w:line="252" w:lineRule="auto"/>
              <w:jc w:val="center"/>
            </w:pPr>
            <w:r>
              <w:rPr>
                <w:b w:val="0"/>
                <w:sz w:val="18"/>
              </w:rPr>
              <w:t>11</w:t>
            </w:r>
          </w:p>
        </w:tc>
        <w:tc>
          <w:tcPr>
            <w:tcW w:type="dxa" w:w="6520"/>
            <w:tcBorders>
              <w:top w:val="single" w:sz="4" w:color="D9D9D9"/>
              <w:left w:val="single" w:sz="4" w:color="D9D9D9"/>
              <w:bottom w:val="single" w:sz="4" w:color="D9D9D9"/>
              <w:right w:val="single" w:sz="4" w:color="D9D9D9"/>
            </w:tcBorders>
            <w:shd w:fill="FFFFFF"/>
          </w:tcPr>
          <w:p>
            <w:pPr>
              <w:spacing w:after="60" w:before="60" w:line="252" w:lineRule="auto"/>
            </w:pPr>
            <w:r>
              <w:rPr>
                <w:b w:val="0"/>
                <w:sz w:val="18"/>
              </w:rPr>
              <w:t>比較一として各分類軸への対応を整理する</w:t>
            </w:r>
          </w:p>
        </w:tc>
        <w:tc>
          <w:tcPr>
            <w:tcW w:type="dxa" w:w="2268"/>
            <w:tcBorders>
              <w:top w:val="single" w:sz="4" w:color="D9D9D9"/>
              <w:left w:val="single" w:sz="4" w:color="D9D9D9"/>
              <w:bottom w:val="single" w:sz="4" w:color="D9D9D9"/>
              <w:right w:val="single" w:sz="4" w:color="D9D9D9"/>
            </w:tcBorders>
            <w:shd w:fill="FFFFFF"/>
          </w:tcPr>
          <w:p>
            <w:pPr>
              <w:spacing w:after="60" w:before="60" w:line="252" w:lineRule="auto"/>
              <w:jc w:val="center"/>
            </w:pPr>
            <w:r>
              <w:rPr>
                <w:b w:val="0"/>
                <w:sz w:val="18"/>
              </w:rPr>
              <w:t>13:25–14:20</w:t>
            </w:r>
          </w:p>
        </w:tc>
      </w:tr>
      <w:tr>
        <w:tc>
          <w:tcPr>
            <w:tcW w:type="dxa" w:w="850"/>
            <w:tcBorders>
              <w:top w:val="single" w:sz="4" w:color="D9D9D9"/>
              <w:left w:val="single" w:sz="4" w:color="D9D9D9"/>
              <w:bottom w:val="single" w:sz="4" w:color="D9D9D9"/>
              <w:right w:val="single" w:sz="4" w:color="D9D9D9"/>
            </w:tcBorders>
            <w:shd w:fill="F7F7F7"/>
          </w:tcPr>
          <w:p>
            <w:pPr>
              <w:spacing w:after="60" w:before="60" w:line="252" w:lineRule="auto"/>
              <w:jc w:val="center"/>
            </w:pPr>
            <w:r>
              <w:rPr>
                <w:b w:val="0"/>
                <w:sz w:val="18"/>
              </w:rPr>
              <w:t>12</w:t>
            </w:r>
          </w:p>
        </w:tc>
        <w:tc>
          <w:tcPr>
            <w:tcW w:type="dxa" w:w="6520"/>
            <w:tcBorders>
              <w:top w:val="single" w:sz="4" w:color="D9D9D9"/>
              <w:left w:val="single" w:sz="4" w:color="D9D9D9"/>
              <w:bottom w:val="single" w:sz="4" w:color="D9D9D9"/>
              <w:right w:val="single" w:sz="4" w:color="D9D9D9"/>
            </w:tcBorders>
            <w:shd w:fill="F7F7F7"/>
          </w:tcPr>
          <w:p>
            <w:pPr>
              <w:spacing w:after="60" w:before="60" w:line="252" w:lineRule="auto"/>
            </w:pPr>
            <w:r>
              <w:rPr>
                <w:b w:val="0"/>
                <w:sz w:val="18"/>
              </w:rPr>
              <w:t>比較二として入力条件と検知できる関係を確認する</w:t>
            </w:r>
          </w:p>
        </w:tc>
        <w:tc>
          <w:tcPr>
            <w:tcW w:type="dxa" w:w="2268"/>
            <w:tcBorders>
              <w:top w:val="single" w:sz="4" w:color="D9D9D9"/>
              <w:left w:val="single" w:sz="4" w:color="D9D9D9"/>
              <w:bottom w:val="single" w:sz="4" w:color="D9D9D9"/>
              <w:right w:val="single" w:sz="4" w:color="D9D9D9"/>
            </w:tcBorders>
            <w:shd w:fill="F7F7F7"/>
          </w:tcPr>
          <w:p>
            <w:pPr>
              <w:spacing w:after="60" w:before="60" w:line="252" w:lineRule="auto"/>
              <w:jc w:val="center"/>
            </w:pPr>
            <w:r>
              <w:rPr>
                <w:b w:val="0"/>
                <w:sz w:val="18"/>
              </w:rPr>
              <w:t>14:20–15:25</w:t>
            </w:r>
          </w:p>
        </w:tc>
      </w:tr>
      <w:tr>
        <w:tc>
          <w:tcPr>
            <w:tcW w:type="dxa" w:w="850"/>
            <w:tcBorders>
              <w:top w:val="single" w:sz="4" w:color="D9D9D9"/>
              <w:left w:val="single" w:sz="4" w:color="D9D9D9"/>
              <w:bottom w:val="single" w:sz="4" w:color="D9D9D9"/>
              <w:right w:val="single" w:sz="4" w:color="D9D9D9"/>
            </w:tcBorders>
            <w:shd w:fill="FFFFFF"/>
          </w:tcPr>
          <w:p>
            <w:pPr>
              <w:spacing w:after="60" w:before="60" w:line="252" w:lineRule="auto"/>
              <w:jc w:val="center"/>
            </w:pPr>
            <w:r>
              <w:rPr>
                <w:b w:val="0"/>
                <w:sz w:val="18"/>
              </w:rPr>
              <w:t>13</w:t>
            </w:r>
          </w:p>
        </w:tc>
        <w:tc>
          <w:tcPr>
            <w:tcW w:type="dxa" w:w="6520"/>
            <w:tcBorders>
              <w:top w:val="single" w:sz="4" w:color="D9D9D9"/>
              <w:left w:val="single" w:sz="4" w:color="D9D9D9"/>
              <w:bottom w:val="single" w:sz="4" w:color="D9D9D9"/>
              <w:right w:val="single" w:sz="4" w:color="D9D9D9"/>
            </w:tcBorders>
            <w:shd w:fill="FFFFFF"/>
          </w:tcPr>
          <w:p>
            <w:pPr>
              <w:spacing w:after="60" w:before="60" w:line="252" w:lineRule="auto"/>
            </w:pPr>
            <w:r>
              <w:rPr>
                <w:b w:val="0"/>
                <w:sz w:val="18"/>
              </w:rPr>
              <w:t>比較三としてモデル依存と解釈と計算を確認する</w:t>
            </w:r>
          </w:p>
        </w:tc>
        <w:tc>
          <w:tcPr>
            <w:tcW w:type="dxa" w:w="2268"/>
            <w:tcBorders>
              <w:top w:val="single" w:sz="4" w:color="D9D9D9"/>
              <w:left w:val="single" w:sz="4" w:color="D9D9D9"/>
              <w:bottom w:val="single" w:sz="4" w:color="D9D9D9"/>
              <w:right w:val="single" w:sz="4" w:color="D9D9D9"/>
            </w:tcBorders>
            <w:shd w:fill="FFFFFF"/>
          </w:tcPr>
          <w:p>
            <w:pPr>
              <w:spacing w:after="60" w:before="60" w:line="252" w:lineRule="auto"/>
              <w:jc w:val="center"/>
            </w:pPr>
            <w:r>
              <w:rPr>
                <w:b w:val="0"/>
                <w:sz w:val="18"/>
              </w:rPr>
              <w:t>15:25–16:20</w:t>
            </w:r>
          </w:p>
        </w:tc>
      </w:tr>
      <w:tr>
        <w:tc>
          <w:tcPr>
            <w:tcW w:type="dxa" w:w="850"/>
            <w:tcBorders>
              <w:top w:val="single" w:sz="4" w:color="D9D9D9"/>
              <w:left w:val="single" w:sz="4" w:color="D9D9D9"/>
              <w:bottom w:val="single" w:sz="4" w:color="D9D9D9"/>
              <w:right w:val="single" w:sz="4" w:color="D9D9D9"/>
            </w:tcBorders>
            <w:shd w:fill="F7F7F7"/>
          </w:tcPr>
          <w:p>
            <w:pPr>
              <w:spacing w:after="60" w:before="60" w:line="252" w:lineRule="auto"/>
              <w:jc w:val="center"/>
            </w:pPr>
            <w:r>
              <w:rPr>
                <w:b w:val="0"/>
                <w:sz w:val="18"/>
              </w:rPr>
              <w:t>14</w:t>
            </w:r>
          </w:p>
        </w:tc>
        <w:tc>
          <w:tcPr>
            <w:tcW w:type="dxa" w:w="6520"/>
            <w:tcBorders>
              <w:top w:val="single" w:sz="4" w:color="D9D9D9"/>
              <w:left w:val="single" w:sz="4" w:color="D9D9D9"/>
              <w:bottom w:val="single" w:sz="4" w:color="D9D9D9"/>
              <w:right w:val="single" w:sz="4" w:color="D9D9D9"/>
            </w:tcBorders>
            <w:shd w:fill="F7F7F7"/>
          </w:tcPr>
          <w:p>
            <w:pPr>
              <w:spacing w:after="60" w:before="60" w:line="252" w:lineRule="auto"/>
            </w:pPr>
            <w:r>
              <w:rPr>
                <w:b w:val="0"/>
                <w:sz w:val="18"/>
              </w:rPr>
              <w:t>評価データと指標は正解ラベルの意味と読む</w:t>
            </w:r>
          </w:p>
        </w:tc>
        <w:tc>
          <w:tcPr>
            <w:tcW w:type="dxa" w:w="2268"/>
            <w:tcBorders>
              <w:top w:val="single" w:sz="4" w:color="D9D9D9"/>
              <w:left w:val="single" w:sz="4" w:color="D9D9D9"/>
              <w:bottom w:val="single" w:sz="4" w:color="D9D9D9"/>
              <w:right w:val="single" w:sz="4" w:color="D9D9D9"/>
            </w:tcBorders>
            <w:shd w:fill="F7F7F7"/>
          </w:tcPr>
          <w:p>
            <w:pPr>
              <w:spacing w:after="60" w:before="60" w:line="252" w:lineRule="auto"/>
              <w:jc w:val="center"/>
            </w:pPr>
            <w:r>
              <w:rPr>
                <w:b w:val="0"/>
                <w:sz w:val="18"/>
              </w:rPr>
              <w:t>16:20–17:40</w:t>
            </w:r>
          </w:p>
        </w:tc>
      </w:tr>
      <w:tr>
        <w:tc>
          <w:tcPr>
            <w:tcW w:type="dxa" w:w="850"/>
            <w:tcBorders>
              <w:top w:val="single" w:sz="4" w:color="D9D9D9"/>
              <w:left w:val="single" w:sz="4" w:color="D9D9D9"/>
              <w:bottom w:val="single" w:sz="4" w:color="D9D9D9"/>
              <w:right w:val="single" w:sz="4" w:color="D9D9D9"/>
            </w:tcBorders>
            <w:shd w:fill="FFFFFF"/>
          </w:tcPr>
          <w:p>
            <w:pPr>
              <w:spacing w:after="60" w:before="60" w:line="252" w:lineRule="auto"/>
              <w:jc w:val="center"/>
            </w:pPr>
            <w:r>
              <w:rPr>
                <w:b w:val="0"/>
                <w:sz w:val="18"/>
              </w:rPr>
              <w:t>15</w:t>
            </w:r>
          </w:p>
        </w:tc>
        <w:tc>
          <w:tcPr>
            <w:tcW w:type="dxa" w:w="6520"/>
            <w:tcBorders>
              <w:top w:val="single" w:sz="4" w:color="D9D9D9"/>
              <w:left w:val="single" w:sz="4" w:color="D9D9D9"/>
              <w:bottom w:val="single" w:sz="4" w:color="D9D9D9"/>
              <w:right w:val="single" w:sz="4" w:color="D9D9D9"/>
            </w:tcBorders>
            <w:shd w:fill="FFFFFF"/>
          </w:tcPr>
          <w:p>
            <w:pPr>
              <w:spacing w:after="60" w:before="60" w:line="252" w:lineRule="auto"/>
            </w:pPr>
            <w:r>
              <w:rPr>
                <w:b w:val="0"/>
                <w:sz w:val="18"/>
              </w:rPr>
              <w:t>適用時のトレードオフと運用上の確認事項</w:t>
            </w:r>
          </w:p>
        </w:tc>
        <w:tc>
          <w:tcPr>
            <w:tcW w:type="dxa" w:w="2268"/>
            <w:tcBorders>
              <w:top w:val="single" w:sz="4" w:color="D9D9D9"/>
              <w:left w:val="single" w:sz="4" w:color="D9D9D9"/>
              <w:bottom w:val="single" w:sz="4" w:color="D9D9D9"/>
              <w:right w:val="single" w:sz="4" w:color="D9D9D9"/>
            </w:tcBorders>
            <w:shd w:fill="FFFFFF"/>
          </w:tcPr>
          <w:p>
            <w:pPr>
              <w:spacing w:after="60" w:before="60" w:line="252" w:lineRule="auto"/>
              <w:jc w:val="center"/>
            </w:pPr>
            <w:r>
              <w:rPr>
                <w:b w:val="0"/>
                <w:sz w:val="18"/>
              </w:rPr>
              <w:t>17:40–19:00</w:t>
            </w:r>
          </w:p>
        </w:tc>
      </w:tr>
      <w:tr>
        <w:tc>
          <w:tcPr>
            <w:tcW w:type="dxa" w:w="850"/>
            <w:tcBorders>
              <w:top w:val="single" w:sz="4" w:color="D9D9D9"/>
              <w:left w:val="single" w:sz="4" w:color="D9D9D9"/>
              <w:bottom w:val="single" w:sz="4" w:color="D9D9D9"/>
              <w:right w:val="single" w:sz="4" w:color="D9D9D9"/>
            </w:tcBorders>
            <w:shd w:fill="F7F7F7"/>
          </w:tcPr>
          <w:p>
            <w:pPr>
              <w:spacing w:after="60" w:before="60" w:line="252" w:lineRule="auto"/>
              <w:jc w:val="center"/>
            </w:pPr>
            <w:r>
              <w:rPr>
                <w:b w:val="0"/>
                <w:sz w:val="18"/>
              </w:rPr>
              <w:t>16</w:t>
            </w:r>
          </w:p>
        </w:tc>
        <w:tc>
          <w:tcPr>
            <w:tcW w:type="dxa" w:w="6520"/>
            <w:tcBorders>
              <w:top w:val="single" w:sz="4" w:color="D9D9D9"/>
              <w:left w:val="single" w:sz="4" w:color="D9D9D9"/>
              <w:bottom w:val="single" w:sz="4" w:color="D9D9D9"/>
              <w:right w:val="single" w:sz="4" w:color="D9D9D9"/>
            </w:tcBorders>
            <w:shd w:fill="F7F7F7"/>
          </w:tcPr>
          <w:p>
            <w:pPr>
              <w:spacing w:after="60" w:before="60" w:line="252" w:lineRule="auto"/>
            </w:pPr>
            <w:r>
              <w:rPr>
                <w:b w:val="0"/>
                <w:sz w:val="18"/>
              </w:rPr>
              <w:t>まとめと今後の課題</w:t>
            </w:r>
          </w:p>
        </w:tc>
        <w:tc>
          <w:tcPr>
            <w:tcW w:type="dxa" w:w="2268"/>
            <w:tcBorders>
              <w:top w:val="single" w:sz="4" w:color="D9D9D9"/>
              <w:left w:val="single" w:sz="4" w:color="D9D9D9"/>
              <w:bottom w:val="single" w:sz="4" w:color="D9D9D9"/>
              <w:right w:val="single" w:sz="4" w:color="D9D9D9"/>
            </w:tcBorders>
            <w:shd w:fill="F7F7F7"/>
          </w:tcPr>
          <w:p>
            <w:pPr>
              <w:spacing w:after="60" w:before="60" w:line="252" w:lineRule="auto"/>
              <w:jc w:val="center"/>
            </w:pPr>
            <w:r>
              <w:rPr>
                <w:b w:val="0"/>
                <w:sz w:val="18"/>
              </w:rPr>
              <w:t>19:00–20:00</w:t>
            </w:r>
          </w:p>
        </w:tc>
      </w:tr>
    </w:tbl>
    <w:p>
      <w:r>
        <w:br w:type="page"/>
      </w:r>
    </w:p>
    <w:p>
      <w:pPr>
        <w:pStyle w:val="Heading1"/>
      </w:pPr>
      <w:r>
        <w:t>PPT 01  タイトル</w:t>
      </w:r>
    </w:p>
    <w:p>
      <w:pPr>
        <w:widowControl/>
      </w:pPr>
      <w:r>
        <w:rPr>
          <w:rFonts w:ascii="Microsoft YaHei" w:hAnsi="Microsoft YaHei" w:eastAsia="Microsoft YaHei"/>
          <w:sz w:val="18"/>
          <w:lang w:eastAsia="zh-CN"/>
        </w:rPr>
        <w:t>目标时间 0:00–0:20   本页约20秒</w:t>
      </w:r>
    </w:p>
    <w:p>
      <w:pPr>
        <w:widowControl/>
        <w:spacing w:after="200"/>
      </w:pPr>
      <w:r>
        <w:rPr>
          <w:rFonts w:ascii="Microsoft YaHei" w:hAnsi="Microsoft YaHei" w:eastAsia="Microsoft YaHei"/>
          <w:sz w:val="18"/>
          <w:lang w:eastAsia="zh-CN"/>
        </w:rPr>
        <w:t>讲图提示  先看听众，再简要介绍主题，不必描述封面图片。</w:t>
      </w:r>
    </w:p>
    <w:p>
      <w:pPr>
        <w:pStyle w:val="Heading2"/>
      </w:pPr>
      <w:r>
        <w:t>日本語</w:t>
      </w:r>
    </w:p>
    <w:p>
      <w:pPr>
        <w:widowControl/>
      </w:pPr>
      <w:r>
        <w:rPr>
          <w:rFonts w:ascii="Meiryo" w:hAnsi="Meiryo" w:eastAsia="Meiryo"/>
          <w:lang w:eastAsia="ja-JP"/>
        </w:rPr>
        <w:t>本日は、多変量回帰モデルにおける学習外入力データ検知手法の調査について報告します。水道システムへの適用を念頭に、関連する定義と分類、具体的な二つの手法、そして今後の評価方針を説明します。</w:t>
      </w:r>
    </w:p>
    <w:p>
      <w:pPr>
        <w:pStyle w:val="Heading2"/>
      </w:pPr>
      <w:r>
        <w:t>中文对照</w:t>
      </w:r>
    </w:p>
    <w:p>
      <w:pPr>
        <w:widowControl/>
      </w:pPr>
      <w:r>
        <w:rPr>
          <w:rFonts w:ascii="Microsoft YaHei" w:hAnsi="Microsoft YaHei" w:eastAsia="Microsoft YaHei"/>
          <w:lang w:eastAsia="zh-CN"/>
        </w:rPr>
        <w:t>今天汇报的是多变量回归模型中的学习外输入数据检测方法调研。我会以水务系统中的应用为背景，依次介绍相关定义与分类、两种具体方法，以及后续的评价计划。</w:t>
      </w:r>
    </w:p>
    <w:p>
      <w:r>
        <w:br w:type="page"/>
      </w:r>
    </w:p>
    <w:p>
      <w:pPr>
        <w:pStyle w:val="Heading1"/>
      </w:pPr>
      <w:r>
        <w:t>PPT 02  学習と校正と運用を分けた検知システムの構成</w:t>
      </w:r>
    </w:p>
    <w:p>
      <w:pPr>
        <w:widowControl/>
      </w:pPr>
      <w:r>
        <w:rPr>
          <w:rFonts w:ascii="Microsoft YaHei" w:hAnsi="Microsoft YaHei" w:eastAsia="Microsoft YaHei"/>
          <w:sz w:val="18"/>
          <w:lang w:eastAsia="zh-CN"/>
        </w:rPr>
        <w:t>目标时间 0:20–1:30   本页约70秒</w:t>
      </w:r>
    </w:p>
    <w:p>
      <w:pPr>
        <w:widowControl/>
        <w:spacing w:after="200"/>
      </w:pPr>
      <w:r>
        <w:rPr>
          <w:rFonts w:ascii="Microsoft YaHei" w:hAnsi="Microsoft YaHei" w:eastAsia="Microsoft YaHei"/>
          <w:sz w:val="18"/>
          <w:lang w:eastAsia="zh-CN"/>
        </w:rPr>
        <w:t>讲图提示  先沿上半部两条学习分支讲，再沿下半部从左至右讲。</w:t>
      </w:r>
    </w:p>
    <w:p>
      <w:pPr>
        <w:pStyle w:val="Heading2"/>
      </w:pPr>
      <w:r>
        <w:t>日本語</w:t>
      </w:r>
    </w:p>
    <w:p>
      <w:pPr>
        <w:widowControl/>
      </w:pPr>
      <w:r>
        <w:rPr>
          <w:rFonts w:ascii="Meiryo" w:hAnsi="Meiryo" w:eastAsia="Meiryo"/>
          <w:lang w:eastAsia="ja-JP"/>
        </w:rPr>
        <w:t>まず、今回の調査がシステムのどこに関係するかを説明します。過去のデータから学習した回帰モデルに、実運用で新しい入力を与えることを考えます。この入力が学習時と大きく異なる場合、予測の信頼性が低下するおそれがあります。</w:t>
      </w:r>
    </w:p>
    <w:p>
      <w:pPr>
        <w:widowControl/>
      </w:pPr>
      <w:r>
        <w:rPr>
          <w:rFonts w:ascii="Meiryo" w:hAnsi="Meiryo" w:eastAsia="Meiryo"/>
          <w:lang w:eastAsia="ja-JP"/>
        </w:rPr>
        <w:t>上段は運用前の準備です。学習データから回帰器を学習するとともに、別の工程で検知器を構築します。その後、学習とは分けた校正データを使い、検知スコアの閾値を決めます。前処理の設定やモデル、閾値は保存しておきます。</w:t>
      </w:r>
    </w:p>
    <w:p>
      <w:pPr>
        <w:widowControl/>
      </w:pPr>
      <w:r>
        <w:rPr>
          <w:rFonts w:ascii="Meiryo" w:hAnsi="Meiryo" w:eastAsia="Meiryo"/>
          <w:lang w:eastAsia="ja-JP"/>
        </w:rPr>
        <w:t>下段は実運用です。新しい入力に同じ前処理を行い、スコアを計算して閾値と比較します。閾値を超えた場合は、運転員への警告や予測利用の見直しにつなげます。これは運用構成の提案です。低いスコアが出ても、回帰予測の正しさを保証するものではありません。</w:t>
      </w:r>
    </w:p>
    <w:p>
      <w:pPr>
        <w:pStyle w:val="Heading2"/>
      </w:pPr>
      <w:r>
        <w:t>中文对照</w:t>
      </w:r>
    </w:p>
    <w:p>
      <w:pPr>
        <w:widowControl/>
      </w:pPr>
      <w:r>
        <w:rPr>
          <w:rFonts w:ascii="Microsoft YaHei" w:hAnsi="Microsoft YaHei" w:eastAsia="Microsoft YaHei"/>
          <w:lang w:eastAsia="zh-CN"/>
        </w:rPr>
        <w:t>首先说明这次调研对应系统中的哪个部分。我们考虑用历史数据训练回归模型，再在实际运行中输入新的数据。如果新输入与训练时明显不同，预测的可靠性就可能下降。</w:t>
      </w:r>
    </w:p>
    <w:p>
      <w:pPr>
        <w:widowControl/>
      </w:pPr>
      <w:r>
        <w:rPr>
          <w:rFonts w:ascii="Microsoft YaHei" w:hAnsi="Microsoft YaHei" w:eastAsia="Microsoft YaHei"/>
          <w:lang w:eastAsia="zh-CN"/>
        </w:rPr>
        <w:t>上半部分是运行前的准备。利用训练数据训练回归器，同时在另一条流程中构建检测器。之后使用与训练数据分开的校准数据，确定检测分数的阈值，并保存预处理设置、模型和阈值。</w:t>
      </w:r>
    </w:p>
    <w:p>
      <w:pPr>
        <w:widowControl/>
      </w:pPr>
      <w:r>
        <w:rPr>
          <w:rFonts w:ascii="Microsoft YaHei" w:hAnsi="Microsoft YaHei" w:eastAsia="Microsoft YaHei"/>
          <w:lang w:eastAsia="zh-CN"/>
        </w:rPr>
        <w:t>下半部分是实际运行。新输入经过相同的预处理后计算检测分数，再与阈值比较。如果超过阈值，就向操作人员发出警告，或重新考虑是否采用预测结果。这是一个运行方案；分数较低并不等于回归预测一定正确。</w:t>
      </w:r>
    </w:p>
    <w:p>
      <w:r>
        <w:br w:type="page"/>
      </w:r>
    </w:p>
    <w:p>
      <w:pPr>
        <w:pStyle w:val="Heading1"/>
      </w:pPr>
      <w:r>
        <w:t>PPT 03  対象となる多変量数値入力の回帰モデル</w:t>
      </w:r>
    </w:p>
    <w:p>
      <w:pPr>
        <w:widowControl/>
      </w:pPr>
      <w:r>
        <w:rPr>
          <w:rFonts w:ascii="Microsoft YaHei" w:hAnsi="Microsoft YaHei" w:eastAsia="Microsoft YaHei"/>
          <w:sz w:val="18"/>
          <w:lang w:eastAsia="zh-CN"/>
        </w:rPr>
        <w:t>目标时间 1:30–2:55   本页约85秒</w:t>
      </w:r>
    </w:p>
    <w:p>
      <w:pPr>
        <w:widowControl/>
        <w:spacing w:after="200"/>
      </w:pPr>
      <w:r>
        <w:rPr>
          <w:rFonts w:ascii="Microsoft YaHei" w:hAnsi="Microsoft YaHei" w:eastAsia="Microsoft YaHei"/>
          <w:sz w:val="18"/>
          <w:lang w:eastAsia="zh-CN"/>
        </w:rPr>
        <w:t>讲图提示  指向左侧配水压力模型、右侧处理后浊度模型，最后强调单时刻输入。</w:t>
      </w:r>
    </w:p>
    <w:p>
      <w:pPr>
        <w:pStyle w:val="Heading2"/>
      </w:pPr>
      <w:r>
        <w:t>日本語</w:t>
      </w:r>
    </w:p>
    <w:p>
      <w:pPr>
        <w:widowControl/>
      </w:pPr>
      <w:r>
        <w:rPr>
          <w:rFonts w:ascii="Meiryo" w:hAnsi="Meiryo" w:eastAsia="Meiryo"/>
          <w:lang w:eastAsia="ja-JP"/>
        </w:rPr>
        <w:t>次に、対象とするモデルの条件を整理します。入力は二変数以上の数値で、出力は連続値です。つまり、画像のクラスを当てる分類ではなく、圧力や濁度などの数値を推定する回帰モデルが対象です。</w:t>
      </w:r>
    </w:p>
    <w:p>
      <w:pPr>
        <w:widowControl/>
      </w:pPr>
      <w:r>
        <w:rPr>
          <w:rFonts w:ascii="Meiryo" w:hAnsi="Meiryo" w:eastAsia="Meiryo"/>
          <w:lang w:eastAsia="ja-JP"/>
        </w:rPr>
        <w:t>左の例は、送水側の流量や圧力から、配水先の圧力を推定するモデルです。右の例は、原水の濁度や薬品注入率から、処理工程を通過した後の濁度を予測するモデルです。右側では、処理にかかる時間だけ入力と出力の時刻がずれます。具体的な入力項目や時間差は、今後確定する必要があります。</w:t>
      </w:r>
    </w:p>
    <w:p>
      <w:pPr>
        <w:widowControl/>
      </w:pPr>
      <w:r>
        <w:rPr>
          <w:rFonts w:ascii="Meiryo" w:hAnsi="Meiryo" w:eastAsia="Meiryo"/>
          <w:lang w:eastAsia="ja-JP"/>
        </w:rPr>
        <w:t>ここで、時系列データを扱うことと、過去の履歴をまとめて入力することは区別します。センサー値が時間順に記録されていても、検知器には一時刻の多変量ベクトルだけを与える構成が考えられます。そのため今回は、履歴が必須か、一時刻の入力でも使えるかを重点的に確認しました。回帰器の種類に依存する条件も、別に整理します。</w:t>
      </w:r>
    </w:p>
    <w:p>
      <w:pPr>
        <w:pStyle w:val="Heading2"/>
      </w:pPr>
      <w:r>
        <w:t>中文对照</w:t>
      </w:r>
    </w:p>
    <w:p>
      <w:pPr>
        <w:widowControl/>
      </w:pPr>
      <w:r>
        <w:rPr>
          <w:rFonts w:ascii="Microsoft YaHei" w:hAnsi="Microsoft YaHei" w:eastAsia="Microsoft YaHei"/>
          <w:lang w:eastAsia="zh-CN"/>
        </w:rPr>
        <w:t>接下来明确目标模型的条件。输入是至少两个变量的数值，输出是连续值。也就是说，目标是预测压力、浊度等数值的回归模型。</w:t>
      </w:r>
    </w:p>
    <w:p>
      <w:pPr>
        <w:widowControl/>
      </w:pPr>
      <w:r>
        <w:rPr>
          <w:rFonts w:ascii="Microsoft YaHei" w:hAnsi="Microsoft YaHei" w:eastAsia="Microsoft YaHei"/>
          <w:lang w:eastAsia="zh-CN"/>
        </w:rPr>
        <w:t>左边的例子是根据送水侧的流量和压力，推定配水端压力。右边是根据原水浊度和药品注入率，预测经过处理工序后的浊度。右边的输入与输出存在处理时间造成的时差。具体输入项目和时间差仍需进一步确定。</w:t>
      </w:r>
    </w:p>
    <w:p>
      <w:pPr>
        <w:widowControl/>
      </w:pPr>
      <w:r>
        <w:rPr>
          <w:rFonts w:ascii="Microsoft YaHei" w:hAnsi="Microsoft YaHei" w:eastAsia="Microsoft YaHei"/>
          <w:lang w:eastAsia="zh-CN"/>
        </w:rPr>
        <w:t>这里要区分“数据是时间序列”和“模型必须输入一段历史”。虽然传感器数据按时间记录，但检测器也可能只接收某一时刻的多变量向量。因此，这次重点确认了方法是否必须使用历史、是否能够处理单时刻输入，同时另行整理对回归器类型的依赖。</w:t>
      </w:r>
    </w:p>
    <w:p>
      <w:r>
        <w:br w:type="page"/>
      </w:r>
    </w:p>
    <w:p>
      <w:pPr>
        <w:pStyle w:val="Heading1"/>
      </w:pPr>
      <w:r>
        <w:t>PPT 04  調査した五編と本報告での役割</w:t>
      </w:r>
    </w:p>
    <w:p>
      <w:pPr>
        <w:widowControl/>
      </w:pPr>
      <w:r>
        <w:rPr>
          <w:rFonts w:ascii="Microsoft YaHei" w:hAnsi="Microsoft YaHei" w:eastAsia="Microsoft YaHei"/>
          <w:sz w:val="18"/>
          <w:lang w:eastAsia="zh-CN"/>
        </w:rPr>
        <w:t>目标时间 2:55–3:45   本页约50秒</w:t>
      </w:r>
    </w:p>
    <w:p>
      <w:pPr>
        <w:widowControl/>
        <w:spacing w:after="200"/>
      </w:pPr>
      <w:r>
        <w:rPr>
          <w:rFonts w:ascii="Microsoft YaHei" w:hAnsi="Microsoft YaHei" w:eastAsia="Microsoft YaHei"/>
          <w:sz w:val="18"/>
          <w:lang w:eastAsia="zh-CN"/>
        </w:rPr>
        <w:t>讲图提示  不要逐行念年份，把五篇论文各自的用途讲清楚。</w:t>
      </w:r>
    </w:p>
    <w:p>
      <w:pPr>
        <w:pStyle w:val="Heading2"/>
      </w:pPr>
      <w:r>
        <w:t>日本語</w:t>
      </w:r>
    </w:p>
    <w:p>
      <w:pPr>
        <w:widowControl/>
      </w:pPr>
      <w:r>
        <w:rPr>
          <w:rFonts w:ascii="Meiryo" w:hAnsi="Meiryo" w:eastAsia="Meiryo"/>
          <w:lang w:eastAsia="ja-JP"/>
        </w:rPr>
        <w:t>今回読んだ文献は、全体像を整理する三編と、具体的なアルゴリズムを扱う二編です。</w:t>
      </w:r>
    </w:p>
    <w:p>
      <w:pPr>
        <w:widowControl/>
      </w:pPr>
      <w:r>
        <w:rPr>
          <w:rFonts w:ascii="Meiryo" w:hAnsi="Meiryo" w:eastAsia="Meiryo"/>
          <w:lang w:eastAsia="ja-JP"/>
        </w:rPr>
        <w:t>S1は、手法の整理に加えて、複数のデータセットで比較実験を行っています。S3は時系列の外れ値検知を広く整理し、S6は深層学習による多変量時系列異常検知を整理しています。</w:t>
      </w:r>
    </w:p>
    <w:p>
      <w:pPr>
        <w:widowControl/>
      </w:pPr>
      <w:r>
        <w:rPr>
          <w:rFonts w:ascii="Meiryo" w:hAnsi="Meiryo" w:eastAsia="Meiryo"/>
          <w:lang w:eastAsia="ja-JP"/>
        </w:rPr>
        <w:t>具体的な手法として、論文14のオートエンコーダ、以下AEと、論文13のOutProを読みました。山原さんの論文は、配水圧力推定にどう検知を組み込むかを考える参考です。まず三編から用語と分類を整理し、その後、二手法が今回の入力条件に合うかを比較します。</w:t>
      </w:r>
    </w:p>
    <w:p>
      <w:pPr>
        <w:pStyle w:val="Heading2"/>
      </w:pPr>
      <w:r>
        <w:t>中文对照</w:t>
      </w:r>
    </w:p>
    <w:p>
      <w:pPr>
        <w:widowControl/>
      </w:pPr>
      <w:r>
        <w:rPr>
          <w:rFonts w:ascii="Microsoft YaHei" w:hAnsi="Microsoft YaHei" w:eastAsia="Microsoft YaHei"/>
          <w:lang w:eastAsia="zh-CN"/>
        </w:rPr>
        <w:t>这次阅读的文献包括用于理解整体领域的三篇，以及介绍具体算法的两篇。</w:t>
      </w:r>
    </w:p>
    <w:p>
      <w:pPr>
        <w:widowControl/>
      </w:pPr>
      <w:r>
        <w:rPr>
          <w:rFonts w:ascii="Microsoft YaHei" w:hAnsi="Microsoft YaHei" w:eastAsia="Microsoft YaHei"/>
          <w:lang w:eastAsia="zh-CN"/>
        </w:rPr>
        <w:t>S1不仅整理方法，还在多个数据集上进行了比较实验。S3广泛整理时间序列离群检测，S6则整理基于深度学习的多变量时间序列异常检测。</w:t>
      </w:r>
    </w:p>
    <w:p>
      <w:pPr>
        <w:widowControl/>
      </w:pPr>
      <w:r>
        <w:rPr>
          <w:rFonts w:ascii="Microsoft YaHei" w:hAnsi="Microsoft YaHei" w:eastAsia="Microsoft YaHei"/>
          <w:lang w:eastAsia="zh-CN"/>
        </w:rPr>
        <w:t>具体算法选择了论文14的自编码器，后面简称AE，以及论文13的OutPro。山原先生的论文作为将检测方法应用于配水压力推定的参考。接下来先介绍用语和分类，再比较两种方法是否满足这次的输入条件。</w:t>
      </w:r>
    </w:p>
    <w:p>
      <w:r>
        <w:br w:type="page"/>
      </w:r>
    </w:p>
    <w:p>
      <w:pPr>
        <w:pStyle w:val="Heading1"/>
      </w:pPr>
      <w:r>
        <w:t>PPT 05  学習外入力の三つのケース</w:t>
      </w:r>
    </w:p>
    <w:p>
      <w:pPr>
        <w:widowControl/>
      </w:pPr>
      <w:r>
        <w:rPr>
          <w:rFonts w:ascii="Microsoft YaHei" w:hAnsi="Microsoft YaHei" w:eastAsia="Microsoft YaHei"/>
          <w:sz w:val="18"/>
          <w:lang w:eastAsia="zh-CN"/>
        </w:rPr>
        <w:t>目标时间 3:45–4:35   本页约50秒</w:t>
      </w:r>
    </w:p>
    <w:p>
      <w:pPr>
        <w:widowControl/>
        <w:spacing w:after="200"/>
      </w:pPr>
      <w:r>
        <w:rPr>
          <w:rFonts w:ascii="Microsoft YaHei" w:hAnsi="Microsoft YaHei" w:eastAsia="Microsoft YaHei"/>
          <w:sz w:val="18"/>
          <w:lang w:eastAsia="zh-CN"/>
        </w:rPr>
        <w:t>讲图提示  按三个散点图从左到右讲，每张只强调一种情况。</w:t>
      </w:r>
    </w:p>
    <w:p>
      <w:pPr>
        <w:pStyle w:val="Heading2"/>
      </w:pPr>
      <w:r>
        <w:t>日本語</w:t>
      </w:r>
    </w:p>
    <w:p>
      <w:pPr>
        <w:widowControl/>
      </w:pPr>
      <w:r>
        <w:rPr>
          <w:rFonts w:ascii="Meiryo" w:hAnsi="Meiryo" w:eastAsia="Meiryo"/>
          <w:lang w:eastAsia="ja-JP"/>
        </w:rPr>
        <w:t>関連する言葉には、Outlier、Anomaly、Novelty、OODなどがあります。ただし、これらを完全な同義語として扱うことはできません。S3でも、取り除きたい誤ったデータと、調べたい異常事象では、分析の目的が異なると説明されています。</w:t>
      </w:r>
    </w:p>
    <w:p>
      <w:pPr>
        <w:widowControl/>
      </w:pPr>
      <w:r>
        <w:rPr>
          <w:rFonts w:ascii="Meiryo" w:hAnsi="Meiryo" w:eastAsia="Meiryo"/>
          <w:lang w:eastAsia="ja-JP"/>
        </w:rPr>
        <w:t>今回は実習の条件に合わせて、三つのケースに整理します。一つ目は、訓練時の範囲や分布から外れる入力です。二つ目は、全体の範囲には入っていても、近くの訓練例が少ない入力です。三つ目は、各変数の値は範囲内でも、変数の組合せが未知の入力です。</w:t>
      </w:r>
    </w:p>
    <w:p>
      <w:pPr>
        <w:widowControl/>
      </w:pPr>
      <w:r>
        <w:rPr>
          <w:rFonts w:ascii="Meiryo" w:hAnsi="Meiryo" w:eastAsia="Meiryo"/>
          <w:lang w:eastAsia="ja-JP"/>
        </w:rPr>
        <w:t>この三つは重なる場合があります。特に三つ目を、次の図でもう少し具体的に説明します。</w:t>
      </w:r>
    </w:p>
    <w:p>
      <w:pPr>
        <w:pStyle w:val="Heading2"/>
      </w:pPr>
      <w:r>
        <w:t>中文对照</w:t>
      </w:r>
    </w:p>
    <w:p>
      <w:pPr>
        <w:widowControl/>
      </w:pPr>
      <w:r>
        <w:rPr>
          <w:rFonts w:ascii="Microsoft YaHei" w:hAnsi="Microsoft YaHei" w:eastAsia="Microsoft YaHei"/>
          <w:lang w:eastAsia="zh-CN"/>
        </w:rPr>
        <w:t>相关术语包括Outlier、Anomaly、Novelty和OOD等，但不能把它们视为完全相同的概念。S3也指出，想要去除的错误数据与想要研究的异常事件，对应的分析目的不同。</w:t>
      </w:r>
    </w:p>
    <w:p>
      <w:pPr>
        <w:widowControl/>
      </w:pPr>
      <w:r>
        <w:rPr>
          <w:rFonts w:ascii="Microsoft YaHei" w:hAnsi="Microsoft YaHei" w:eastAsia="Microsoft YaHei"/>
          <w:lang w:eastAsia="zh-CN"/>
        </w:rPr>
        <w:t>这里按照实习条件整理成三种情况。第一种是超出训练时范围或分布的输入；第二种是虽然在整体范围内，但附近训练样本很少的输入；第三种是各变量数值都在范围内，但变量组合未知的输入。</w:t>
      </w:r>
    </w:p>
    <w:p>
      <w:pPr>
        <w:widowControl/>
      </w:pPr>
      <w:r>
        <w:rPr>
          <w:rFonts w:ascii="Microsoft YaHei" w:hAnsi="Microsoft YaHei" w:eastAsia="Microsoft YaHei"/>
          <w:lang w:eastAsia="zh-CN"/>
        </w:rPr>
        <w:t>这三种情况可能重叠。接下来用一张具体的图，进一步解释第三种情况。</w:t>
      </w:r>
    </w:p>
    <w:p>
      <w:r>
        <w:br w:type="page"/>
      </w:r>
    </w:p>
    <w:p>
      <w:pPr>
        <w:pStyle w:val="Heading1"/>
      </w:pPr>
      <w:r>
        <w:t>PPT 06  各変数は範囲内でも組合せは未知になる</w:t>
      </w:r>
    </w:p>
    <w:p>
      <w:pPr>
        <w:widowControl/>
      </w:pPr>
      <w:r>
        <w:rPr>
          <w:rFonts w:ascii="Microsoft YaHei" w:hAnsi="Microsoft YaHei" w:eastAsia="Microsoft YaHei"/>
          <w:sz w:val="18"/>
          <w:lang w:eastAsia="zh-CN"/>
        </w:rPr>
        <w:t>目标时间 4:35–5:25   本页约50秒</w:t>
      </w:r>
    </w:p>
    <w:p>
      <w:pPr>
        <w:widowControl/>
        <w:spacing w:after="200"/>
      </w:pPr>
      <w:r>
        <w:rPr>
          <w:rFonts w:ascii="Microsoft YaHei" w:hAnsi="Microsoft YaHei" w:eastAsia="Microsoft YaHei"/>
          <w:sz w:val="18"/>
          <w:lang w:eastAsia="zh-CN"/>
        </w:rPr>
        <w:t>讲图提示  先指左上流量2，再指左下压力8，最后指右图橙色点与训练点带。</w:t>
      </w:r>
    </w:p>
    <w:p>
      <w:pPr>
        <w:pStyle w:val="Heading2"/>
      </w:pPr>
      <w:r>
        <w:t>日本語</w:t>
      </w:r>
    </w:p>
    <w:p>
      <w:pPr>
        <w:widowControl/>
      </w:pPr>
      <w:r>
        <w:rPr>
          <w:rFonts w:ascii="Meiryo" w:hAnsi="Meiryo" w:eastAsia="Meiryo"/>
          <w:lang w:eastAsia="ja-JP"/>
        </w:rPr>
        <w:t>左側では、流量と圧力を別々に見ています。新しい入力の流量は二、圧力は八です。どちらも訓練データの範囲内なので、各変数の上限と下限だけを確認する方法では、この入力を通してしまいます。</w:t>
      </w:r>
    </w:p>
    <w:p>
      <w:pPr>
        <w:widowControl/>
      </w:pPr>
      <w:r>
        <w:rPr>
          <w:rFonts w:ascii="Meiryo" w:hAnsi="Meiryo" w:eastAsia="Meiryo"/>
          <w:lang w:eastAsia="ja-JP"/>
        </w:rPr>
        <w:t>一方、右側は同じ訓練データを二変量で見た図です。訓練点は斜めの帯に沿って分布しています。しかし、流量が二で圧力が八というオレンジの点は、その帯から離れています。つまり、値そのものは経験していても、その組合せは経験していません。</w:t>
      </w:r>
    </w:p>
    <w:p>
      <w:pPr>
        <w:widowControl/>
      </w:pPr>
      <w:r>
        <w:rPr>
          <w:rFonts w:ascii="Meiryo" w:hAnsi="Meiryo" w:eastAsia="Meiryo"/>
          <w:lang w:eastAsia="ja-JP"/>
        </w:rPr>
        <w:t>これが、変数間の関係を見る必要がある理由です。なお、この図は説明用の例であり、実際の水系で流量と圧力が必ずこの関係になるという意味ではありません。</w:t>
      </w:r>
    </w:p>
    <w:p>
      <w:pPr>
        <w:pStyle w:val="Heading2"/>
      </w:pPr>
      <w:r>
        <w:t>中文对照</w:t>
      </w:r>
    </w:p>
    <w:p>
      <w:pPr>
        <w:widowControl/>
      </w:pPr>
      <w:r>
        <w:rPr>
          <w:rFonts w:ascii="Microsoft YaHei" w:hAnsi="Microsoft YaHei" w:eastAsia="Microsoft YaHei"/>
          <w:lang w:eastAsia="zh-CN"/>
        </w:rPr>
        <w:t>左边分别查看流量和压力。新输入的流量是2，压力是8，两者都在训练数据范围内。因此，只检查每个变量上下限的方法会放过这个输入。</w:t>
      </w:r>
    </w:p>
    <w:p>
      <w:pPr>
        <w:widowControl/>
      </w:pPr>
      <w:r>
        <w:rPr>
          <w:rFonts w:ascii="Microsoft YaHei" w:hAnsi="Microsoft YaHei" w:eastAsia="Microsoft YaHei"/>
          <w:lang w:eastAsia="zh-CN"/>
        </w:rPr>
        <w:t>右边将同一批训练数据放在二维坐标中观察。训练点沿着一条倾斜的带状区域分布，但流量2、压力8对应的橙色点远离这条带。也就是说，单个数值见过，但这个组合没有见过。</w:t>
      </w:r>
    </w:p>
    <w:p>
      <w:pPr>
        <w:widowControl/>
      </w:pPr>
      <w:r>
        <w:rPr>
          <w:rFonts w:ascii="Microsoft YaHei" w:hAnsi="Microsoft YaHei" w:eastAsia="Microsoft YaHei"/>
          <w:lang w:eastAsia="zh-CN"/>
        </w:rPr>
        <w:t>这就是需要考虑变量间关系的原因。这里是用于说明概念的示例，并不是说真实水系统中的流量和压力一定符合图中的关系。</w:t>
      </w:r>
    </w:p>
    <w:p>
      <w:r>
        <w:br w:type="page"/>
      </w:r>
    </w:p>
    <w:p>
      <w:pPr>
        <w:pStyle w:val="Heading1"/>
      </w:pPr>
      <w:r>
        <w:t>PPT 07  時系列異常は文献ごとに別の軸で分類される</w:t>
      </w:r>
    </w:p>
    <w:p>
      <w:pPr>
        <w:widowControl/>
      </w:pPr>
      <w:r>
        <w:rPr>
          <w:rFonts w:ascii="Microsoft YaHei" w:hAnsi="Microsoft YaHei" w:eastAsia="Microsoft YaHei"/>
          <w:sz w:val="18"/>
          <w:lang w:eastAsia="zh-CN"/>
        </w:rPr>
        <w:t>目标时间 5:25–7:05   本页约100秒</w:t>
      </w:r>
    </w:p>
    <w:p>
      <w:pPr>
        <w:widowControl/>
        <w:spacing w:after="200"/>
      </w:pPr>
      <w:r>
        <w:rPr>
          <w:rFonts w:ascii="Microsoft YaHei" w:hAnsi="Microsoft YaHei" w:eastAsia="Microsoft YaHei"/>
          <w:sz w:val="18"/>
          <w:lang w:eastAsia="zh-CN"/>
        </w:rPr>
        <w:t>讲图提示  依次指三列图。把分类轴的差别讲出来，不必念完全部英文子类。</w:t>
      </w:r>
    </w:p>
    <w:p>
      <w:pPr>
        <w:pStyle w:val="Heading2"/>
      </w:pPr>
      <w:r>
        <w:t>日本語</w:t>
      </w:r>
    </w:p>
    <w:p>
      <w:pPr>
        <w:widowControl/>
      </w:pPr>
      <w:r>
        <w:rPr>
          <w:rFonts w:ascii="Meiryo" w:hAnsi="Meiryo" w:eastAsia="Meiryo"/>
          <w:lang w:eastAsia="ja-JP"/>
        </w:rPr>
        <w:t>ここからは、論文で使われている分類を比較します。同じ異常検知という言葉でも、何を基準に分類するかが異なります。</w:t>
      </w:r>
    </w:p>
    <w:p>
      <w:pPr>
        <w:widowControl/>
      </w:pPr>
      <w:r>
        <w:rPr>
          <w:rFonts w:ascii="Meiryo" w:hAnsi="Meiryo" w:eastAsia="Meiryo"/>
          <w:lang w:eastAsia="ja-JP"/>
        </w:rPr>
        <w:t>左のS1は、Point、Contextual、Collectiveという整理です。Pointは、点自体の値が異常な場合です。Contextualは、時刻や周囲の状況を考えると異常になる場合です。Collectiveは、一点ずつでは目立たなくても、まとまりとして見ると異常になる場合です。</w:t>
      </w:r>
    </w:p>
    <w:p>
      <w:pPr>
        <w:widowControl/>
      </w:pPr>
      <w:r>
        <w:rPr>
          <w:rFonts w:ascii="Meiryo" w:hAnsi="Meiryo" w:eastAsia="Meiryo"/>
          <w:lang w:eastAsia="ja-JP"/>
        </w:rPr>
        <w:t>中央のS3は、異常と判定する対象の大きさに着目します。一つの点なのか、時系列の一部分なのか、それとも時系列全体なのか、という分類です。ここに示した図は点異常の例です。</w:t>
      </w:r>
    </w:p>
    <w:p>
      <w:pPr>
        <w:widowControl/>
      </w:pPr>
      <w:r>
        <w:rPr>
          <w:rFonts w:ascii="Meiryo" w:hAnsi="Meiryo" w:eastAsia="Meiryo"/>
          <w:lang w:eastAsia="ja-JP"/>
        </w:rPr>
        <w:t>右のS6は、一つの変数の時間的な変化と、複数の変数の間の関係を分けています。一変数の中では、値の突出だけでなく、形状、傾向、周期などの異常も扱います。変数間では、依存関係が全体的、局所的、あるいは特定の時間帯で変わる場合を考えます。</w:t>
      </w:r>
    </w:p>
    <w:p>
      <w:pPr>
        <w:widowControl/>
      </w:pPr>
      <w:r>
        <w:rPr>
          <w:rFonts w:ascii="Meiryo" w:hAnsi="Meiryo" w:eastAsia="Meiryo"/>
          <w:lang w:eastAsia="ja-JP"/>
        </w:rPr>
        <w:t>これらの分類は、名前が似ていても一対一には対応しません。また、先ほどの範囲外、低密度、未知の関係という三条件とも別の分類軸です。分類名だけで手法を選ばず、実際に何を見て判定するかを確認する必要があります。</w:t>
      </w:r>
    </w:p>
    <w:p>
      <w:pPr>
        <w:pStyle w:val="Heading2"/>
      </w:pPr>
      <w:r>
        <w:t>中文对照</w:t>
      </w:r>
    </w:p>
    <w:p>
      <w:pPr>
        <w:widowControl/>
      </w:pPr>
      <w:r>
        <w:rPr>
          <w:rFonts w:ascii="Microsoft YaHei" w:hAnsi="Microsoft YaHei" w:eastAsia="Microsoft YaHei"/>
          <w:lang w:eastAsia="zh-CN"/>
        </w:rPr>
        <w:t>下面比较论文中的分类。虽然都在研究异常检测，但分类依据并不相同。</w:t>
      </w:r>
    </w:p>
    <w:p>
      <w:pPr>
        <w:widowControl/>
      </w:pPr>
      <w:r>
        <w:rPr>
          <w:rFonts w:ascii="Microsoft YaHei" w:hAnsi="Microsoft YaHei" w:eastAsia="Microsoft YaHei"/>
          <w:lang w:eastAsia="zh-CN"/>
        </w:rPr>
        <w:t>左边S1分为Point、Contextual和Collective。Point是点本身的数值异常；Contextual是结合时刻或周围情境后才表现为异常；Collective则是逐点看不明显，但整体看构成异常。</w:t>
      </w:r>
    </w:p>
    <w:p>
      <w:pPr>
        <w:widowControl/>
      </w:pPr>
      <w:r>
        <w:rPr>
          <w:rFonts w:ascii="Microsoft YaHei" w:hAnsi="Microsoft YaHei" w:eastAsia="Microsoft YaHei"/>
          <w:lang w:eastAsia="zh-CN"/>
        </w:rPr>
        <w:t>中间S3关注被判为异常的对象有多大：是一个点、一段子序列，还是整条时间序列。这里展示的是点异常的例图。</w:t>
      </w:r>
    </w:p>
    <w:p>
      <w:pPr>
        <w:widowControl/>
      </w:pPr>
      <w:r>
        <w:rPr>
          <w:rFonts w:ascii="Microsoft YaHei" w:hAnsi="Microsoft YaHei" w:eastAsia="Microsoft YaHei"/>
          <w:lang w:eastAsia="zh-CN"/>
        </w:rPr>
        <w:t>右边S6区分单个变量内部的时间变化和多个变量之间的关系。变量内部不仅有数值突变，还包括形状、趋势和周期等异常。变量之间则考虑依赖关系发生全局、局部或特定时间段的变化。</w:t>
      </w:r>
    </w:p>
    <w:p>
      <w:pPr>
        <w:widowControl/>
      </w:pPr>
      <w:r>
        <w:rPr>
          <w:rFonts w:ascii="Microsoft YaHei" w:hAnsi="Microsoft YaHei" w:eastAsia="Microsoft YaHei"/>
          <w:lang w:eastAsia="zh-CN"/>
        </w:rPr>
        <w:t>这些分类名称即使相似，也不一定能够一一对应。它们与前面范围外、低密度、未知关系三种条件也属于不同的分类轴。因此，不能仅凭分类名称选择方法，还要确认方法实际根据什么作出判断。</w:t>
      </w:r>
    </w:p>
    <w:p>
      <w:r>
        <w:br w:type="page"/>
      </w:r>
    </w:p>
    <w:p>
      <w:pPr>
        <w:pStyle w:val="Heading1"/>
      </w:pPr>
      <w:r>
        <w:t>PPT 08  サーベイごとの手法分類と本調査の比較軸</w:t>
      </w:r>
    </w:p>
    <w:p>
      <w:pPr>
        <w:widowControl/>
      </w:pPr>
      <w:r>
        <w:rPr>
          <w:rFonts w:ascii="Microsoft YaHei" w:hAnsi="Microsoft YaHei" w:eastAsia="Microsoft YaHei"/>
          <w:sz w:val="18"/>
          <w:lang w:eastAsia="zh-CN"/>
        </w:rPr>
        <w:t>目标时间 7:05–8:35   本页约90秒</w:t>
      </w:r>
    </w:p>
    <w:p>
      <w:pPr>
        <w:widowControl/>
        <w:spacing w:after="200"/>
      </w:pPr>
      <w:r>
        <w:rPr>
          <w:rFonts w:ascii="Microsoft YaHei" w:hAnsi="Microsoft YaHei" w:eastAsia="Microsoft YaHei"/>
          <w:sz w:val="18"/>
          <w:lang w:eastAsia="zh-CN"/>
        </w:rPr>
        <w:t>讲图提示  先讲三列各自如何整理方法，再指底部四项比较轴。</w:t>
      </w:r>
    </w:p>
    <w:p>
      <w:pPr>
        <w:pStyle w:val="Heading2"/>
      </w:pPr>
      <w:r>
        <w:t>日本語</w:t>
      </w:r>
    </w:p>
    <w:p>
      <w:pPr>
        <w:widowControl/>
      </w:pPr>
      <w:r>
        <w:rPr>
          <w:rFonts w:ascii="Meiryo" w:hAnsi="Meiryo" w:eastAsia="Meiryo"/>
          <w:lang w:eastAsia="ja-JP"/>
        </w:rPr>
        <w:t>異常の種類だけでなく、手法の分類にも文献ごとの差があります。</w:t>
      </w:r>
    </w:p>
    <w:p>
      <w:pPr>
        <w:widowControl/>
      </w:pPr>
      <w:r>
        <w:rPr>
          <w:rFonts w:ascii="Meiryo" w:hAnsi="Meiryo" w:eastAsia="Meiryo"/>
          <w:lang w:eastAsia="ja-JP"/>
        </w:rPr>
        <w:t>S1では、従来型の手法、機械学習の手法、DNNを使う手法というグループで整理しています。ただし、DNNも機械学習の一部なので、完全に独立した集合という意味ではありません。</w:t>
      </w:r>
    </w:p>
    <w:p>
      <w:pPr>
        <w:widowControl/>
      </w:pPr>
      <w:r>
        <w:rPr>
          <w:rFonts w:ascii="Meiryo" w:hAnsi="Meiryo" w:eastAsia="Meiryo"/>
          <w:lang w:eastAsia="ja-JP"/>
        </w:rPr>
        <w:t>S3では、入力が単変量か多変量か、異常とみなす対象が点か系列か、そして手法が変数をどう扱うかを組み合わせて整理しています。</w:t>
      </w:r>
    </w:p>
    <w:p>
      <w:pPr>
        <w:widowControl/>
      </w:pPr>
      <w:r>
        <w:rPr>
          <w:rFonts w:ascii="Meiryo" w:hAnsi="Meiryo" w:eastAsia="Meiryo"/>
          <w:lang w:eastAsia="ja-JP"/>
        </w:rPr>
        <w:t>S6では、深層学習を使って異常スコアをどう作るかに注目します。将来や次の値の予測、入力の再構成、対照学習による表現の獲得という観点です。ここでいう予測型は、異常検知器のスコアの作り方であり、今回利用する回帰モデルとは区別して考えます。</w:t>
      </w:r>
    </w:p>
    <w:p>
      <w:pPr>
        <w:widowControl/>
      </w:pPr>
      <w:r>
        <w:rPr>
          <w:rFonts w:ascii="Meiryo" w:hAnsi="Meiryo" w:eastAsia="Meiryo"/>
          <w:lang w:eastAsia="ja-JP"/>
        </w:rPr>
        <w:t>そこで本調査では、これらを無理に一つの分類表にまとめず、下に示す四点で比較します。何を根拠に検知するか、何のデータが必要か、時間履歴が必要か、対象回帰器に依存するかです。この観点から、次に具体的な二手法を見ていきます。</w:t>
      </w:r>
    </w:p>
    <w:p>
      <w:pPr>
        <w:pStyle w:val="Heading2"/>
      </w:pPr>
      <w:r>
        <w:t>中文对照</w:t>
      </w:r>
    </w:p>
    <w:p>
      <w:pPr>
        <w:widowControl/>
      </w:pPr>
      <w:r>
        <w:rPr>
          <w:rFonts w:ascii="Microsoft YaHei" w:hAnsi="Microsoft YaHei" w:eastAsia="Microsoft YaHei"/>
          <w:lang w:eastAsia="zh-CN"/>
        </w:rPr>
        <w:t>除了异常类型，方法的分类也因文献而异。</w:t>
      </w:r>
    </w:p>
    <w:p>
      <w:pPr>
        <w:widowControl/>
      </w:pPr>
      <w:r>
        <w:rPr>
          <w:rFonts w:ascii="Microsoft YaHei" w:hAnsi="Microsoft YaHei" w:eastAsia="Microsoft YaHei"/>
          <w:lang w:eastAsia="zh-CN"/>
        </w:rPr>
        <w:t>S1将方法整理为传统方法、机器学习方法和DNN方法。不过DNN本身属于机器学习，因此不是完全互斥的集合。</w:t>
      </w:r>
    </w:p>
    <w:p>
      <w:pPr>
        <w:widowControl/>
      </w:pPr>
      <w:r>
        <w:rPr>
          <w:rFonts w:ascii="Microsoft YaHei" w:hAnsi="Microsoft YaHei" w:eastAsia="Microsoft YaHei"/>
          <w:lang w:eastAsia="zh-CN"/>
        </w:rPr>
        <w:t>S3结合输入是单变量还是多变量、检测对象是点还是序列，以及方法如何处理变量等角度进行整理。</w:t>
      </w:r>
    </w:p>
    <w:p>
      <w:pPr>
        <w:widowControl/>
      </w:pPr>
      <w:r>
        <w:rPr>
          <w:rFonts w:ascii="Microsoft YaHei" w:hAnsi="Microsoft YaHei" w:eastAsia="Microsoft YaHei"/>
          <w:lang w:eastAsia="zh-CN"/>
        </w:rPr>
        <w:t>S6关注深度学习方法如何构造异常分数，包括预测未来或下一个值、重构输入，以及通过对比学习获得表示。这里的“预测型”描述的是异常检测分数的构造方式，需要与本次应用中的回归模型区分。</w:t>
      </w:r>
    </w:p>
    <w:p>
      <w:pPr>
        <w:widowControl/>
      </w:pPr>
      <w:r>
        <w:rPr>
          <w:rFonts w:ascii="Microsoft YaHei" w:hAnsi="Microsoft YaHei" w:eastAsia="Microsoft YaHei"/>
          <w:lang w:eastAsia="zh-CN"/>
        </w:rPr>
        <w:t>因此，这次不强行把各论文合并为一种分类，而是用下方四个角度比较：检测依据、需要的数据、是否需要时间历史，以及是否依赖目标回归器。接下来按这些角度介绍两种具体方法。</w:t>
      </w:r>
    </w:p>
    <w:p>
      <w:r>
        <w:br w:type="page"/>
      </w:r>
    </w:p>
    <w:p>
      <w:pPr>
        <w:pStyle w:val="Heading1"/>
      </w:pPr>
      <w:r>
        <w:t>PPT 09  AEの学習と校正と推論の詳細フロー</w:t>
      </w:r>
    </w:p>
    <w:p>
      <w:pPr>
        <w:widowControl/>
      </w:pPr>
      <w:r>
        <w:rPr>
          <w:rFonts w:ascii="Microsoft YaHei" w:hAnsi="Microsoft YaHei" w:eastAsia="Microsoft YaHei"/>
          <w:sz w:val="18"/>
          <w:lang w:eastAsia="zh-CN"/>
        </w:rPr>
        <w:t>目标时间 8:35–10:55   本页约140秒</w:t>
      </w:r>
    </w:p>
    <w:p>
      <w:pPr>
        <w:widowControl/>
        <w:spacing w:after="200"/>
      </w:pPr>
      <w:r>
        <w:rPr>
          <w:rFonts w:ascii="Microsoft YaHei" w:hAnsi="Microsoft YaHei" w:eastAsia="Microsoft YaHei"/>
          <w:sz w:val="18"/>
          <w:lang w:eastAsia="zh-CN"/>
        </w:rPr>
        <w:t>讲图提示  按a b c三层讲。学习层沿箭头走完，再指反向传播虚线。</w:t>
      </w:r>
    </w:p>
    <w:p>
      <w:pPr>
        <w:pStyle w:val="Heading2"/>
      </w:pPr>
      <w:r>
        <w:t>日本語</w:t>
      </w:r>
    </w:p>
    <w:p>
      <w:pPr>
        <w:widowControl/>
      </w:pPr>
      <w:r>
        <w:rPr>
          <w:rFonts w:ascii="Meiryo" w:hAnsi="Meiryo" w:eastAsia="Meiryo"/>
          <w:lang w:eastAsia="ja-JP"/>
        </w:rPr>
        <w:t>まず、論文14のAEです。AEは、入力から少数の特徴を取り出し、その特徴から元の入力を再構成するネットワークです。正常な入力をうまく再構成できるように学習し、新しい入力の再構成誤差を異常スコアに使います。</w:t>
      </w:r>
    </w:p>
    <w:p>
      <w:pPr>
        <w:widowControl/>
      </w:pPr>
      <w:r>
        <w:rPr>
          <w:rFonts w:ascii="Meiryo" w:hAnsi="Meiryo" w:eastAsia="Meiryo"/>
          <w:lang w:eastAsia="ja-JP"/>
        </w:rPr>
        <w:t>上段が学習です。正常な多変量入力を前処理した後、Encoderで特徴表現に変換し、Decoderで元の入力に戻します。入力と再構成値の差を損失として計算し、下の点線が示すように、誤差を逆伝播して両方のパラメータを更新します。この検知器の学習には、回帰の目的変数Yは必要ありません。</w:t>
      </w:r>
    </w:p>
    <w:p>
      <w:pPr>
        <w:widowControl/>
      </w:pPr>
      <w:r>
        <w:rPr>
          <w:rFonts w:ascii="Meiryo" w:hAnsi="Meiryo" w:eastAsia="Meiryo"/>
          <w:lang w:eastAsia="ja-JP"/>
        </w:rPr>
        <w:t>中央は校正です。学習済みAEを固定し、学習とは分けた正常データのスコアを計算します。その分布を見て、許容する誤警報率などに応じた閾値を決めます。このように校正を独立させる部分は、今回の実習に向けた運用設計案です。</w:t>
      </w:r>
    </w:p>
    <w:p>
      <w:pPr>
        <w:widowControl/>
      </w:pPr>
      <w:r>
        <w:rPr>
          <w:rFonts w:ascii="Meiryo" w:hAnsi="Meiryo" w:eastAsia="Meiryo"/>
          <w:lang w:eastAsia="ja-JP"/>
        </w:rPr>
        <w:t>下段が推論です。新しい入力に同じ処理を行い、入力と再構成値との差のL2ノルムを求めます。大まかには、各成分の差を二乗して足し、平方根を取った大きさです。この値が閾値を超えた場合に、確認が必要な入力とします。前処理を加える場合は、どの空間で誤差を計算するかも統一します。</w:t>
      </w:r>
    </w:p>
    <w:p>
      <w:pPr>
        <w:widowControl/>
      </w:pPr>
      <w:r>
        <w:rPr>
          <w:rFonts w:ascii="Meiryo" w:hAnsi="Meiryo" w:eastAsia="Meiryo"/>
          <w:lang w:eastAsia="ja-JP"/>
        </w:rPr>
        <w:t>正常時の変数関係を学習できれば、未知の組合せで再構成誤差が大きくなることが期待できます。ただし、学習外の入力もうまく再構成してしまう可能性があり、必ず検知できるわけではありません。</w:t>
      </w:r>
    </w:p>
    <w:p>
      <w:pPr>
        <w:widowControl/>
      </w:pPr>
      <w:r>
        <w:rPr>
          <w:rFonts w:ascii="Meiryo" w:hAnsi="Meiryo" w:eastAsia="Meiryo"/>
          <w:lang w:eastAsia="ja-JP"/>
        </w:rPr>
        <w:t>原論文では一時刻ずつ独立に扱うため、今回の単一時刻の多変量入力に対応できます。また、訓練時に入力の一部をゼロにするノイズ除去AEも検討されていますが、改善の程度はデータに依存します。</w:t>
      </w:r>
    </w:p>
    <w:p>
      <w:pPr>
        <w:pStyle w:val="Heading2"/>
      </w:pPr>
      <w:r>
        <w:t>中文对照</w:t>
      </w:r>
    </w:p>
    <w:p>
      <w:pPr>
        <w:widowControl/>
      </w:pPr>
      <w:r>
        <w:rPr>
          <w:rFonts w:ascii="Microsoft YaHei" w:hAnsi="Microsoft YaHei" w:eastAsia="Microsoft YaHei"/>
          <w:lang w:eastAsia="zh-CN"/>
        </w:rPr>
        <w:t>首先介绍论文14的AE。AE是一种先从输入中提取较少特征，再根据这些特征重构原始输入的网络。它通过训练学会重构正常输入，并将新输入的重构误差作为异常分数。</w:t>
      </w:r>
    </w:p>
    <w:p>
      <w:pPr>
        <w:widowControl/>
      </w:pPr>
      <w:r>
        <w:rPr>
          <w:rFonts w:ascii="Microsoft YaHei" w:hAnsi="Microsoft YaHei" w:eastAsia="Microsoft YaHei"/>
          <w:lang w:eastAsia="zh-CN"/>
        </w:rPr>
        <w:t>上层是训练。正常多变量输入经过预处理后，由Encoder转换为特征表示，再由Decoder重构。计算输入与重构值之差作为损失，然后沿图中虚线所示的反馈过程反向传播，更新两部分参数。训练这个检测器不需要回归目标Y。</w:t>
      </w:r>
    </w:p>
    <w:p>
      <w:pPr>
        <w:widowControl/>
      </w:pPr>
      <w:r>
        <w:rPr>
          <w:rFonts w:ascii="Microsoft YaHei" w:hAnsi="Microsoft YaHei" w:eastAsia="Microsoft YaHei"/>
          <w:lang w:eastAsia="zh-CN"/>
        </w:rPr>
        <w:t>中层是校准。固定训练好的AE，计算独立正常数据的分数，根据分数分布和可接受的误报率等确定阈值。独立设置校准阶段，是针对这次实习提出的运行设计。</w:t>
      </w:r>
    </w:p>
    <w:p>
      <w:pPr>
        <w:widowControl/>
      </w:pPr>
      <w:r>
        <w:rPr>
          <w:rFonts w:ascii="Microsoft YaHei" w:hAnsi="Microsoft YaHei" w:eastAsia="Microsoft YaHei"/>
          <w:lang w:eastAsia="zh-CN"/>
        </w:rPr>
        <w:t>下层是推理。对新输入进行同样的处理，计算输入与重构值之差的L2范数，也就是各分量差的平方和再开平方。如果超过阈值，就把它作为需要确认的输入。加入预处理时，还需要统一在哪个空间中计算误差。</w:t>
      </w:r>
    </w:p>
    <w:p>
      <w:pPr>
        <w:widowControl/>
      </w:pPr>
      <w:r>
        <w:rPr>
          <w:rFonts w:ascii="Microsoft YaHei" w:hAnsi="Microsoft YaHei" w:eastAsia="Microsoft YaHei"/>
          <w:lang w:eastAsia="zh-CN"/>
        </w:rPr>
        <w:t>如果AE学会了正常的变量关系，未知组合就可能产生较大的重构误差。但AE也可能很好地重构学习外输入，所以不能保证全部检测出来。</w:t>
      </w:r>
    </w:p>
    <w:p>
      <w:pPr>
        <w:widowControl/>
      </w:pPr>
      <w:r>
        <w:rPr>
          <w:rFonts w:ascii="Microsoft YaHei" w:hAnsi="Microsoft YaHei" w:eastAsia="Microsoft YaHei"/>
          <w:lang w:eastAsia="zh-CN"/>
        </w:rPr>
        <w:t>原论文逐时刻独立处理，因此能够用于单时刻多变量输入。论文还研究了训练时将部分输入置零的降噪AE，但改善程度取决于数据。</w:t>
      </w:r>
    </w:p>
    <w:p>
      <w:r>
        <w:br w:type="page"/>
      </w:r>
    </w:p>
    <w:p>
      <w:pPr>
        <w:pStyle w:val="Heading1"/>
      </w:pPr>
      <w:r>
        <w:t>PPT 10  OutProの学習と参照近傍の計算手順</w:t>
      </w:r>
    </w:p>
    <w:p>
      <w:pPr>
        <w:widowControl/>
      </w:pPr>
      <w:r>
        <w:rPr>
          <w:rFonts w:ascii="Microsoft YaHei" w:hAnsi="Microsoft YaHei" w:eastAsia="Microsoft YaHei"/>
          <w:sz w:val="18"/>
          <w:lang w:eastAsia="zh-CN"/>
        </w:rPr>
        <w:t>目标时间 10:55–13:25   本页约150秒</w:t>
      </w:r>
    </w:p>
    <w:p>
      <w:pPr>
        <w:widowControl/>
        <w:spacing w:after="200"/>
      </w:pPr>
      <w:r>
        <w:rPr>
          <w:rFonts w:ascii="Microsoft YaHei" w:hAnsi="Microsoft YaHei" w:eastAsia="Microsoft YaHei"/>
          <w:sz w:val="18"/>
          <w:lang w:eastAsia="zh-CN"/>
        </w:rPr>
        <w:t>讲图提示  上排从左到右；中排从左到右；下排从右到左。公式读含义，不逐字符念。</w:t>
      </w:r>
    </w:p>
    <w:p>
      <w:pPr>
        <w:pStyle w:val="Heading2"/>
      </w:pPr>
      <w:r>
        <w:t>日本語</w:t>
      </w:r>
    </w:p>
    <w:p>
      <w:pPr>
        <w:widowControl/>
      </w:pPr>
      <w:r>
        <w:rPr>
          <w:rFonts w:ascii="Meiryo" w:hAnsi="Meiryo" w:eastAsia="Meiryo"/>
          <w:lang w:eastAsia="ja-JP"/>
        </w:rPr>
        <w:t>次に、論文13のOutProです。この手法は、回帰の予測に関係する変数と、森林モデルの規則を使って、比較対象となる訓練点を選ぶことが特徴です。</w:t>
      </w:r>
    </w:p>
    <w:p>
      <w:pPr>
        <w:widowControl/>
      </w:pPr>
      <w:r>
        <w:rPr>
          <w:rFonts w:ascii="Meiryo" w:hAnsi="Meiryo" w:eastAsia="Meiryo"/>
          <w:lang w:eastAsia="ja-JP"/>
        </w:rPr>
        <w:t>上段の学習では、訓練時の入力Xと目的変数Yを使って、教師ありランダムフォレストを学習します。森林の終端ノードには、変数の範囲を組み合わせた規則があります。VarProでは、変数の制約を解放した際の目的変数の挙動を利用して、重要な変数の集合Sと重要度を求めます。これらを訓練点とともに保存します。</w:t>
      </w:r>
    </w:p>
    <w:p>
      <w:pPr>
        <w:widowControl/>
      </w:pPr>
      <w:r>
        <w:rPr>
          <w:rFonts w:ascii="Meiryo" w:hAnsi="Meiryo" w:eastAsia="Meiryo"/>
          <w:lang w:eastAsia="ja-JP"/>
        </w:rPr>
        <w:t>中段が新しい入力に対する処理です。まず、その入力が入る規則を取り出します。次に、選ばれた変数の制約を一つずつ外します。例えば流量の条件だけを外すと、比較に使える領域がその方向に広がります。この操作を各規則と各選択変数で繰り返し、各訓練点が何回その領域に現れたかを数えます。</w:t>
      </w:r>
    </w:p>
    <w:p>
      <w:pPr>
        <w:widowControl/>
      </w:pPr>
      <w:r>
        <w:rPr>
          <w:rFonts w:ascii="Meiryo" w:hAnsi="Meiryo" w:eastAsia="Meiryo"/>
          <w:lang w:eastAsia="ja-JP"/>
        </w:rPr>
        <w:t>下段は右から左に読みます。まず、出現回数の合計nと、その回数が変数間にどう分かれているかを表すGから、Wという値を計算します。Wが大きい上位K点を参照近傍として選びます。つまり、この段階では普通の距離が近い順に点を選んでいるわけではありません。</w:t>
      </w:r>
    </w:p>
    <w:p>
      <w:pPr>
        <w:widowControl/>
      </w:pPr>
      <w:r>
        <w:rPr>
          <w:rFonts w:ascii="Meiryo" w:hAnsi="Meiryo" w:eastAsia="Meiryo"/>
          <w:lang w:eastAsia="ja-JP"/>
        </w:rPr>
        <w:t>その後、選択変数の空間で標準化した距離を計算します。通常版では、選ばれたK点までの距離の平均をOODスコアにします。重要度による重み付けを用いる場合もあり、OPTICS版ではスコアの作り方が異なります。</w:t>
      </w:r>
    </w:p>
    <w:p>
      <w:pPr>
        <w:widowControl/>
      </w:pPr>
      <w:r>
        <w:rPr>
          <w:rFonts w:ascii="Meiryo" w:hAnsi="Meiryo" w:eastAsia="Meiryo"/>
          <w:lang w:eastAsia="ja-JP"/>
        </w:rPr>
        <w:t>訓練時にはYが必要ですが、新しい入力を判定する時点では、真のYは不要です。ただし、別の回帰器に補助森林を組み合わせる場合、その森林が選んだ重要変数が、対象の回帰器にとっても適切かを確認する必要があります。</w:t>
      </w:r>
    </w:p>
    <w:p>
      <w:pPr>
        <w:pStyle w:val="Heading2"/>
      </w:pPr>
      <w:r>
        <w:t>中文对照</w:t>
      </w:r>
    </w:p>
    <w:p>
      <w:pPr>
        <w:widowControl/>
      </w:pPr>
      <w:r>
        <w:rPr>
          <w:rFonts w:ascii="Microsoft YaHei" w:hAnsi="Microsoft YaHei" w:eastAsia="Microsoft YaHei"/>
          <w:lang w:eastAsia="zh-CN"/>
        </w:rPr>
        <w:t>接下来是论文13的OutPro。它的特点是利用与回归预测有关的变量和森林模型规则，选择用于比较的训练样本。</w:t>
      </w:r>
    </w:p>
    <w:p>
      <w:pPr>
        <w:widowControl/>
      </w:pPr>
      <w:r>
        <w:rPr>
          <w:rFonts w:ascii="Microsoft YaHei" w:hAnsi="Microsoft YaHei" w:eastAsia="Microsoft YaHei"/>
          <w:lang w:eastAsia="zh-CN"/>
        </w:rPr>
        <w:t>上层训练阶段，使用训练输入X和目标Y训练监督随机森林。森林的叶节点对应由多个变量范围组合而成的规则。VarPro利用解除变量约束时目标变量的变化，获得重要变量集合S及重要度，再把它们与训练点一起保存。</w:t>
      </w:r>
    </w:p>
    <w:p>
      <w:pPr>
        <w:widowControl/>
      </w:pPr>
      <w:r>
        <w:rPr>
          <w:rFonts w:ascii="Microsoft YaHei" w:hAnsi="Microsoft YaHei" w:eastAsia="Microsoft YaHei"/>
          <w:lang w:eastAsia="zh-CN"/>
        </w:rPr>
        <w:t>中层处理新输入。先找到新输入所在的规则，再逐个解除所选变量的约束。例如，只解除流量条件，就会使可供比较的区域沿流量方向扩展。对各规则和各所选变量重复这一操作，并统计每个训练点出现在这些区域中的次数。</w:t>
      </w:r>
    </w:p>
    <w:p>
      <w:pPr>
        <w:widowControl/>
      </w:pPr>
      <w:r>
        <w:rPr>
          <w:rFonts w:ascii="Microsoft YaHei" w:hAnsi="Microsoft YaHei" w:eastAsia="Microsoft YaHei"/>
          <w:lang w:eastAsia="zh-CN"/>
        </w:rPr>
        <w:t>下层从右向左看。首先根据总出现次数n，以及次数在不同变量之间如何分布的G，计算W。按照W从大到小选择前K个点，作为参考近邻。因此，这一步并不是直接按普通距离从近到远选择样本。</w:t>
      </w:r>
    </w:p>
    <w:p>
      <w:pPr>
        <w:widowControl/>
      </w:pPr>
      <w:r>
        <w:rPr>
          <w:rFonts w:ascii="Microsoft YaHei" w:hAnsi="Microsoft YaHei" w:eastAsia="Microsoft YaHei"/>
          <w:lang w:eastAsia="zh-CN"/>
        </w:rPr>
        <w:t>之后才在选定变量空间中计算经过标准化的距离。通常版本将到这K个参考点的距离平均值作为OOD分数；某些距离会使用重要度加权，OPTICS版本则采用不同的计分方式。</w:t>
      </w:r>
    </w:p>
    <w:p>
      <w:pPr>
        <w:widowControl/>
      </w:pPr>
      <w:r>
        <w:rPr>
          <w:rFonts w:ascii="Microsoft YaHei" w:hAnsi="Microsoft YaHei" w:eastAsia="Microsoft YaHei"/>
          <w:lang w:eastAsia="zh-CN"/>
        </w:rPr>
        <w:t>训练时需要Y，但判断新输入时不需要它真实的Y。不过，如果用辅助森林服务于另一个回归器，就需要确认森林选出的重要变量是否也适合目标回归器。</w:t>
      </w:r>
    </w:p>
    <w:p>
      <w:r>
        <w:br w:type="page"/>
      </w:r>
    </w:p>
    <w:p>
      <w:pPr>
        <w:pStyle w:val="Heading1"/>
      </w:pPr>
      <w:r>
        <w:t>PPT 11  比較一として各分類軸への対応を整理する</w:t>
      </w:r>
    </w:p>
    <w:p>
      <w:pPr>
        <w:widowControl/>
      </w:pPr>
      <w:r>
        <w:rPr>
          <w:rFonts w:ascii="Microsoft YaHei" w:hAnsi="Microsoft YaHei" w:eastAsia="Microsoft YaHei"/>
          <w:sz w:val="18"/>
          <w:lang w:eastAsia="zh-CN"/>
        </w:rPr>
        <w:t>目标时间 13:25–14:20   本页约55秒</w:t>
      </w:r>
    </w:p>
    <w:p>
      <w:pPr>
        <w:widowControl/>
        <w:spacing w:after="200"/>
      </w:pPr>
      <w:r>
        <w:rPr>
          <w:rFonts w:ascii="Microsoft YaHei" w:hAnsi="Microsoft YaHei" w:eastAsia="Microsoft YaHei"/>
          <w:sz w:val="18"/>
          <w:lang w:eastAsia="zh-CN"/>
        </w:rPr>
        <w:t>讲图提示  每行只说核心对应关系，强调是本次调研的映射。</w:t>
      </w:r>
    </w:p>
    <w:p>
      <w:pPr>
        <w:pStyle w:val="Heading2"/>
      </w:pPr>
      <w:r>
        <w:t>日本語</w:t>
      </w:r>
    </w:p>
    <w:p>
      <w:pPr>
        <w:widowControl/>
      </w:pPr>
      <w:r>
        <w:rPr>
          <w:rFonts w:ascii="Meiryo" w:hAnsi="Meiryo" w:eastAsia="Meiryo"/>
          <w:lang w:eastAsia="ja-JP"/>
        </w:rPr>
        <w:t>ここから二手法を比較します。まず、前半の分類との対応です。</w:t>
      </w:r>
    </w:p>
    <w:p>
      <w:pPr>
        <w:widowControl/>
      </w:pPr>
      <w:r>
        <w:rPr>
          <w:rFonts w:ascii="Meiryo" w:hAnsi="Meiryo" w:eastAsia="Meiryo"/>
          <w:lang w:eastAsia="ja-JP"/>
        </w:rPr>
        <w:t>S1の整理では、AE系はDNNのグループで扱われます。ただし、論文14のネットワークが深い構造であると断定する意味ではありません。OutProは、森林と距離を使う機械学習系の方法と位置づけました。</w:t>
      </w:r>
    </w:p>
    <w:p>
      <w:pPr>
        <w:widowControl/>
      </w:pPr>
      <w:r>
        <w:rPr>
          <w:rFonts w:ascii="Meiryo" w:hAnsi="Meiryo" w:eastAsia="Meiryo"/>
          <w:lang w:eastAsia="ja-JP"/>
        </w:rPr>
        <w:t>S3の観点では、どちらも多変量の入力を共同で扱い、一つの入力点にスコアを付けます。S6の観点では、AEは再構成型に対応します。一方、OutProを深層学習の三分類に無理に入れることはしません。</w:t>
      </w:r>
    </w:p>
    <w:p>
      <w:pPr>
        <w:widowControl/>
      </w:pPr>
      <w:r>
        <w:rPr>
          <w:rFonts w:ascii="Meiryo" w:hAnsi="Meiryo" w:eastAsia="Meiryo"/>
          <w:lang w:eastAsia="ja-JP"/>
        </w:rPr>
        <w:t>これは本調査で行った対応付けです。OutProは各サーベイより後の論文なので、サーベイに掲載されていたという意味ではありません。</w:t>
      </w:r>
    </w:p>
    <w:p>
      <w:pPr>
        <w:pStyle w:val="Heading2"/>
      </w:pPr>
      <w:r>
        <w:t>中文对照</w:t>
      </w:r>
    </w:p>
    <w:p>
      <w:pPr>
        <w:widowControl/>
      </w:pPr>
      <w:r>
        <w:rPr>
          <w:rFonts w:ascii="Microsoft YaHei" w:hAnsi="Microsoft YaHei" w:eastAsia="Microsoft YaHei"/>
          <w:lang w:eastAsia="zh-CN"/>
        </w:rPr>
        <w:t>下面比较两种方法，首先看它们与前半部分分类的对应。</w:t>
      </w:r>
    </w:p>
    <w:p>
      <w:pPr>
        <w:widowControl/>
      </w:pPr>
      <w:r>
        <w:rPr>
          <w:rFonts w:ascii="Microsoft YaHei" w:hAnsi="Microsoft YaHei" w:eastAsia="Microsoft YaHei"/>
          <w:lang w:eastAsia="zh-CN"/>
        </w:rPr>
        <w:t>按照S1的整理，AE类方法在DNN组中讨论，但这不意味着论文14的网络本身一定很深。OutPro则被本次调研归为结合森林和距离的机器学习方法。</w:t>
      </w:r>
    </w:p>
    <w:p>
      <w:pPr>
        <w:widowControl/>
      </w:pPr>
      <w:r>
        <w:rPr>
          <w:rFonts w:ascii="Microsoft YaHei" w:hAnsi="Microsoft YaHei" w:eastAsia="Microsoft YaHei"/>
          <w:lang w:eastAsia="zh-CN"/>
        </w:rPr>
        <w:t>按S3的角度，两者都共同处理多个变量，并对单个输入点评分。按S6的角度，AE属于重构型；OutPro则不宜强行放入深度学习的三类方法中。</w:t>
      </w:r>
    </w:p>
    <w:p>
      <w:pPr>
        <w:widowControl/>
      </w:pPr>
      <w:r>
        <w:rPr>
          <w:rFonts w:ascii="Microsoft YaHei" w:hAnsi="Microsoft YaHei" w:eastAsia="Microsoft YaHei"/>
          <w:lang w:eastAsia="zh-CN"/>
        </w:rPr>
        <w:t>这些对应关系是本次调研进行的整理。OutPro发表晚于这些综述，并不是说综述中已经收录了OutPro。</w:t>
      </w:r>
    </w:p>
    <w:p>
      <w:r>
        <w:br w:type="page"/>
      </w:r>
    </w:p>
    <w:p>
      <w:pPr>
        <w:pStyle w:val="Heading1"/>
      </w:pPr>
      <w:r>
        <w:t>PPT 12  比較二として入力条件と検知できる関係を確認する</w:t>
      </w:r>
    </w:p>
    <w:p>
      <w:pPr>
        <w:widowControl/>
      </w:pPr>
      <w:r>
        <w:rPr>
          <w:rFonts w:ascii="Microsoft YaHei" w:hAnsi="Microsoft YaHei" w:eastAsia="Microsoft YaHei"/>
          <w:sz w:val="18"/>
          <w:lang w:eastAsia="zh-CN"/>
        </w:rPr>
        <w:t>目标时间 14:20–15:25   本页约65秒</w:t>
      </w:r>
    </w:p>
    <w:p>
      <w:pPr>
        <w:widowControl/>
        <w:spacing w:after="200"/>
      </w:pPr>
      <w:r>
        <w:rPr>
          <w:rFonts w:ascii="Microsoft YaHei" w:hAnsi="Microsoft YaHei" w:eastAsia="Microsoft YaHei"/>
          <w:sz w:val="18"/>
          <w:lang w:eastAsia="zh-CN"/>
        </w:rPr>
        <w:t>讲图提示  先讲共同适用条件，再解释最后一行的三角符号。</w:t>
      </w:r>
    </w:p>
    <w:p>
      <w:pPr>
        <w:pStyle w:val="Heading2"/>
      </w:pPr>
      <w:r>
        <w:t>日本語</w:t>
      </w:r>
    </w:p>
    <w:p>
      <w:pPr>
        <w:widowControl/>
      </w:pPr>
      <w:r>
        <w:rPr>
          <w:rFonts w:ascii="Meiryo" w:hAnsi="Meiryo" w:eastAsia="Meiryo"/>
          <w:lang w:eastAsia="ja-JP"/>
        </w:rPr>
        <w:t>次は、今回の入力条件に合うかという比較です。両手法とも、多変量の数値入力を扱い、一時刻の入力にスコアを付けられます。原論文の方式では過去の履歴は必須ではなく、運用時の真の回帰出力Yも不要です。</w:t>
      </w:r>
    </w:p>
    <w:p>
      <w:pPr>
        <w:widowControl/>
      </w:pPr>
      <w:r>
        <w:rPr>
          <w:rFonts w:ascii="Meiryo" w:hAnsi="Meiryo" w:eastAsia="Meiryo"/>
          <w:lang w:eastAsia="ja-JP"/>
        </w:rPr>
        <w:t>ただし、履歴なしで使えることは、時間的な異常をすべて検知できることとは違います。例えば、ある値が長時間固定される異常では、各時刻の値だけを見ると正常に見える場合があります。</w:t>
      </w:r>
    </w:p>
    <w:p>
      <w:pPr>
        <w:widowControl/>
      </w:pPr>
      <w:r>
        <w:rPr>
          <w:rFonts w:ascii="Meiryo" w:hAnsi="Meiryo" w:eastAsia="Meiryo"/>
          <w:lang w:eastAsia="ja-JP"/>
        </w:rPr>
        <w:t>また、未知の変数関係の検知には条件があります。AEは、正常な関係を学習できるか、未知の入力を再構成してしまわないかに依存します。OutProは、その変化が選択変数に現れ、参照領域で捉えられるかに依存します。</w:t>
      </w:r>
    </w:p>
    <w:p>
      <w:pPr>
        <w:widowControl/>
      </w:pPr>
      <w:r>
        <w:rPr>
          <w:rFonts w:ascii="Meiryo" w:hAnsi="Meiryo" w:eastAsia="Meiryo"/>
          <w:lang w:eastAsia="ja-JP"/>
        </w:rPr>
        <w:t>したがって、この表は適用条件の整理です。丸の数が多いほど高性能という意味ではありません。</w:t>
      </w:r>
    </w:p>
    <w:p>
      <w:pPr>
        <w:pStyle w:val="Heading2"/>
      </w:pPr>
      <w:r>
        <w:t>中文对照</w:t>
      </w:r>
    </w:p>
    <w:p>
      <w:pPr>
        <w:widowControl/>
      </w:pPr>
      <w:r>
        <w:rPr>
          <w:rFonts w:ascii="Microsoft YaHei" w:hAnsi="Microsoft YaHei" w:eastAsia="Microsoft YaHei"/>
          <w:lang w:eastAsia="zh-CN"/>
        </w:rPr>
        <w:t>接着看是否符合这次的输入条件。两者都能处理多变量数值输入，并对单时刻输入评分。按原论文方式，都不强制要求历史序列，也不需要运行时真实的回归输出Y。</w:t>
      </w:r>
    </w:p>
    <w:p>
      <w:pPr>
        <w:widowControl/>
      </w:pPr>
      <w:r>
        <w:rPr>
          <w:rFonts w:ascii="Microsoft YaHei" w:hAnsi="Microsoft YaHei" w:eastAsia="Microsoft YaHei"/>
          <w:lang w:eastAsia="zh-CN"/>
        </w:rPr>
        <w:t>但不需要历史，并不代表能够检测全部时间异常。例如某个数值长时间固定，逐时刻看可能都处于正常范围内。</w:t>
      </w:r>
    </w:p>
    <w:p>
      <w:pPr>
        <w:widowControl/>
      </w:pPr>
      <w:r>
        <w:rPr>
          <w:rFonts w:ascii="Microsoft YaHei" w:hAnsi="Microsoft YaHei" w:eastAsia="Microsoft YaHei"/>
          <w:lang w:eastAsia="zh-CN"/>
        </w:rPr>
        <w:t>检测未知变量关系也有条件。AE取决于能否学会正常关系，以及是否会把未知输入也重构得很好；OutPro取决于变化是否出现在所选变量上，并能否通过参考区域识别出来。</w:t>
      </w:r>
    </w:p>
    <w:p>
      <w:pPr>
        <w:widowControl/>
      </w:pPr>
      <w:r>
        <w:rPr>
          <w:rFonts w:ascii="Microsoft YaHei" w:hAnsi="Microsoft YaHei" w:eastAsia="Microsoft YaHei"/>
          <w:lang w:eastAsia="zh-CN"/>
        </w:rPr>
        <w:t>所以这张表是在整理适用条件，而不是用圆圈数量评价性能高低。</w:t>
      </w:r>
    </w:p>
    <w:p>
      <w:r>
        <w:br w:type="page"/>
      </w:r>
    </w:p>
    <w:p>
      <w:pPr>
        <w:pStyle w:val="Heading1"/>
      </w:pPr>
      <w:r>
        <w:t>PPT 13  比較三としてモデル依存と解釈と計算を確認する</w:t>
      </w:r>
    </w:p>
    <w:p>
      <w:pPr>
        <w:widowControl/>
      </w:pPr>
      <w:r>
        <w:rPr>
          <w:rFonts w:ascii="Microsoft YaHei" w:hAnsi="Microsoft YaHei" w:eastAsia="Microsoft YaHei"/>
          <w:sz w:val="18"/>
          <w:lang w:eastAsia="zh-CN"/>
        </w:rPr>
        <w:t>目标时间 15:25–16:20   本页约55秒</w:t>
      </w:r>
    </w:p>
    <w:p>
      <w:pPr>
        <w:widowControl/>
        <w:spacing w:after="200"/>
      </w:pPr>
      <w:r>
        <w:rPr>
          <w:rFonts w:ascii="Microsoft YaHei" w:hAnsi="Microsoft YaHei" w:eastAsia="Microsoft YaHei"/>
          <w:sz w:val="18"/>
          <w:lang w:eastAsia="zh-CN"/>
        </w:rPr>
        <w:t>讲图提示  重点对比训练是否需要Y、回归器依赖和运行计算。</w:t>
      </w:r>
    </w:p>
    <w:p>
      <w:pPr>
        <w:pStyle w:val="Heading2"/>
      </w:pPr>
      <w:r>
        <w:t>日本語</w:t>
      </w:r>
    </w:p>
    <w:p>
      <w:pPr>
        <w:widowControl/>
      </w:pPr>
      <w:r>
        <w:rPr>
          <w:rFonts w:ascii="Meiryo" w:hAnsi="Meiryo" w:eastAsia="Meiryo"/>
          <w:lang w:eastAsia="ja-JP"/>
        </w:rPr>
        <w:t>運用上の違いも確認します。AEは正常なXで学習でき、対象回帰器の内部情報を必要としません。一方、OutProは訓練時のXとY、および教師あり森林を利用します。</w:t>
      </w:r>
    </w:p>
    <w:p>
      <w:pPr>
        <w:widowControl/>
      </w:pPr>
      <w:r>
        <w:rPr>
          <w:rFonts w:ascii="Meiryo" w:hAnsi="Meiryo" w:eastAsia="Meiryo"/>
          <w:lang w:eastAsia="ja-JP"/>
        </w:rPr>
        <w:t>解釈の手掛かりとして、AEでは変数別の再構成誤差、OutProでは重要変数や規則、参照点を確認できます。ただし、これだけで故障原因や因果関係を断定することはできません。</w:t>
      </w:r>
    </w:p>
    <w:p>
      <w:pPr>
        <w:widowControl/>
      </w:pPr>
      <w:r>
        <w:rPr>
          <w:rFonts w:ascii="Meiryo" w:hAnsi="Meiryo" w:eastAsia="Meiryo"/>
          <w:lang w:eastAsia="ja-JP"/>
        </w:rPr>
        <w:t>運用時には、AEは順伝播と誤差計算、OutProは規則の探索、頻度集計、距離計算を行います。どちらが速いかは、ネットワークや森林の規模、入力次元、訓練点数で変わります。今回のデータと機器で、同じ条件にそろえて測定する必要があります。</w:t>
      </w:r>
    </w:p>
    <w:p>
      <w:pPr>
        <w:pStyle w:val="Heading2"/>
      </w:pPr>
      <w:r>
        <w:t>中文对照</w:t>
      </w:r>
    </w:p>
    <w:p>
      <w:pPr>
        <w:widowControl/>
      </w:pPr>
      <w:r>
        <w:rPr>
          <w:rFonts w:ascii="Microsoft YaHei" w:hAnsi="Microsoft YaHei" w:eastAsia="Microsoft YaHei"/>
          <w:lang w:eastAsia="zh-CN"/>
        </w:rPr>
        <w:t>还需要比较运行方面的差异。AE使用正常X即可训练，不需要目标回归器的内部信息。OutPro则利用训练时的X、Y以及监督森林。</w:t>
      </w:r>
    </w:p>
    <w:p>
      <w:pPr>
        <w:widowControl/>
      </w:pPr>
      <w:r>
        <w:rPr>
          <w:rFonts w:ascii="Microsoft YaHei" w:hAnsi="Microsoft YaHei" w:eastAsia="Microsoft YaHei"/>
          <w:lang w:eastAsia="zh-CN"/>
        </w:rPr>
        <w:t>解释方面，AE可以查看各变量的重构误差；OutPro可以查看重要变量、规则和参考点。但这些线索不能直接确定故障原因或因果关系。</w:t>
      </w:r>
    </w:p>
    <w:p>
      <w:pPr>
        <w:widowControl/>
      </w:pPr>
      <w:r>
        <w:rPr>
          <w:rFonts w:ascii="Microsoft YaHei" w:hAnsi="Microsoft YaHei" w:eastAsia="Microsoft YaHei"/>
          <w:lang w:eastAsia="zh-CN"/>
        </w:rPr>
        <w:t>运行计算方面，AE进行前向传播和误差计算，OutPro涉及规则搜索、频次统计和距离计算。速度取决于网络或森林规模、输入维度及训练点数量，需要在相同数据与设备条件下实际测量。</w:t>
      </w:r>
    </w:p>
    <w:p>
      <w:r>
        <w:br w:type="page"/>
      </w:r>
    </w:p>
    <w:p>
      <w:pPr>
        <w:pStyle w:val="Heading1"/>
      </w:pPr>
      <w:r>
        <w:t>PPT 14  評価データと指標は正解ラベルの意味と読む</w:t>
      </w:r>
    </w:p>
    <w:p>
      <w:pPr>
        <w:widowControl/>
      </w:pPr>
      <w:r>
        <w:rPr>
          <w:rFonts w:ascii="Microsoft YaHei" w:hAnsi="Microsoft YaHei" w:eastAsia="Microsoft YaHei"/>
          <w:sz w:val="18"/>
          <w:lang w:eastAsia="zh-CN"/>
        </w:rPr>
        <w:t>目标时间 16:20–17:40   本页约80秒</w:t>
      </w:r>
    </w:p>
    <w:p>
      <w:pPr>
        <w:widowControl/>
        <w:spacing w:after="200"/>
      </w:pPr>
      <w:r>
        <w:rPr>
          <w:rFonts w:ascii="Microsoft YaHei" w:hAnsi="Microsoft YaHei" w:eastAsia="Microsoft YaHei"/>
          <w:sz w:val="18"/>
          <w:lang w:eastAsia="zh-CN"/>
        </w:rPr>
        <w:t>讲图提示  先讲三种数据对应的标签含义，再用警报解释Precision和Recall。</w:t>
      </w:r>
    </w:p>
    <w:p>
      <w:pPr>
        <w:pStyle w:val="Heading2"/>
      </w:pPr>
      <w:r>
        <w:t>日本語</w:t>
      </w:r>
    </w:p>
    <w:p>
      <w:pPr>
        <w:widowControl/>
      </w:pPr>
      <w:r>
        <w:rPr>
          <w:rFonts w:ascii="Meiryo" w:hAnsi="Meiryo" w:eastAsia="Meiryo"/>
          <w:lang w:eastAsia="ja-JP"/>
        </w:rPr>
        <w:t>評価結果を読むときには、どのデータを使ったかだけでなく、何を正解の異常としたかが重要です。</w:t>
      </w:r>
    </w:p>
    <w:p>
      <w:pPr>
        <w:widowControl/>
      </w:pPr>
      <w:r>
        <w:rPr>
          <w:rFonts w:ascii="Meiryo" w:hAnsi="Meiryo" w:eastAsia="Meiryo"/>
          <w:lang w:eastAsia="ja-JP"/>
        </w:rPr>
        <w:t>SWaTとWADIは、水処理や配水に関係する多変量時系列です。ただし、使われる攻撃ラベルが、そのまま今回の学習外入力の三条件を意味するわけではありません。回帰の入力と目的変数も、別に設定する必要があります。</w:t>
      </w:r>
    </w:p>
    <w:p>
      <w:pPr>
        <w:widowControl/>
      </w:pPr>
      <w:r>
        <w:rPr>
          <w:rFonts w:ascii="Meiryo" w:hAnsi="Meiryo" w:eastAsia="Meiryo"/>
          <w:lang w:eastAsia="ja-JP"/>
        </w:rPr>
        <w:t>OutProで使われたPMLBは、連続値の目的変数を持つ回帰データです。論文では、分布や変数関係などを人工的に変えた入力で評価しています。一方、これらをすべて水系の時系列データと同じ条件で扱うことはできません。</w:t>
      </w:r>
    </w:p>
    <w:p>
      <w:pPr>
        <w:widowControl/>
      </w:pPr>
      <w:r>
        <w:rPr>
          <w:rFonts w:ascii="Meiryo" w:hAnsi="Meiryo" w:eastAsia="Meiryo"/>
          <w:lang w:eastAsia="ja-JP"/>
        </w:rPr>
        <w:t>下のPrecisionは、警報を出したうち、本当に異常だった割合です。Recallは、実際の異常をどれだけ見つけたかを表します。AUROCやAUPRCは、閾値を動かしてスコアの順位性能を見る指標です。</w:t>
      </w:r>
    </w:p>
    <w:p>
      <w:pPr>
        <w:widowControl/>
      </w:pPr>
      <w:r>
        <w:rPr>
          <w:rFonts w:ascii="Meiryo" w:hAnsi="Meiryo" w:eastAsia="Meiryo"/>
          <w:lang w:eastAsia="ja-JP"/>
        </w:rPr>
        <w:t>実運用では一つの閾値を使うので、曲線の面積だけでなく、その閾値での誤警報と見逃しも確認します。異常の割合や評価単位もそろえて比較する必要があります。</w:t>
      </w:r>
    </w:p>
    <w:p>
      <w:pPr>
        <w:pStyle w:val="Heading2"/>
      </w:pPr>
      <w:r>
        <w:t>中文对照</w:t>
      </w:r>
    </w:p>
    <w:p>
      <w:pPr>
        <w:widowControl/>
      </w:pPr>
      <w:r>
        <w:rPr>
          <w:rFonts w:ascii="Microsoft YaHei" w:hAnsi="Microsoft YaHei" w:eastAsia="Microsoft YaHei"/>
          <w:lang w:eastAsia="zh-CN"/>
        </w:rPr>
        <w:t>阅读评价结果时，不仅要看用了什么数据，还要看什么被定义为真实异常。</w:t>
      </w:r>
    </w:p>
    <w:p>
      <w:pPr>
        <w:widowControl/>
      </w:pPr>
      <w:r>
        <w:rPr>
          <w:rFonts w:ascii="Microsoft YaHei" w:hAnsi="Microsoft YaHei" w:eastAsia="Microsoft YaHei"/>
          <w:lang w:eastAsia="zh-CN"/>
        </w:rPr>
        <w:t>SWaT和WADI是与水处理、配水有关的多变量时间序列，但其中的攻击标签并不直接等于这次学习外输入的三种条件。回归输入和目标变量也需要另外确定。</w:t>
      </w:r>
    </w:p>
    <w:p>
      <w:pPr>
        <w:widowControl/>
      </w:pPr>
      <w:r>
        <w:rPr>
          <w:rFonts w:ascii="Microsoft YaHei" w:hAnsi="Microsoft YaHei" w:eastAsia="Microsoft YaHei"/>
          <w:lang w:eastAsia="zh-CN"/>
        </w:rPr>
        <w:t>OutPro使用的PMLB是具有连续目标值的回归数据。论文通过人工改变分布、变量关系等构造输入进行评价，但不能把这些数据都视为与水务时间序列具有相同条件。</w:t>
      </w:r>
    </w:p>
    <w:p>
      <w:pPr>
        <w:widowControl/>
      </w:pPr>
      <w:r>
        <w:rPr>
          <w:rFonts w:ascii="Microsoft YaHei" w:hAnsi="Microsoft YaHei" w:eastAsia="Microsoft YaHei"/>
          <w:lang w:eastAsia="zh-CN"/>
        </w:rPr>
        <w:t>下面的Precision表示发出的警报中真正异常的比例；Recall表示实际异常中被发现的比例。AUROC和AUPRC通过改变阈值，评价检测分数的排序能力。</w:t>
      </w:r>
    </w:p>
    <w:p>
      <w:pPr>
        <w:widowControl/>
      </w:pPr>
      <w:r>
        <w:rPr>
          <w:rFonts w:ascii="Microsoft YaHei" w:hAnsi="Microsoft YaHei" w:eastAsia="Microsoft YaHei"/>
          <w:lang w:eastAsia="zh-CN"/>
        </w:rPr>
        <w:t>实际运行使用固定阈值，因此除了曲线面积，还要检查该阈值下的误报和漏报。比较时也需要统一异常比例和评价单位等条件。</w:t>
      </w:r>
    </w:p>
    <w:p>
      <w:r>
        <w:br w:type="page"/>
      </w:r>
    </w:p>
    <w:p>
      <w:pPr>
        <w:pStyle w:val="Heading1"/>
      </w:pPr>
      <w:r>
        <w:t>PPT 15  適用時のトレードオフと運用上の確認事項</w:t>
      </w:r>
    </w:p>
    <w:p>
      <w:pPr>
        <w:widowControl/>
      </w:pPr>
      <w:r>
        <w:rPr>
          <w:rFonts w:ascii="Microsoft YaHei" w:hAnsi="Microsoft YaHei" w:eastAsia="Microsoft YaHei"/>
          <w:sz w:val="18"/>
          <w:lang w:eastAsia="zh-CN"/>
        </w:rPr>
        <w:t>目标时间 17:40–19:00   本页约80秒</w:t>
      </w:r>
    </w:p>
    <w:p>
      <w:pPr>
        <w:widowControl/>
        <w:spacing w:after="200"/>
      </w:pPr>
      <w:r>
        <w:rPr>
          <w:rFonts w:ascii="Microsoft YaHei" w:hAnsi="Microsoft YaHei" w:eastAsia="Microsoft YaHei"/>
          <w:sz w:val="18"/>
          <w:lang w:eastAsia="zh-CN"/>
        </w:rPr>
        <w:t>讲图提示  先说明左图不是排名，再指右侧实际评价项目。</w:t>
      </w:r>
    </w:p>
    <w:p>
      <w:pPr>
        <w:pStyle w:val="Heading2"/>
      </w:pPr>
      <w:r>
        <w:t>日本語</w:t>
      </w:r>
    </w:p>
    <w:p>
      <w:pPr>
        <w:widowControl/>
      </w:pPr>
      <w:r>
        <w:rPr>
          <w:rFonts w:ascii="Meiryo" w:hAnsi="Meiryo" w:eastAsia="Meiryo"/>
          <w:lang w:eastAsia="ja-JP"/>
        </w:rPr>
        <w:t>ここでは、手法の位置づけと実運用の確認事項をまとめます。左の図は概念的な整理であり、性能を測って並べたランキングではありません。</w:t>
      </w:r>
    </w:p>
    <w:p>
      <w:pPr>
        <w:widowControl/>
      </w:pPr>
      <w:r>
        <w:rPr>
          <w:rFonts w:ascii="Meiryo" w:hAnsi="Meiryo" w:eastAsia="Meiryo"/>
          <w:lang w:eastAsia="ja-JP"/>
        </w:rPr>
        <w:t>単純な範囲判定は分かりやすい一方、先ほどの未知の組合せを直接は捉えません。距離を使う方法にも違いがあります。例えば、マハラノビス距離は共分散を利用し、近傍距離は近くの訓練点との関係を利用します。AEは正常入力の再構成関係を学び、OutProは目的変数と森林の情報も使います。</w:t>
      </w:r>
    </w:p>
    <w:p>
      <w:pPr>
        <w:widowControl/>
      </w:pPr>
      <w:r>
        <w:rPr>
          <w:rFonts w:ascii="Meiryo" w:hAnsi="Meiryo" w:eastAsia="Meiryo"/>
          <w:lang w:eastAsia="ja-JP"/>
        </w:rPr>
        <w:t>このため、複雑な方法ほど必ず良いとは言えません。まず範囲判定や距離に基づく方法を基準として、AEやOutProを追加した効果を比較することを考えています。</w:t>
      </w:r>
    </w:p>
    <w:p>
      <w:pPr>
        <w:widowControl/>
      </w:pPr>
      <w:r>
        <w:rPr>
          <w:rFonts w:ascii="Meiryo" w:hAnsi="Meiryo" w:eastAsia="Meiryo"/>
          <w:lang w:eastAsia="ja-JP"/>
        </w:rPr>
        <w:t>右側には、実機で確認したい項目を示しました。処理時間、誤警報と見逃し、説明のしやすさに加え、正常データが運転条件を十分に含むか、季節や運転状態が変わっても閾値が安定するかを確認します。検知精度と、継続して運用できるかの両方を見る必要があります。</w:t>
      </w:r>
    </w:p>
    <w:p>
      <w:pPr>
        <w:pStyle w:val="Heading2"/>
      </w:pPr>
      <w:r>
        <w:t>中文对照</w:t>
      </w:r>
    </w:p>
    <w:p>
      <w:pPr>
        <w:widowControl/>
      </w:pPr>
      <w:r>
        <w:rPr>
          <w:rFonts w:ascii="Microsoft YaHei" w:hAnsi="Microsoft YaHei" w:eastAsia="Microsoft YaHei"/>
          <w:lang w:eastAsia="zh-CN"/>
        </w:rPr>
        <w:t>这一页整理方法的定位和运行时需要确认的事项。左图是概念性整理，不是实际测量后的性能排名。</w:t>
      </w:r>
    </w:p>
    <w:p>
      <w:pPr>
        <w:widowControl/>
      </w:pPr>
      <w:r>
        <w:rPr>
          <w:rFonts w:ascii="Microsoft YaHei" w:hAnsi="Microsoft YaHei" w:eastAsia="Microsoft YaHei"/>
          <w:lang w:eastAsia="zh-CN"/>
        </w:rPr>
        <w:t>简单范围检测容易理解，但不能直接发现前面的未知组合。距离方法也各不相同，例如马氏距离利用协方差，近邻距离利用与附近训练点的关系。AE学习正常输入的重构关系，OutPro还使用目标变量和森林信息。</w:t>
      </w:r>
    </w:p>
    <w:p>
      <w:pPr>
        <w:widowControl/>
      </w:pPr>
      <w:r>
        <w:rPr>
          <w:rFonts w:ascii="Microsoft YaHei" w:hAnsi="Microsoft YaHei" w:eastAsia="Microsoft YaHei"/>
          <w:lang w:eastAsia="zh-CN"/>
        </w:rPr>
        <w:t>因此，复杂的方法不一定更好。后续考虑以范围检测、距离方法作为基准，比较加入AE或OutPro后是否有改善。</w:t>
      </w:r>
    </w:p>
    <w:p>
      <w:pPr>
        <w:widowControl/>
      </w:pPr>
      <w:r>
        <w:rPr>
          <w:rFonts w:ascii="Microsoft YaHei" w:hAnsi="Microsoft YaHei" w:eastAsia="Microsoft YaHei"/>
          <w:lang w:eastAsia="zh-CN"/>
        </w:rPr>
        <w:t>右边是实机需要确认的项目。除了处理时间、误报漏报和可解释性，还要检查正常数据是否充分覆盖运行条件，以及季节或运行状态变化时阈值是否稳定。需要同时考虑检测效果和能否持续运行。</w:t>
      </w:r>
    </w:p>
    <w:p>
      <w:r>
        <w:br w:type="page"/>
      </w:r>
    </w:p>
    <w:p>
      <w:pPr>
        <w:pStyle w:val="Heading1"/>
      </w:pPr>
      <w:r>
        <w:t>PPT 16  まとめと今後の課題</w:t>
      </w:r>
    </w:p>
    <w:p>
      <w:pPr>
        <w:widowControl/>
      </w:pPr>
      <w:r>
        <w:rPr>
          <w:rFonts w:ascii="Microsoft YaHei" w:hAnsi="Microsoft YaHei" w:eastAsia="Microsoft YaHei"/>
          <w:sz w:val="18"/>
          <w:lang w:eastAsia="zh-CN"/>
        </w:rPr>
        <w:t>目标时间 19:00–20:00   本页约60秒</w:t>
      </w:r>
    </w:p>
    <w:p>
      <w:pPr>
        <w:widowControl/>
        <w:spacing w:after="200"/>
      </w:pPr>
      <w:r>
        <w:rPr>
          <w:rFonts w:ascii="Microsoft YaHei" w:hAnsi="Microsoft YaHei" w:eastAsia="Microsoft YaHei"/>
          <w:sz w:val="18"/>
          <w:lang w:eastAsia="zh-CN"/>
        </w:rPr>
        <w:t>讲图提示  停留在结论页，不自动进入附录；讲完后面向听众。</w:t>
      </w:r>
    </w:p>
    <w:p>
      <w:pPr>
        <w:pStyle w:val="Heading2"/>
      </w:pPr>
      <w:r>
        <w:t>日本語</w:t>
      </w:r>
    </w:p>
    <w:p>
      <w:pPr>
        <w:widowControl/>
      </w:pPr>
      <w:r>
        <w:rPr>
          <w:rFonts w:ascii="Meiryo" w:hAnsi="Meiryo" w:eastAsia="Meiryo"/>
          <w:lang w:eastAsia="ja-JP"/>
        </w:rPr>
        <w:t>最後にまとめます。今回の調査では、学習外入力を範囲外だけでなく、低密度の領域や未知の変数関係まで含めて考える必要があると分かりました。</w:t>
      </w:r>
    </w:p>
    <w:p>
      <w:pPr>
        <w:widowControl/>
      </w:pPr>
      <w:r>
        <w:rPr>
          <w:rFonts w:ascii="Meiryo" w:hAnsi="Meiryo" w:eastAsia="Meiryo"/>
          <w:lang w:eastAsia="ja-JP"/>
        </w:rPr>
        <w:t>また、論文ごとに分類軸が異なるため、手法名だけでなく、検知の根拠と必要な情報を整理しました。AEとOutProはいずれも、一時刻の多変量数値入力に適用できる候補ですが、必要な学習データとモデルへの依存が異なります。</w:t>
      </w:r>
    </w:p>
    <w:p>
      <w:pPr>
        <w:widowControl/>
      </w:pPr>
      <w:r>
        <w:rPr>
          <w:rFonts w:ascii="Meiryo" w:hAnsi="Meiryo" w:eastAsia="Meiryo"/>
          <w:lang w:eastAsia="ja-JP"/>
        </w:rPr>
        <w:t>今後は入力と出力の仕様を確定し、データを時間順に訓練、校正、テストに分けます。その上で、三条件ごとの検知性能、実際の回帰誤差との関係、処理時間を比較したいと考えています。人工的な入力では正しいYが得られない場合もあるため、OODの評価と回帰誤差の評価は分けて進めます。</w:t>
      </w:r>
    </w:p>
    <w:p>
      <w:pPr>
        <w:widowControl/>
      </w:pPr>
      <w:r>
        <w:rPr>
          <w:rFonts w:ascii="Meiryo" w:hAnsi="Meiryo" w:eastAsia="Meiryo"/>
          <w:lang w:eastAsia="ja-JP"/>
        </w:rPr>
        <w:t>以上で発表を終わります。ご清聴ありがとうございました。</w:t>
      </w:r>
    </w:p>
    <w:p>
      <w:pPr>
        <w:pStyle w:val="Heading2"/>
      </w:pPr>
      <w:r>
        <w:t>中文对照</w:t>
      </w:r>
    </w:p>
    <w:p>
      <w:pPr>
        <w:widowControl/>
      </w:pPr>
      <w:r>
        <w:rPr>
          <w:rFonts w:ascii="Microsoft YaHei" w:hAnsi="Microsoft YaHei" w:eastAsia="Microsoft YaHei"/>
          <w:lang w:eastAsia="zh-CN"/>
        </w:rPr>
        <w:t>最后总结。这次调研表明，学习外输入不仅要考虑范围外，还要包括低密度区域和未知变量关系。</w:t>
      </w:r>
    </w:p>
    <w:p>
      <w:pPr>
        <w:widowControl/>
      </w:pPr>
      <w:r>
        <w:rPr>
          <w:rFonts w:ascii="Microsoft YaHei" w:hAnsi="Microsoft YaHei" w:eastAsia="Microsoft YaHei"/>
          <w:lang w:eastAsia="zh-CN"/>
        </w:rPr>
        <w:t>由于不同论文采用的分类轴不同，我们进一步整理了检测依据和需要的信息。AE与OutPro都是能够用于单时刻多变量数值输入的候选方法，但所需训练数据和模型依赖不同。</w:t>
      </w:r>
    </w:p>
    <w:p>
      <w:pPr>
        <w:widowControl/>
      </w:pPr>
      <w:r>
        <w:rPr>
          <w:rFonts w:ascii="Microsoft YaHei" w:hAnsi="Microsoft YaHei" w:eastAsia="Microsoft YaHei"/>
          <w:lang w:eastAsia="zh-CN"/>
        </w:rPr>
        <w:t>今后先确定输入输出规格，再按时间划分训练、校准和测试数据，比较三种条件下的检测性能、与实际回归误差的关系，以及处理时间。人工输入有时没有正确的Y，因此需要分别评价OOD检测与回归误差。</w:t>
      </w:r>
    </w:p>
    <w:p>
      <w:pPr>
        <w:widowControl/>
      </w:pPr>
      <w:r>
        <w:rPr>
          <w:rFonts w:ascii="Microsoft YaHei" w:hAnsi="Microsoft YaHei" w:eastAsia="Microsoft YaHei"/>
          <w:lang w:eastAsia="zh-CN"/>
        </w:rPr>
        <w:t>我的汇报到此结束，谢谢大家。</w:t>
      </w:r>
    </w:p>
    <w:p>
      <w:r>
        <w:br w:type="page"/>
      </w:r>
    </w:p>
    <w:p>
      <w:pPr>
        <w:pStyle w:val="Heading1"/>
      </w:pPr>
      <w:r>
        <w:t>附録の補足説明と中文对照</w:t>
      </w:r>
    </w:p>
    <w:p>
      <w:pPr>
        <w:widowControl/>
      </w:pPr>
      <w:r>
        <w:rPr>
          <w:rFonts w:ascii="Microsoft YaHei" w:hAnsi="Microsoft YaHei" w:eastAsia="Microsoft YaHei"/>
          <w:lang w:eastAsia="zh-CN"/>
        </w:rPr>
        <w:t>提问涉及对应页时使用，每段约20至35秒，不计入正文。</w:t>
      </w:r>
    </w:p>
    <w:p>
      <w:pPr>
        <w:pStyle w:val="Heading2"/>
      </w:pPr>
      <w:r>
        <w:t>PPT 17  AEのネットワーク図</w:t>
      </w:r>
    </w:p>
    <w:p>
      <w:pPr>
        <w:widowControl/>
      </w:pPr>
      <w:r>
        <w:rPr>
          <w:rFonts w:ascii="Meiryo" w:hAnsi="Meiryo" w:eastAsia="Meiryo"/>
          <w:lang w:eastAsia="ja-JP"/>
        </w:rPr>
        <w:t>この図は、圧縮と再構成の構造を説明するための例です。下の棒グラフは入力と再構成のずれを示しており、論文の実測値ではありません。正常と異なる関係を再現できないと、誤差が大きくなるという考え方を表しています。</w:t>
      </w:r>
    </w:p>
    <w:p>
      <w:pPr>
        <w:widowControl/>
      </w:pPr>
      <w:r>
        <w:rPr>
          <w:rFonts w:ascii="Microsoft YaHei" w:hAnsi="Microsoft YaHei" w:eastAsia="Microsoft YaHei"/>
          <w:lang w:eastAsia="zh-CN"/>
        </w:rPr>
        <w:t>此图用于说明压缩与重构的结构。下方柱状图是说明输入和重构值差异的示例，并非论文实测结果。它表达的是：如果无法重现不同于正常状态的关系，重构误差就可能增大。</w:t>
      </w:r>
    </w:p>
    <w:p>
      <w:pPr>
        <w:pStyle w:val="Heading2"/>
      </w:pPr>
      <w:r>
        <w:t>PPT 18  OutProの規則解放図</w:t>
      </w:r>
    </w:p>
    <w:p>
      <w:pPr>
        <w:widowControl/>
      </w:pPr>
      <w:r>
        <w:rPr>
          <w:rFonts w:ascii="Meiryo" w:hAnsi="Meiryo" w:eastAsia="Meiryo"/>
          <w:lang w:eastAsia="ja-JP"/>
        </w:rPr>
        <w:t>こちらは原論文の図を使った補足です。一つの変数の制約を外すと、その変数の方向に参照領域が広がります。各訓練点の出現頻度を集計してから参照近傍を選ぶ、という本文の手順に対応しています。</w:t>
      </w:r>
    </w:p>
    <w:p>
      <w:pPr>
        <w:widowControl/>
      </w:pPr>
      <w:r>
        <w:rPr>
          <w:rFonts w:ascii="Microsoft YaHei" w:hAnsi="Microsoft YaHei" w:eastAsia="Microsoft YaHei"/>
          <w:lang w:eastAsia="zh-CN"/>
        </w:rPr>
        <w:t>这里使用原论文图进行补充。解除一个变量的约束后，参考区域沿该变量方向扩展。这对应正文中先统计训练点出现频次、再选择参考近邻的步骤。</w:t>
      </w:r>
    </w:p>
    <w:p>
      <w:pPr>
        <w:pStyle w:val="Heading2"/>
      </w:pPr>
      <w:r>
        <w:t>PPT 19  AEとノイズ除去AEの結果</w:t>
      </w:r>
    </w:p>
    <w:p>
      <w:pPr>
        <w:widowControl/>
      </w:pPr>
      <w:r>
        <w:rPr>
          <w:rFonts w:ascii="Meiryo" w:hAnsi="Meiryo" w:eastAsia="Meiryo"/>
          <w:lang w:eastAsia="ja-JP"/>
        </w:rPr>
        <w:t>ノイズ除去AEの効果はデータに依存します。例えばSatellite AではAUCが通常AEの約0.885から約0.935に上がりますが、Satellite Bでは約0.976から約0.836に下がっています。ノイズを加える学習が常に有利とは言えません。</w:t>
      </w:r>
    </w:p>
    <w:p>
      <w:pPr>
        <w:widowControl/>
      </w:pPr>
      <w:r>
        <w:rPr>
          <w:rFonts w:ascii="Microsoft YaHei" w:hAnsi="Microsoft YaHei" w:eastAsia="Microsoft YaHei"/>
          <w:lang w:eastAsia="zh-CN"/>
        </w:rPr>
        <w:t>降噪AE的效果取决于数据。例如Satellite A的AUC从普通AE约0.885提高到约0.935，但Satellite B从约0.976降至约0.836。因此，加噪训练并非总是更有利。</w:t>
      </w:r>
    </w:p>
    <w:p>
      <w:r>
        <w:br w:type="page"/>
      </w:r>
    </w:p>
    <w:p>
      <w:pPr>
        <w:pStyle w:val="Heading1"/>
      </w:pPr>
      <w:r>
        <w:t>附録の補足説明と中文对照</w:t>
      </w:r>
    </w:p>
    <w:p>
      <w:pPr>
        <w:widowControl/>
      </w:pPr>
      <w:r>
        <w:rPr>
          <w:rFonts w:ascii="Microsoft YaHei" w:hAnsi="Microsoft YaHei" w:eastAsia="Microsoft YaHei"/>
          <w:lang w:eastAsia="zh-CN"/>
        </w:rPr>
        <w:t>提问涉及对应页时使用，每段约20至35秒，不计入正文。</w:t>
      </w:r>
    </w:p>
    <w:p>
      <w:pPr>
        <w:pStyle w:val="Heading2"/>
      </w:pPr>
      <w:r>
        <w:t>PPT 20  OutProの評価と制約</w:t>
      </w:r>
    </w:p>
    <w:p>
      <w:pPr>
        <w:widowControl/>
      </w:pPr>
      <w:r>
        <w:rPr>
          <w:rFonts w:ascii="Meiryo" w:hAnsi="Meiryo" w:eastAsia="Meiryo"/>
          <w:lang w:eastAsia="ja-JP"/>
        </w:rPr>
        <w:t>OutProは61の回帰データを用い、人工的な分布変化で評価されています。変数間の関係を変える条件で良い結果が示されていますが、他の変化では従来法が上回る場合もあります。水系の実データでも同じ優位性があるかは、別に検証が必要です。</w:t>
      </w:r>
    </w:p>
    <w:p>
      <w:pPr>
        <w:widowControl/>
      </w:pPr>
      <w:r>
        <w:rPr>
          <w:rFonts w:ascii="Microsoft YaHei" w:hAnsi="Microsoft YaHei" w:eastAsia="Microsoft YaHei"/>
          <w:lang w:eastAsia="zh-CN"/>
        </w:rPr>
        <w:t>OutPro使用61个回归数据集及人工分布变化进行评价。变量关系变化的条件下表现较好，但其他变化下也可能被传统方法超过。能否在真实水务数据中保持优势，需要另外验证。</w:t>
      </w:r>
    </w:p>
    <w:p>
      <w:pPr>
        <w:pStyle w:val="Heading2"/>
      </w:pPr>
      <w:r>
        <w:t>PPT 21  山原論文と配水圧力推定</w:t>
      </w:r>
    </w:p>
    <w:p>
      <w:pPr>
        <w:widowControl/>
      </w:pPr>
      <w:r>
        <w:rPr>
          <w:rFonts w:ascii="Meiryo" w:hAnsi="Meiryo" w:eastAsia="Meiryo"/>
          <w:lang w:eastAsia="ja-JP"/>
        </w:rPr>
        <w:t>山原さんの論文は、配水圧力の推定に適用領域の考え方を組み合わせた例です。範囲や距離に基づく判定を比較しています。ただし、回帰誤差が0.022 MPaを超えるという基準は誤差の代理ラベルであり、入力が学習外であることの定義とは区別します。</w:t>
      </w:r>
    </w:p>
    <w:p>
      <w:pPr>
        <w:widowControl/>
      </w:pPr>
      <w:r>
        <w:rPr>
          <w:rFonts w:ascii="Microsoft YaHei" w:hAnsi="Microsoft YaHei" w:eastAsia="Microsoft YaHei"/>
          <w:lang w:eastAsia="zh-CN"/>
        </w:rPr>
        <w:t>山原先生的论文将适用域的思路用于配水压力推定，并比较了范围与距离等判断方法。但回归误差超过0.022 MPa属于误差代理标签，需要与输入是否学习外的定义区分。</w:t>
      </w:r>
    </w:p>
    <w:p>
      <w:pPr>
        <w:pStyle w:val="Heading2"/>
      </w:pPr>
      <w:r>
        <w:t>PPT 22  分類軸の詳細</w:t>
      </w:r>
    </w:p>
    <w:p>
      <w:pPr>
        <w:widowControl/>
      </w:pPr>
      <w:r>
        <w:rPr>
          <w:rFonts w:ascii="Meiryo" w:hAnsi="Meiryo" w:eastAsia="Meiryo"/>
          <w:lang w:eastAsia="ja-JP"/>
        </w:rPr>
        <w:t>この表は、各論文の分類軸を確認するための補足です。異常の形、判定対象の粒度、変数内と変数間という違いを分けて読む必要があります。異なる論文の分類を一対一に置き換える表ではありません。</w:t>
      </w:r>
    </w:p>
    <w:p>
      <w:pPr>
        <w:widowControl/>
      </w:pPr>
      <w:r>
        <w:rPr>
          <w:rFonts w:ascii="Microsoft YaHei" w:hAnsi="Microsoft YaHei" w:eastAsia="Microsoft YaHei"/>
          <w:lang w:eastAsia="zh-CN"/>
        </w:rPr>
        <w:t>此表用于核对各论文的分类轴。异常形式、判定对象粒度，以及变量内与变量间的区别需要分别理解，不是不同文献分类之间的一一替换表。</w:t>
      </w:r>
    </w:p>
    <w:p>
      <w:r>
        <w:br w:type="page"/>
      </w:r>
    </w:p>
    <w:p>
      <w:pPr>
        <w:pStyle w:val="Heading1"/>
      </w:pPr>
      <w:r>
        <w:t>附録の補足説明と中文对照</w:t>
      </w:r>
    </w:p>
    <w:p>
      <w:pPr>
        <w:widowControl/>
      </w:pPr>
      <w:r>
        <w:rPr>
          <w:rFonts w:ascii="Microsoft YaHei" w:hAnsi="Microsoft YaHei" w:eastAsia="Microsoft YaHei"/>
          <w:lang w:eastAsia="zh-CN"/>
        </w:rPr>
        <w:t>提问涉及对应页时使用，每段约20至35秒，不计入正文。</w:t>
      </w:r>
    </w:p>
    <w:p>
      <w:pPr>
        <w:pStyle w:val="Heading2"/>
      </w:pPr>
      <w:r>
        <w:t>PPT 23  OutProに必要な情報</w:t>
      </w:r>
    </w:p>
    <w:p>
      <w:pPr>
        <w:widowControl/>
      </w:pPr>
      <w:r>
        <w:rPr>
          <w:rFonts w:ascii="Meiryo" w:hAnsi="Meiryo" w:eastAsia="Meiryo"/>
          <w:lang w:eastAsia="ja-JP"/>
        </w:rPr>
        <w:t>OutProでは訓練時のXとY、森林の規則、選択変数、重要度、訓練点を使います。新しい入力の真のYは不要です。一方、入力分布が変わらず、入力と出力の関係だけが変わる場合は、入力だけの監視では検知できません。</w:t>
      </w:r>
    </w:p>
    <w:p>
      <w:pPr>
        <w:widowControl/>
      </w:pPr>
      <w:r>
        <w:rPr>
          <w:rFonts w:ascii="Microsoft YaHei" w:hAnsi="Microsoft YaHei" w:eastAsia="Microsoft YaHei"/>
          <w:lang w:eastAsia="zh-CN"/>
        </w:rPr>
        <w:t>OutPro使用训练时的X和Y、森林规则、所选变量、重要度及训练点，不需要新输入真实的Y。但如果输入分布不变，仅输入与输出的对应关系发生变化，仅监测输入就无法检测。</w:t>
      </w:r>
    </w:p>
    <w:p>
      <w:pPr>
        <w:pStyle w:val="Heading2"/>
      </w:pPr>
      <w:r>
        <w:t>PPT 24  AEに必要な情報</w:t>
      </w:r>
    </w:p>
    <w:p>
      <w:pPr>
        <w:widowControl/>
      </w:pPr>
      <w:r>
        <w:rPr>
          <w:rFonts w:ascii="Meiryo" w:hAnsi="Meiryo" w:eastAsia="Meiryo"/>
          <w:lang w:eastAsia="ja-JP"/>
        </w:rPr>
        <w:t>AEでは正常な入力データと学習済みパラメータが必要です。適切な閾値、正常データの範囲、必要な学習量は、今回の運転条件に合わせて確認します。学習外入力の再構成誤差が必ず大きくなるという保証はありません。</w:t>
      </w:r>
    </w:p>
    <w:p>
      <w:pPr>
        <w:widowControl/>
      </w:pPr>
      <w:r>
        <w:rPr>
          <w:rFonts w:ascii="Microsoft YaHei" w:hAnsi="Microsoft YaHei" w:eastAsia="Microsoft YaHei"/>
          <w:lang w:eastAsia="zh-CN"/>
        </w:rPr>
        <w:t>AE需要正常输入数据和训练后的参数。阈值、正常数据覆盖范围及训练数据需求量，都需要结合这次的运行条件确认。不能保证学习外输入的重构误差一定更大。</w:t>
      </w:r>
    </w:p>
    <w:p>
      <w:pPr>
        <w:pStyle w:val="Heading2"/>
      </w:pPr>
      <w:r>
        <w:t>PPT 25  データセット情報の確認状況</w:t>
      </w:r>
    </w:p>
    <w:p>
      <w:pPr>
        <w:widowControl/>
      </w:pPr>
      <w:r>
        <w:rPr>
          <w:rFonts w:ascii="Meiryo" w:hAnsi="Meiryo" w:eastAsia="Meiryo"/>
          <w:lang w:eastAsia="ja-JP"/>
        </w:rPr>
        <w:t>この表は論文中で確認できたデータの規模をまとめたものです。実際に使用する前には、取得する版、入力項目、目的変数、時刻の対応、ラベルの定義を確認します。表の規模だけでは、実習への適合性は決められません。</w:t>
      </w:r>
    </w:p>
    <w:p>
      <w:pPr>
        <w:widowControl/>
      </w:pPr>
      <w:r>
        <w:rPr>
          <w:rFonts w:ascii="Microsoft YaHei" w:hAnsi="Microsoft YaHei" w:eastAsia="Microsoft YaHei"/>
          <w:lang w:eastAsia="zh-CN"/>
        </w:rPr>
        <w:t>此表汇总论文中能够确认的数据规模。实际使用前还要确认获取版本、输入项目、目标变量、时间对应和标签定义。仅凭规模不能判断是否适合实习任务。</w:t>
      </w:r>
    </w:p>
    <w:p>
      <w:r>
        <w:br w:type="page"/>
      </w:r>
    </w:p>
    <w:p>
      <w:pPr>
        <w:pStyle w:val="Heading1"/>
      </w:pPr>
      <w:r>
        <w:t>附録の補足説明と中文对照</w:t>
      </w:r>
    </w:p>
    <w:p>
      <w:pPr>
        <w:widowControl/>
      </w:pPr>
      <w:r>
        <w:rPr>
          <w:rFonts w:ascii="Microsoft YaHei" w:hAnsi="Microsoft YaHei" w:eastAsia="Microsoft YaHei"/>
          <w:lang w:eastAsia="zh-CN"/>
        </w:rPr>
        <w:t>提问涉及对应页时使用，每段约20至35秒，不计入正文。</w:t>
      </w:r>
    </w:p>
    <w:p>
      <w:pPr>
        <w:pStyle w:val="Heading2"/>
      </w:pPr>
      <w:r>
        <w:t>PPT 26  サーベイの参考文献</w:t>
      </w:r>
    </w:p>
    <w:p>
      <w:pPr>
        <w:widowControl/>
      </w:pPr>
      <w:r>
        <w:rPr>
          <w:rFonts w:ascii="Meiryo" w:hAnsi="Meiryo" w:eastAsia="Meiryo"/>
          <w:lang w:eastAsia="ja-JP"/>
        </w:rPr>
        <w:t>こちらが分類の整理に用いた三編の参考文献です。S1は比較実験、S3は時系列外れ値検知全体、S6は深層多変量時系列異常検知という違いがあります。</w:t>
      </w:r>
    </w:p>
    <w:p>
      <w:pPr>
        <w:widowControl/>
      </w:pPr>
      <w:r>
        <w:rPr>
          <w:rFonts w:ascii="Microsoft YaHei" w:hAnsi="Microsoft YaHei" w:eastAsia="Microsoft YaHei"/>
          <w:lang w:eastAsia="zh-CN"/>
        </w:rPr>
        <w:t>这里是用于整理分类的三篇参考文献。S1侧重比较实验，S3覆盖时间序列离群检测整体，S6聚焦深度多变量时间序列异常检测。</w:t>
      </w:r>
    </w:p>
    <w:p>
      <w:pPr>
        <w:pStyle w:val="Heading2"/>
      </w:pPr>
      <w:r>
        <w:t>PPT 27  手法論文と調査資料</w:t>
      </w:r>
    </w:p>
    <w:p>
      <w:pPr>
        <w:widowControl/>
      </w:pPr>
      <w:r>
        <w:rPr>
          <w:rFonts w:ascii="Meiryo" w:hAnsi="Meiryo" w:eastAsia="Meiryo"/>
          <w:lang w:eastAsia="ja-JP"/>
        </w:rPr>
        <w:t>こちらが具体的手法と適用例の参考文献です。本文中の13と14は提供された論文の番号に対応します。実習の条件と論文で実証された範囲を区別して、今後の比較実験につなげます。</w:t>
      </w:r>
    </w:p>
    <w:p>
      <w:pPr>
        <w:widowControl/>
      </w:pPr>
      <w:r>
        <w:rPr>
          <w:rFonts w:ascii="Microsoft YaHei" w:hAnsi="Microsoft YaHei" w:eastAsia="Microsoft YaHei"/>
          <w:lang w:eastAsia="zh-CN"/>
        </w:rPr>
        <w:t>这里是具体方法和应用例的参考文献。正文中的13和14对应提供的论文编号。后续比较实验需要区分实习要求与论文已经验证的范围。</w:t>
      </w:r>
    </w:p>
    <w:p>
      <w:pPr>
        <w:pStyle w:val="Heading2"/>
      </w:pPr>
      <w:r>
        <w:t>発表で使う主な用語</w:t>
      </w:r>
    </w:p>
    <w:p>
      <w:pPr>
        <w:widowControl/>
      </w:pPr>
      <w:r>
        <w:rPr>
          <w:rFonts w:ascii="Meiryo" w:hAnsi="Meiryo" w:eastAsia="Meiryo"/>
          <w:lang w:eastAsia="ja-JP"/>
        </w:rPr>
        <w:t>学習外入力（がくしゅうがいにゅうりょく）　多変量（たへんりょう）　閾値（しきいち）　校正（こうせい）　再構成（さいこうせい）　近傍（きんぼう）　濁度（だくど）　誤警報（ごけいほう）</w:t>
      </w:r>
    </w:p>
    <w:p>
      <w:pPr>
        <w:widowControl/>
      </w:pPr>
      <w:r>
        <w:rPr>
          <w:rFonts w:ascii="Microsoft YaHei" w:hAnsi="Microsoft YaHei" w:eastAsia="Microsoft YaHei"/>
          <w:lang w:eastAsia="zh-CN"/>
        </w:rPr>
        <w:t>公式口述：L2ノルム＝エルツーノルム。X与Y读作エックス、ワイ。W = nG可说「出現回数と分布の広がりから計算した重み」。</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Meiryo" w:hAnsi="Meiryo" w:eastAsia="Meiry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Meiryo" w:hAnsi="Meiryo" w:eastAsia="Meiryo"/>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Meiryo" w:hAnsi="Meiryo" w:eastAsia="Meiryo"/>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Meiryo" w:hAnsi="Meiryo" w:eastAsia="Meiryo"/>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Meiryo" w:hAnsi="Meiryo" w:eastAsia="Meiryo"/>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多変量回帰モデルの学習外入力検知 日本語発表原稿と中文对照</dc:title>
  <dc:subject>PPT 詳細フロー改訂版03の逐頁発表原稿</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