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S8 文献調査報告</w:t>
      </w:r>
    </w:p>
    <w:p>
      <w:pPr>
        <w:jc w:val="center"/>
      </w:pPr>
      <w:r>
        <w:rPr>
          <w:b/>
          <w:sz w:val="20"/>
        </w:rPr>
        <w:t>Melo, Câmara &amp; Pinto (2024) — Data-Driven Process Monitoring and Fault Diagnosis: A Comprehensive Survey</w:t>
      </w:r>
    </w:p>
    <w:p/>
    <w:p>
      <w:pPr>
        <w:pStyle w:val="Heading1"/>
      </w:pPr>
      <w:r>
        <w:t>1. 文献情報</w:t>
      </w:r>
    </w:p>
    <w:tbl>
      <w:tblPr>
        <w:tblStyle w:val="TableGrid"/>
        <w:tblW w:type="auto" w:w="0"/>
        <w:jc w:val="center"/>
        <w:tblLook w:firstColumn="1" w:firstRow="1" w:lastColumn="0" w:lastRow="0" w:noHBand="0" w:noVBand="1" w:val="04A0"/>
      </w:tblPr>
      <w:tblGrid>
        <w:gridCol w:w="5185"/>
        <w:gridCol w:w="5185"/>
      </w:tblGrid>
      <w:tr>
        <w:tc>
          <w:tcPr>
            <w:tcW w:type="dxa" w:w="2268"/>
            <w:shd w:fill="D9EAF7"/>
            <w:vAlign w:val="center"/>
          </w:tcPr>
          <w:p>
            <w:pPr>
              <w:jc w:val="center"/>
            </w:pPr>
            <w:r>
              <w:rPr>
                <w:b/>
                <w:sz w:val="16"/>
              </w:rPr>
              <w:t>項目</w:t>
            </w:r>
          </w:p>
        </w:tc>
        <w:tc>
          <w:tcPr>
            <w:tcW w:type="dxa" w:w="7370"/>
            <w:shd w:fill="D9EAF7"/>
            <w:vAlign w:val="center"/>
          </w:tcPr>
          <w:p>
            <w:pPr>
              <w:jc w:val="center"/>
            </w:pPr>
            <w:r>
              <w:rPr>
                <w:b/>
                <w:sz w:val="16"/>
              </w:rPr>
              <w:t>内容</w:t>
            </w:r>
          </w:p>
        </w:tc>
      </w:tr>
      <w:tr>
        <w:tc>
          <w:tcPr>
            <w:tcW w:type="dxa" w:w="2268"/>
            <w:vAlign w:val="center"/>
            <w:tcMar>
              <w:top w:w="80" w:type="dxa"/>
              <w:start w:w="80" w:type="dxa"/>
              <w:bottom w:w="80" w:type="dxa"/>
              <w:end w:w="80" w:type="dxa"/>
            </w:tcMar>
          </w:tcPr>
          <w:p>
            <w:r>
              <w:rPr>
                <w:sz w:val="16"/>
              </w:rPr>
              <w:t>論文名</w:t>
            </w:r>
          </w:p>
        </w:tc>
        <w:tc>
          <w:tcPr>
            <w:tcW w:type="dxa" w:w="7370"/>
            <w:vAlign w:val="center"/>
            <w:tcMar>
              <w:top w:w="80" w:type="dxa"/>
              <w:start w:w="80" w:type="dxa"/>
              <w:bottom w:w="80" w:type="dxa"/>
              <w:end w:w="80" w:type="dxa"/>
            </w:tcMar>
          </w:tcPr>
          <w:p>
            <w:r>
              <w:rPr>
                <w:sz w:val="16"/>
              </w:rPr>
              <w:t>Data-Driven Process Monitoring and Fault Diagnosis: A Comprehensive Survey</w:t>
            </w:r>
          </w:p>
        </w:tc>
      </w:tr>
      <w:tr>
        <w:tc>
          <w:tcPr>
            <w:tcW w:type="dxa" w:w="2268"/>
            <w:vAlign w:val="center"/>
            <w:tcMar>
              <w:top w:w="80" w:type="dxa"/>
              <w:start w:w="80" w:type="dxa"/>
              <w:bottom w:w="80" w:type="dxa"/>
              <w:end w:w="80" w:type="dxa"/>
            </w:tcMar>
          </w:tcPr>
          <w:p>
            <w:r>
              <w:rPr>
                <w:sz w:val="16"/>
              </w:rPr>
              <w:t>著者</w:t>
            </w:r>
          </w:p>
        </w:tc>
        <w:tc>
          <w:tcPr>
            <w:tcW w:type="dxa" w:w="7370"/>
            <w:vAlign w:val="center"/>
            <w:tcMar>
              <w:top w:w="80" w:type="dxa"/>
              <w:start w:w="80" w:type="dxa"/>
              <w:bottom w:w="80" w:type="dxa"/>
              <w:end w:w="80" w:type="dxa"/>
            </w:tcMar>
          </w:tcPr>
          <w:p>
            <w:r>
              <w:rPr>
                <w:sz w:val="16"/>
              </w:rPr>
              <w:t>Afrânio Melo, Maurício Melo Câmara, José Carlos Pinto</w:t>
            </w:r>
          </w:p>
        </w:tc>
      </w:tr>
      <w:tr>
        <w:tc>
          <w:tcPr>
            <w:tcW w:type="dxa" w:w="2268"/>
            <w:vAlign w:val="center"/>
            <w:tcMar>
              <w:top w:w="80" w:type="dxa"/>
              <w:start w:w="80" w:type="dxa"/>
              <w:bottom w:w="80" w:type="dxa"/>
              <w:end w:w="80" w:type="dxa"/>
            </w:tcMar>
          </w:tcPr>
          <w:p>
            <w:r>
              <w:rPr>
                <w:sz w:val="16"/>
              </w:rPr>
              <w:t>発表年 / 掲載誌</w:t>
            </w:r>
          </w:p>
        </w:tc>
        <w:tc>
          <w:tcPr>
            <w:tcW w:type="dxa" w:w="7370"/>
            <w:vAlign w:val="center"/>
            <w:tcMar>
              <w:top w:w="80" w:type="dxa"/>
              <w:start w:w="80" w:type="dxa"/>
              <w:bottom w:w="80" w:type="dxa"/>
              <w:end w:w="80" w:type="dxa"/>
            </w:tcMar>
          </w:tcPr>
          <w:p>
            <w:r>
              <w:rPr>
                <w:sz w:val="16"/>
              </w:rPr>
              <w:t>2024 / Processes, Vol.12, 251</w:t>
            </w:r>
          </w:p>
        </w:tc>
      </w:tr>
      <w:tr>
        <w:tc>
          <w:tcPr>
            <w:tcW w:type="dxa" w:w="2268"/>
            <w:vAlign w:val="center"/>
            <w:tcMar>
              <w:top w:w="80" w:type="dxa"/>
              <w:start w:w="80" w:type="dxa"/>
              <w:bottom w:w="80" w:type="dxa"/>
              <w:end w:w="80" w:type="dxa"/>
            </w:tcMar>
          </w:tcPr>
          <w:p>
            <w:r>
              <w:rPr>
                <w:sz w:val="16"/>
              </w:rPr>
              <w:t>位置づけ</w:t>
            </w:r>
          </w:p>
        </w:tc>
        <w:tc>
          <w:tcPr>
            <w:tcW w:type="dxa" w:w="7370"/>
            <w:vAlign w:val="center"/>
            <w:tcMar>
              <w:top w:w="80" w:type="dxa"/>
              <w:start w:w="80" w:type="dxa"/>
              <w:bottom w:w="80" w:type="dxa"/>
              <w:end w:w="80" w:type="dxa"/>
            </w:tcMar>
          </w:tcPr>
          <w:p>
            <w:r>
              <w:rPr>
                <w:sz w:val="16"/>
              </w:rPr>
              <w:t>データ駆動型プロセス監視・故障検知/診断に関する包括的レビュー</w:t>
            </w:r>
          </w:p>
        </w:tc>
      </w:tr>
      <w:tr>
        <w:tc>
          <w:tcPr>
            <w:tcW w:type="dxa" w:w="2268"/>
            <w:vAlign w:val="center"/>
            <w:tcMar>
              <w:top w:w="80" w:type="dxa"/>
              <w:start w:w="80" w:type="dxa"/>
              <w:bottom w:w="80" w:type="dxa"/>
              <w:end w:w="80" w:type="dxa"/>
            </w:tcMar>
          </w:tcPr>
          <w:p>
            <w:r>
              <w:rPr>
                <w:sz w:val="16"/>
              </w:rPr>
              <w:t>本調査との関連</w:t>
            </w:r>
          </w:p>
        </w:tc>
        <w:tc>
          <w:tcPr>
            <w:tcW w:type="dxa" w:w="7370"/>
            <w:vAlign w:val="center"/>
            <w:tcMar>
              <w:top w:w="80" w:type="dxa"/>
              <w:start w:w="80" w:type="dxa"/>
              <w:bottom w:w="80" w:type="dxa"/>
              <w:end w:w="80" w:type="dxa"/>
            </w:tcMar>
          </w:tcPr>
          <w:p>
            <w:r>
              <w:rPr>
                <w:sz w:val="16"/>
              </w:rPr>
              <w:t>正常運転データから基準モデルを構築し、新規の多変量入力がその構造から逸脱するかを検知する手法が多数整理されており、学習外入力検知と非常に近い。</w:t>
            </w:r>
          </w:p>
        </w:tc>
      </w:tr>
    </w:tbl>
    <w:p/>
    <w:p>
      <w:pPr>
        <w:pStyle w:val="Heading1"/>
      </w:pPr>
      <w:r>
        <w:t>2. 本論文における「学習外」の捉え方</w:t>
      </w:r>
    </w:p>
    <w:p>
      <w:r>
        <w:t>本論文は OOD（Out-of-Distribution）という用語を中心には用いておらず、主に normal operation、abnormal state、fault、process drift というプロセス監視の用語で議論している。そのため、fault detection と OOD detection を完全に同一視することはできない。一方、正常運転時の入力 X のみから正常領域・正常構造を学習し、新規入力がそこから逸脱するかを判定する手法は、本調査の「学習外入力データ検知」と計算上ほぼ同じ枠組みで利用できる。</w:t>
      </w:r>
    </w:p>
    <w:tbl>
      <w:tblPr>
        <w:tblStyle w:val="TableGrid"/>
        <w:tblW w:type="auto" w:w="0"/>
        <w:jc w:val="center"/>
        <w:tblLook w:firstColumn="1" w:firstRow="1" w:lastColumn="0" w:lastRow="0" w:noHBand="0" w:noVBand="1" w:val="04A0"/>
      </w:tblPr>
      <w:tblGrid>
        <w:gridCol w:w="3457"/>
        <w:gridCol w:w="3457"/>
        <w:gridCol w:w="3457"/>
      </w:tblGrid>
      <w:tr>
        <w:tc>
          <w:tcPr>
            <w:tcW w:type="dxa" w:w="2268"/>
            <w:shd w:fill="D9EAF7"/>
            <w:vAlign w:val="center"/>
          </w:tcPr>
          <w:p>
            <w:pPr>
              <w:jc w:val="center"/>
            </w:pPr>
            <w:r>
              <w:rPr>
                <w:b/>
                <w:sz w:val="16"/>
              </w:rPr>
              <w:t>分類</w:t>
            </w:r>
          </w:p>
        </w:tc>
        <w:tc>
          <w:tcPr>
            <w:tcW w:type="dxa" w:w="3402"/>
            <w:shd w:fill="D9EAF7"/>
            <w:vAlign w:val="center"/>
          </w:tcPr>
          <w:p>
            <w:pPr>
              <w:jc w:val="center"/>
            </w:pPr>
            <w:r>
              <w:rPr>
                <w:b/>
                <w:sz w:val="16"/>
              </w:rPr>
              <w:t>本論文で対応する考え方</w:t>
            </w:r>
          </w:p>
        </w:tc>
        <w:tc>
          <w:tcPr>
            <w:tcW w:type="dxa" w:w="4535"/>
            <w:shd w:fill="D9EAF7"/>
            <w:vAlign w:val="center"/>
          </w:tcPr>
          <w:p>
            <w:pPr>
              <w:jc w:val="center"/>
            </w:pPr>
            <w:r>
              <w:rPr>
                <w:b/>
                <w:sz w:val="16"/>
              </w:rPr>
              <w:t>本課題での解釈</w:t>
            </w:r>
          </w:p>
        </w:tc>
      </w:tr>
      <w:tr>
        <w:tc>
          <w:tcPr>
            <w:tcW w:type="dxa" w:w="2268"/>
            <w:vAlign w:val="center"/>
            <w:tcMar>
              <w:top w:w="80" w:type="dxa"/>
              <w:start w:w="80" w:type="dxa"/>
              <w:bottom w:w="80" w:type="dxa"/>
              <w:end w:w="80" w:type="dxa"/>
            </w:tcMar>
          </w:tcPr>
          <w:p>
            <w:r>
              <w:rPr>
                <w:sz w:val="16"/>
              </w:rPr>
              <w:t>入力範囲外</w:t>
            </w:r>
          </w:p>
        </w:tc>
        <w:tc>
          <w:tcPr>
            <w:tcW w:type="dxa" w:w="3402"/>
            <w:vAlign w:val="center"/>
            <w:tcMar>
              <w:top w:w="80" w:type="dxa"/>
              <w:start w:w="80" w:type="dxa"/>
              <w:bottom w:w="80" w:type="dxa"/>
              <w:end w:w="80" w:type="dxa"/>
            </w:tcMar>
          </w:tcPr>
          <w:p>
            <w:r>
              <w:rPr>
                <w:sz w:val="16"/>
              </w:rPr>
              <w:t>正常領域・信頼領域からの逸脱</w:t>
            </w:r>
          </w:p>
        </w:tc>
        <w:tc>
          <w:tcPr>
            <w:tcW w:type="dxa" w:w="4535"/>
            <w:vAlign w:val="center"/>
            <w:tcMar>
              <w:top w:w="80" w:type="dxa"/>
              <w:start w:w="80" w:type="dxa"/>
              <w:bottom w:w="80" w:type="dxa"/>
              <w:end w:w="80" w:type="dxa"/>
            </w:tcMar>
          </w:tcPr>
          <w:p>
            <w:r>
              <w:rPr>
                <w:sz w:val="16"/>
              </w:rPr>
              <w:t>単純な範囲外だけでなく多変量空間上の領域外を含む</w:t>
            </w:r>
          </w:p>
        </w:tc>
      </w:tr>
      <w:tr>
        <w:tc>
          <w:tcPr>
            <w:tcW w:type="dxa" w:w="2268"/>
            <w:vAlign w:val="center"/>
            <w:tcMar>
              <w:top w:w="80" w:type="dxa"/>
              <w:start w:w="80" w:type="dxa"/>
              <w:bottom w:w="80" w:type="dxa"/>
              <w:end w:w="80" w:type="dxa"/>
            </w:tcMar>
          </w:tcPr>
          <w:p>
            <w:r>
              <w:rPr>
                <w:sz w:val="16"/>
              </w:rPr>
              <w:t>低密度領域</w:t>
            </w:r>
          </w:p>
        </w:tc>
        <w:tc>
          <w:tcPr>
            <w:tcW w:type="dxa" w:w="3402"/>
            <w:vAlign w:val="center"/>
            <w:tcMar>
              <w:top w:w="80" w:type="dxa"/>
              <w:start w:w="80" w:type="dxa"/>
              <w:bottom w:w="80" w:type="dxa"/>
              <w:end w:w="80" w:type="dxa"/>
            </w:tcMar>
          </w:tcPr>
          <w:p>
            <w:r>
              <w:rPr>
                <w:sz w:val="16"/>
              </w:rPr>
              <w:t>k-NN、SVDD/1C-SVM、density/typicality 等</w:t>
            </w:r>
          </w:p>
        </w:tc>
        <w:tc>
          <w:tcPr>
            <w:tcW w:type="dxa" w:w="4535"/>
            <w:vAlign w:val="center"/>
            <w:tcMar>
              <w:top w:w="80" w:type="dxa"/>
              <w:start w:w="80" w:type="dxa"/>
              <w:bottom w:w="80" w:type="dxa"/>
              <w:end w:w="80" w:type="dxa"/>
            </w:tcMar>
          </w:tcPr>
          <w:p>
            <w:r>
              <w:rPr>
                <w:sz w:val="16"/>
              </w:rPr>
              <w:t>正常履歴から離れた入力、または支持領域外</w:t>
            </w:r>
          </w:p>
        </w:tc>
      </w:tr>
      <w:tr>
        <w:tc>
          <w:tcPr>
            <w:tcW w:type="dxa" w:w="2268"/>
            <w:vAlign w:val="center"/>
            <w:tcMar>
              <w:top w:w="80" w:type="dxa"/>
              <w:start w:w="80" w:type="dxa"/>
              <w:bottom w:w="80" w:type="dxa"/>
              <w:end w:w="80" w:type="dxa"/>
            </w:tcMar>
          </w:tcPr>
          <w:p>
            <w:r>
              <w:rPr>
                <w:sz w:val="16"/>
              </w:rPr>
              <w:t>未知の項目間関係</w:t>
            </w:r>
          </w:p>
        </w:tc>
        <w:tc>
          <w:tcPr>
            <w:tcW w:type="dxa" w:w="3402"/>
            <w:vAlign w:val="center"/>
            <w:tcMar>
              <w:top w:w="80" w:type="dxa"/>
              <w:start w:w="80" w:type="dxa"/>
              <w:bottom w:w="80" w:type="dxa"/>
              <w:end w:w="80" w:type="dxa"/>
            </w:tcMar>
          </w:tcPr>
          <w:p>
            <w:r>
              <w:rPr>
                <w:sz w:val="16"/>
              </w:rPr>
              <w:t>PCA の Q(SPE)、潜在変数モデル</w:t>
            </w:r>
          </w:p>
        </w:tc>
        <w:tc>
          <w:tcPr>
            <w:tcW w:type="dxa" w:w="4535"/>
            <w:vAlign w:val="center"/>
            <w:tcMar>
              <w:top w:w="80" w:type="dxa"/>
              <w:start w:w="80" w:type="dxa"/>
              <w:bottom w:w="80" w:type="dxa"/>
              <w:end w:w="80" w:type="dxa"/>
            </w:tcMar>
          </w:tcPr>
          <w:p>
            <w:r>
              <w:rPr>
                <w:sz w:val="16"/>
              </w:rPr>
              <w:t>各変数は範囲内でも、相関構造が崩れた入力を検知可能</w:t>
            </w:r>
          </w:p>
        </w:tc>
      </w:tr>
      <w:tr>
        <w:tc>
          <w:tcPr>
            <w:tcW w:type="dxa" w:w="2268"/>
            <w:vAlign w:val="center"/>
            <w:tcMar>
              <w:top w:w="80" w:type="dxa"/>
              <w:start w:w="80" w:type="dxa"/>
              <w:bottom w:w="80" w:type="dxa"/>
              <w:end w:w="80" w:type="dxa"/>
            </w:tcMar>
          </w:tcPr>
          <w:p>
            <w:r>
              <w:rPr>
                <w:sz w:val="16"/>
              </w:rPr>
              <w:t>時間関係の変化</w:t>
            </w:r>
          </w:p>
        </w:tc>
        <w:tc>
          <w:tcPr>
            <w:tcW w:type="dxa" w:w="3402"/>
            <w:vAlign w:val="center"/>
            <w:tcMar>
              <w:top w:w="80" w:type="dxa"/>
              <w:start w:w="80" w:type="dxa"/>
              <w:bottom w:w="80" w:type="dxa"/>
              <w:end w:w="80" w:type="dxa"/>
            </w:tcMar>
          </w:tcPr>
          <w:p>
            <w:r>
              <w:rPr>
                <w:sz w:val="16"/>
              </w:rPr>
              <w:t>DiPCA、lag、DTW、RNN 等</w:t>
            </w:r>
          </w:p>
        </w:tc>
        <w:tc>
          <w:tcPr>
            <w:tcW w:type="dxa" w:w="4535"/>
            <w:vAlign w:val="center"/>
            <w:tcMar>
              <w:top w:w="80" w:type="dxa"/>
              <w:start w:w="80" w:type="dxa"/>
              <w:bottom w:w="80" w:type="dxa"/>
              <w:end w:w="80" w:type="dxa"/>
            </w:tcMar>
          </w:tcPr>
          <w:p>
            <w:r>
              <w:rPr>
                <w:sz w:val="16"/>
              </w:rPr>
              <w:t>過去との時間依存・遅れ関係が学習時と異なる</w:t>
            </w:r>
          </w:p>
        </w:tc>
      </w:tr>
      <w:tr>
        <w:tc>
          <w:tcPr>
            <w:tcW w:type="dxa" w:w="2268"/>
            <w:vAlign w:val="center"/>
            <w:tcMar>
              <w:top w:w="80" w:type="dxa"/>
              <w:start w:w="80" w:type="dxa"/>
              <w:bottom w:w="80" w:type="dxa"/>
              <w:end w:w="80" w:type="dxa"/>
            </w:tcMar>
          </w:tcPr>
          <w:p>
            <w:r>
              <w:rPr>
                <w:sz w:val="16"/>
              </w:rPr>
              <w:t>分布変化・ドリフト</w:t>
            </w:r>
          </w:p>
        </w:tc>
        <w:tc>
          <w:tcPr>
            <w:tcW w:type="dxa" w:w="3402"/>
            <w:vAlign w:val="center"/>
            <w:tcMar>
              <w:top w:w="80" w:type="dxa"/>
              <w:start w:w="80" w:type="dxa"/>
              <w:bottom w:w="80" w:type="dxa"/>
              <w:end w:w="80" w:type="dxa"/>
            </w:tcMar>
          </w:tcPr>
          <w:p>
            <w:r>
              <w:rPr>
                <w:sz w:val="16"/>
              </w:rPr>
              <w:t>RPCA、MW-PCA、EWMA-PCA、adaptive SVDD</w:t>
            </w:r>
          </w:p>
        </w:tc>
        <w:tc>
          <w:tcPr>
            <w:tcW w:type="dxa" w:w="4535"/>
            <w:vAlign w:val="center"/>
            <w:tcMar>
              <w:top w:w="80" w:type="dxa"/>
              <w:start w:w="80" w:type="dxa"/>
              <w:bottom w:w="80" w:type="dxa"/>
              <w:end w:w="80" w:type="dxa"/>
            </w:tcMar>
          </w:tcPr>
          <w:p>
            <w:r>
              <w:rPr>
                <w:sz w:val="16"/>
              </w:rPr>
              <w:t>平均・分散・相関・運転点が時間とともに変化</w:t>
            </w:r>
          </w:p>
        </w:tc>
      </w:tr>
    </w:tbl>
    <w:p/>
    <w:p>
      <w:pPr>
        <w:pStyle w:val="Heading1"/>
      </w:pPr>
      <w:r>
        <w:t>3. 学習外入力検知手法としての優先度</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34"/>
            <w:shd w:fill="D9EAF7"/>
            <w:vAlign w:val="center"/>
          </w:tcPr>
          <w:p>
            <w:pPr>
              <w:jc w:val="center"/>
            </w:pPr>
            <w:r>
              <w:rPr>
                <w:b/>
                <w:sz w:val="14"/>
              </w:rPr>
              <w:t>優先度</w:t>
            </w:r>
          </w:p>
        </w:tc>
        <w:tc>
          <w:tcPr>
            <w:tcW w:type="dxa" w:w="1871"/>
            <w:shd w:fill="D9EAF7"/>
            <w:vAlign w:val="center"/>
          </w:tcPr>
          <w:p>
            <w:pPr>
              <w:jc w:val="center"/>
            </w:pPr>
            <w:r>
              <w:rPr>
                <w:b/>
                <w:sz w:val="14"/>
              </w:rPr>
              <w:t>手法</w:t>
            </w:r>
          </w:p>
        </w:tc>
        <w:tc>
          <w:tcPr>
            <w:tcW w:type="dxa" w:w="2835"/>
            <w:shd w:fill="D9EAF7"/>
            <w:vAlign w:val="center"/>
          </w:tcPr>
          <w:p>
            <w:pPr>
              <w:jc w:val="center"/>
            </w:pPr>
            <w:r>
              <w:rPr>
                <w:b/>
                <w:sz w:val="14"/>
              </w:rPr>
              <w:t>検知原理</w:t>
            </w:r>
          </w:p>
        </w:tc>
        <w:tc>
          <w:tcPr>
            <w:tcW w:type="dxa" w:w="4535"/>
            <w:shd w:fill="D9EAF7"/>
            <w:vAlign w:val="center"/>
          </w:tcPr>
          <w:p>
            <w:pPr>
              <w:jc w:val="center"/>
            </w:pPr>
            <w:r>
              <w:rPr>
                <w:b/>
                <w:sz w:val="14"/>
              </w:rPr>
              <w:t>本課題への適合性</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PCA + Q(SPE) / T²</w:t>
            </w:r>
          </w:p>
        </w:tc>
        <w:tc>
          <w:tcPr>
            <w:tcW w:type="dxa" w:w="2835"/>
            <w:vAlign w:val="center"/>
            <w:tcMar>
              <w:top w:w="80" w:type="dxa"/>
              <w:start w:w="80" w:type="dxa"/>
              <w:bottom w:w="80" w:type="dxa"/>
              <w:end w:w="80" w:type="dxa"/>
            </w:tcMar>
          </w:tcPr>
          <w:p>
            <w:r>
              <w:rPr>
                <w:sz w:val="14"/>
              </w:rPr>
              <w:t>正常データの主部分空間を学習し、新規入力の主空間内距離と残差を監視</w:t>
            </w:r>
          </w:p>
        </w:tc>
        <w:tc>
          <w:tcPr>
            <w:tcW w:type="dxa" w:w="4535"/>
            <w:vAlign w:val="center"/>
            <w:tcMar>
              <w:top w:w="80" w:type="dxa"/>
              <w:start w:w="80" w:type="dxa"/>
              <w:bottom w:w="80" w:type="dxa"/>
              <w:end w:w="80" w:type="dxa"/>
            </w:tcMar>
          </w:tcPr>
          <w:p>
            <w:r>
              <w:rPr>
                <w:sz w:val="14"/>
              </w:rPr>
              <w:t>Q は変数間相関の崩れを捉えられ、流量・圧力・濁度・薬注率等の未知組合せ検知に有効</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SVDD / One-Class SVM</w:t>
            </w:r>
          </w:p>
        </w:tc>
        <w:tc>
          <w:tcPr>
            <w:tcW w:type="dxa" w:w="2835"/>
            <w:vAlign w:val="center"/>
            <w:tcMar>
              <w:top w:w="80" w:type="dxa"/>
              <w:start w:w="80" w:type="dxa"/>
              <w:bottom w:w="80" w:type="dxa"/>
              <w:end w:w="80" w:type="dxa"/>
            </w:tcMar>
          </w:tcPr>
          <w:p>
            <w:r>
              <w:rPr>
                <w:sz w:val="14"/>
              </w:rPr>
              <w:t>正常データの支持領域・境界を学習し、領域外を異常と判定</w:t>
            </w:r>
          </w:p>
        </w:tc>
        <w:tc>
          <w:tcPr>
            <w:tcW w:type="dxa" w:w="4535"/>
            <w:vAlign w:val="center"/>
            <w:tcMar>
              <w:top w:w="80" w:type="dxa"/>
              <w:start w:w="80" w:type="dxa"/>
              <w:bottom w:w="80" w:type="dxa"/>
              <w:end w:w="80" w:type="dxa"/>
            </w:tcMar>
          </w:tcPr>
          <w:p>
            <w:r>
              <w:rPr>
                <w:sz w:val="14"/>
              </w:rPr>
              <w:t>回帰モデルから独立した前段検知器として実装しやすい</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DiPCA / Dynamic PCA</w:t>
            </w:r>
          </w:p>
        </w:tc>
        <w:tc>
          <w:tcPr>
            <w:tcW w:type="dxa" w:w="2835"/>
            <w:vAlign w:val="center"/>
            <w:tcMar>
              <w:top w:w="80" w:type="dxa"/>
              <w:start w:w="80" w:type="dxa"/>
              <w:bottom w:w="80" w:type="dxa"/>
              <w:end w:w="80" w:type="dxa"/>
            </w:tcMar>
          </w:tcPr>
          <w:p>
            <w:r>
              <w:rPr>
                <w:sz w:val="14"/>
              </w:rPr>
              <w:t>時間依存・自己相関を含む正常ダイナミクスをモデル化</w:t>
            </w:r>
          </w:p>
        </w:tc>
        <w:tc>
          <w:tcPr>
            <w:tcW w:type="dxa" w:w="4535"/>
            <w:vAlign w:val="center"/>
            <w:tcMar>
              <w:top w:w="80" w:type="dxa"/>
              <w:start w:w="80" w:type="dxa"/>
              <w:bottom w:w="80" w:type="dxa"/>
              <w:end w:w="80" w:type="dxa"/>
            </w:tcMar>
          </w:tcPr>
          <w:p>
            <w:r>
              <w:rPr>
                <w:sz w:val="14"/>
              </w:rPr>
              <w:t>多変量時系列入力という本課題の条件に特に適合</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RPCA / MW-PCA / EWMA-PCA</w:t>
            </w:r>
          </w:p>
        </w:tc>
        <w:tc>
          <w:tcPr>
            <w:tcW w:type="dxa" w:w="2835"/>
            <w:vAlign w:val="center"/>
            <w:tcMar>
              <w:top w:w="80" w:type="dxa"/>
              <w:start w:w="80" w:type="dxa"/>
              <w:bottom w:w="80" w:type="dxa"/>
              <w:end w:w="80" w:type="dxa"/>
            </w:tcMar>
          </w:tcPr>
          <w:p>
            <w:r>
              <w:rPr>
                <w:sz w:val="14"/>
              </w:rPr>
              <w:t>正常モデルを逐次・窓・指数重みで更新</w:t>
            </w:r>
          </w:p>
        </w:tc>
        <w:tc>
          <w:tcPr>
            <w:tcW w:type="dxa" w:w="4535"/>
            <w:vAlign w:val="center"/>
            <w:tcMar>
              <w:top w:w="80" w:type="dxa"/>
              <w:start w:w="80" w:type="dxa"/>
              <w:bottom w:w="80" w:type="dxa"/>
              <w:end w:w="80" w:type="dxa"/>
            </w:tcMar>
          </w:tcPr>
          <w:p>
            <w:r>
              <w:rPr>
                <w:sz w:val="14"/>
              </w:rPr>
              <w:t>季節変動、運転点変更、設備劣化等への対応候補</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Autoencoder</w:t>
            </w:r>
          </w:p>
        </w:tc>
        <w:tc>
          <w:tcPr>
            <w:tcW w:type="dxa" w:w="2835"/>
            <w:vAlign w:val="center"/>
            <w:tcMar>
              <w:top w:w="80" w:type="dxa"/>
              <w:start w:w="80" w:type="dxa"/>
              <w:bottom w:w="80" w:type="dxa"/>
              <w:end w:w="80" w:type="dxa"/>
            </w:tcMar>
          </w:tcPr>
          <w:p>
            <w:r>
              <w:rPr>
                <w:sz w:val="14"/>
              </w:rPr>
              <w:t>正常データを再構成し、再構成誤差を異常度として利用</w:t>
            </w:r>
          </w:p>
        </w:tc>
        <w:tc>
          <w:tcPr>
            <w:tcW w:type="dxa" w:w="4535"/>
            <w:vAlign w:val="center"/>
            <w:tcMar>
              <w:top w:w="80" w:type="dxa"/>
              <w:start w:w="80" w:type="dxa"/>
              <w:bottom w:w="80" w:type="dxa"/>
              <w:end w:w="80" w:type="dxa"/>
            </w:tcMar>
          </w:tcPr>
          <w:p>
            <w:r>
              <w:rPr>
                <w:sz w:val="14"/>
              </w:rPr>
              <w:t>非線形な変数関係に有効。系列 AE なら時間関係も扱える</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k-NN / 距離ベース</w:t>
            </w:r>
          </w:p>
        </w:tc>
        <w:tc>
          <w:tcPr>
            <w:tcW w:type="dxa" w:w="2835"/>
            <w:vAlign w:val="center"/>
            <w:tcMar>
              <w:top w:w="80" w:type="dxa"/>
              <w:start w:w="80" w:type="dxa"/>
              <w:bottom w:w="80" w:type="dxa"/>
              <w:end w:w="80" w:type="dxa"/>
            </w:tcMar>
          </w:tcPr>
          <w:p>
            <w:r>
              <w:rPr>
                <w:sz w:val="14"/>
              </w:rPr>
              <w:t>正常履歴との近傍距離を利用</w:t>
            </w:r>
          </w:p>
        </w:tc>
        <w:tc>
          <w:tcPr>
            <w:tcW w:type="dxa" w:w="4535"/>
            <w:vAlign w:val="center"/>
            <w:tcMar>
              <w:top w:w="80" w:type="dxa"/>
              <w:start w:w="80" w:type="dxa"/>
              <w:bottom w:w="80" w:type="dxa"/>
              <w:end w:w="80" w:type="dxa"/>
            </w:tcMar>
          </w:tcPr>
          <w:p>
            <w:r>
              <w:rPr>
                <w:sz w:val="14"/>
              </w:rPr>
              <w:t>簡単なベースラインとして有用。DTW と組み合わせれば系列形状も比較可能</w:t>
            </w:r>
          </w:p>
        </w:tc>
      </w:tr>
      <w:tr>
        <w:tc>
          <w:tcPr>
            <w:tcW w:type="dxa" w:w="1134"/>
            <w:vAlign w:val="center"/>
            <w:tcMar>
              <w:top w:w="80" w:type="dxa"/>
              <w:start w:w="80" w:type="dxa"/>
              <w:bottom w:w="80" w:type="dxa"/>
              <w:end w:w="80" w:type="dxa"/>
            </w:tcMar>
          </w:tcPr>
          <w:p>
            <w:r>
              <w:rPr>
                <w:sz w:val="14"/>
              </w:rPr>
              <w:t>★★★☆☆</w:t>
            </w:r>
          </w:p>
        </w:tc>
        <w:tc>
          <w:tcPr>
            <w:tcW w:type="dxa" w:w="1871"/>
            <w:vAlign w:val="center"/>
            <w:tcMar>
              <w:top w:w="80" w:type="dxa"/>
              <w:start w:w="80" w:type="dxa"/>
              <w:bottom w:w="80" w:type="dxa"/>
              <w:end w:w="80" w:type="dxa"/>
            </w:tcMar>
          </w:tcPr>
          <w:p>
            <w:r>
              <w:rPr>
                <w:sz w:val="14"/>
              </w:rPr>
              <w:t>KPCA</w:t>
            </w:r>
          </w:p>
        </w:tc>
        <w:tc>
          <w:tcPr>
            <w:tcW w:type="dxa" w:w="2835"/>
            <w:vAlign w:val="center"/>
            <w:tcMar>
              <w:top w:w="80" w:type="dxa"/>
              <w:start w:w="80" w:type="dxa"/>
              <w:bottom w:w="80" w:type="dxa"/>
              <w:end w:w="80" w:type="dxa"/>
            </w:tcMar>
          </w:tcPr>
          <w:p>
            <w:r>
              <w:rPr>
                <w:sz w:val="14"/>
              </w:rPr>
              <w:t>カーネルで非線形空間に写像して PCA 監視</w:t>
            </w:r>
          </w:p>
        </w:tc>
        <w:tc>
          <w:tcPr>
            <w:tcW w:type="dxa" w:w="4535"/>
            <w:vAlign w:val="center"/>
            <w:tcMar>
              <w:top w:w="80" w:type="dxa"/>
              <w:start w:w="80" w:type="dxa"/>
              <w:bottom w:w="80" w:type="dxa"/>
              <w:end w:w="80" w:type="dxa"/>
            </w:tcMar>
          </w:tcPr>
          <w:p>
            <w:r>
              <w:rPr>
                <w:sz w:val="14"/>
              </w:rPr>
              <w:t>通常 PCA で不足する非線形性への拡張</w:t>
            </w:r>
          </w:p>
        </w:tc>
      </w:tr>
    </w:tbl>
    <w:p/>
    <w:p>
      <w:pPr>
        <w:pStyle w:val="Heading1"/>
      </w:pPr>
      <w:r>
        <w:t>4. PCA による検知：本課題で最も重要なポイント</w:t>
      </w:r>
    </w:p>
    <w:p>
      <w:r>
        <w:t>PCA 監視では、正常運転期間のデータから主部分空間を構築し、新規観測 x に対して T² と Q を計算する。T² は学習済みの主要変動方向における大きさを表し、Q（SPE）は PCA モデルで説明できない残差空間の大きさを表す。</w:t>
      </w:r>
    </w:p>
    <w:tbl>
      <w:tblPr>
        <w:tblStyle w:val="TableGrid"/>
        <w:tblW w:type="auto" w:w="0"/>
        <w:jc w:val="center"/>
        <w:tblLook w:firstColumn="1" w:firstRow="1" w:lastColumn="0" w:lastRow="0" w:noHBand="0" w:noVBand="1" w:val="04A0"/>
      </w:tblPr>
      <w:tblGrid>
        <w:gridCol w:w="3457"/>
        <w:gridCol w:w="3457"/>
        <w:gridCol w:w="3457"/>
      </w:tblGrid>
      <w:tr>
        <w:tc>
          <w:tcPr>
            <w:tcW w:type="dxa" w:w="1701"/>
            <w:shd w:fill="D9EAF7"/>
            <w:vAlign w:val="center"/>
          </w:tcPr>
          <w:p>
            <w:pPr>
              <w:jc w:val="center"/>
            </w:pPr>
            <w:r>
              <w:rPr>
                <w:b/>
                <w:sz w:val="16"/>
              </w:rPr>
              <w:t>指標</w:t>
            </w:r>
          </w:p>
        </w:tc>
        <w:tc>
          <w:tcPr>
            <w:tcW w:type="dxa" w:w="3402"/>
            <w:shd w:fill="D9EAF7"/>
            <w:vAlign w:val="center"/>
          </w:tcPr>
          <w:p>
            <w:pPr>
              <w:jc w:val="center"/>
            </w:pPr>
            <w:r>
              <w:rPr>
                <w:b/>
                <w:sz w:val="16"/>
              </w:rPr>
              <w:t>意味</w:t>
            </w:r>
          </w:p>
        </w:tc>
        <w:tc>
          <w:tcPr>
            <w:tcW w:type="dxa" w:w="5102"/>
            <w:shd w:fill="D9EAF7"/>
            <w:vAlign w:val="center"/>
          </w:tcPr>
          <w:p>
            <w:pPr>
              <w:jc w:val="center"/>
            </w:pPr>
            <w:r>
              <w:rPr>
                <w:b/>
                <w:sz w:val="16"/>
              </w:rPr>
              <w:t>本課題での解釈</w:t>
            </w:r>
          </w:p>
        </w:tc>
      </w:tr>
      <w:tr>
        <w:tc>
          <w:tcPr>
            <w:tcW w:type="dxa" w:w="1701"/>
            <w:vAlign w:val="center"/>
            <w:tcMar>
              <w:top w:w="80" w:type="dxa"/>
              <w:start w:w="80" w:type="dxa"/>
              <w:bottom w:w="80" w:type="dxa"/>
              <w:end w:w="80" w:type="dxa"/>
            </w:tcMar>
          </w:tcPr>
          <w:p>
            <w:r>
              <w:rPr>
                <w:sz w:val="16"/>
              </w:rPr>
              <w:t>T²</w:t>
            </w:r>
          </w:p>
        </w:tc>
        <w:tc>
          <w:tcPr>
            <w:tcW w:type="dxa" w:w="3402"/>
            <w:vAlign w:val="center"/>
            <w:tcMar>
              <w:top w:w="80" w:type="dxa"/>
              <w:start w:w="80" w:type="dxa"/>
              <w:bottom w:w="80" w:type="dxa"/>
              <w:end w:w="80" w:type="dxa"/>
            </w:tcMar>
          </w:tcPr>
          <w:p>
            <w:r>
              <w:rPr>
                <w:sz w:val="16"/>
              </w:rPr>
              <w:t>主部分空間内での異常な大きさ</w:t>
            </w:r>
          </w:p>
        </w:tc>
        <w:tc>
          <w:tcPr>
            <w:tcW w:type="dxa" w:w="5102"/>
            <w:vAlign w:val="center"/>
            <w:tcMar>
              <w:top w:w="80" w:type="dxa"/>
              <w:start w:w="80" w:type="dxa"/>
              <w:bottom w:w="80" w:type="dxa"/>
              <w:end w:w="80" w:type="dxa"/>
            </w:tcMar>
          </w:tcPr>
          <w:p>
            <w:r>
              <w:rPr>
                <w:sz w:val="16"/>
              </w:rPr>
              <w:t>既知の変動方向ではあるが、通常より極端な入力</w:t>
            </w:r>
          </w:p>
        </w:tc>
      </w:tr>
      <w:tr>
        <w:tc>
          <w:tcPr>
            <w:tcW w:type="dxa" w:w="1701"/>
            <w:vAlign w:val="center"/>
            <w:tcMar>
              <w:top w:w="80" w:type="dxa"/>
              <w:start w:w="80" w:type="dxa"/>
              <w:bottom w:w="80" w:type="dxa"/>
              <w:end w:w="80" w:type="dxa"/>
            </w:tcMar>
          </w:tcPr>
          <w:p>
            <w:r>
              <w:rPr>
                <w:sz w:val="16"/>
              </w:rPr>
              <w:t>Q / SPE</w:t>
            </w:r>
          </w:p>
        </w:tc>
        <w:tc>
          <w:tcPr>
            <w:tcW w:type="dxa" w:w="3402"/>
            <w:vAlign w:val="center"/>
            <w:tcMar>
              <w:top w:w="80" w:type="dxa"/>
              <w:start w:w="80" w:type="dxa"/>
              <w:bottom w:w="80" w:type="dxa"/>
              <w:end w:w="80" w:type="dxa"/>
            </w:tcMar>
          </w:tcPr>
          <w:p>
            <w:r>
              <w:rPr>
                <w:sz w:val="16"/>
              </w:rPr>
              <w:t>主部分空間で説明できない変動</w:t>
            </w:r>
          </w:p>
        </w:tc>
        <w:tc>
          <w:tcPr>
            <w:tcW w:type="dxa" w:w="5102"/>
            <w:vAlign w:val="center"/>
            <w:tcMar>
              <w:top w:w="80" w:type="dxa"/>
              <w:start w:w="80" w:type="dxa"/>
              <w:bottom w:w="80" w:type="dxa"/>
              <w:end w:w="80" w:type="dxa"/>
            </w:tcMar>
          </w:tcPr>
          <w:p>
            <w:r>
              <w:rPr>
                <w:sz w:val="16"/>
              </w:rPr>
              <w:t>学習時の変数間関係・相関構造から外れた新しい組合せ</w:t>
            </w:r>
          </w:p>
        </w:tc>
      </w:tr>
    </w:tbl>
    <w:p/>
    <w:p>
      <w:r>
        <w:t>特に Q は本調査の要求に合う。例えば流量と圧力がそれぞれ単独では学習時の min–max 範囲内であっても、その組合せが過去の相関構造から外れていれば Q が増加し得る。したがって「各項目は範囲内だが、項目間関係が未学習」というケースを扱える。</w:t>
      </w:r>
    </w:p>
    <w:p>
      <w:pPr>
        <w:pStyle w:val="Heading1"/>
      </w:pPr>
      <w:r>
        <w:t>5. 時系列性を考慮する場合</w:t>
      </w:r>
    </w:p>
    <w:p>
      <w:r>
        <w:t>基本 PCA は定常状態を前提とするため、自己相関や時間遅れが強いプロセスではそのまま用いるべきではない。本論文は lagged variables、DiPCA、および RPCA / MW-PCA / EWMA-PCA 等を整理している。</w:t>
      </w:r>
    </w:p>
    <w:tbl>
      <w:tblPr>
        <w:tblStyle w:val="TableGrid"/>
        <w:tblW w:type="auto" w:w="0"/>
        <w:jc w:val="center"/>
        <w:tblLook w:firstColumn="1" w:firstRow="1" w:lastColumn="0" w:lastRow="0" w:noHBand="0" w:noVBand="1" w:val="04A0"/>
      </w:tblPr>
      <w:tblGrid>
        <w:gridCol w:w="3457"/>
        <w:gridCol w:w="3457"/>
        <w:gridCol w:w="3457"/>
      </w:tblGrid>
      <w:tr>
        <w:tc>
          <w:tcPr>
            <w:tcW w:type="dxa" w:w="2268"/>
            <w:shd w:fill="D9EAF7"/>
            <w:vAlign w:val="center"/>
          </w:tcPr>
          <w:p>
            <w:pPr>
              <w:jc w:val="center"/>
            </w:pPr>
            <w:r>
              <w:rPr>
                <w:b/>
                <w:sz w:val="16"/>
              </w:rPr>
              <w:t>手法</w:t>
            </w:r>
          </w:p>
        </w:tc>
        <w:tc>
          <w:tcPr>
            <w:tcW w:type="dxa" w:w="3969"/>
            <w:shd w:fill="D9EAF7"/>
            <w:vAlign w:val="center"/>
          </w:tcPr>
          <w:p>
            <w:pPr>
              <w:jc w:val="center"/>
            </w:pPr>
            <w:r>
              <w:rPr>
                <w:b/>
                <w:sz w:val="16"/>
              </w:rPr>
              <w:t>目的</w:t>
            </w:r>
          </w:p>
        </w:tc>
        <w:tc>
          <w:tcPr>
            <w:tcW w:type="dxa" w:w="3969"/>
            <w:shd w:fill="D9EAF7"/>
            <w:vAlign w:val="center"/>
          </w:tcPr>
          <w:p>
            <w:pPr>
              <w:jc w:val="center"/>
            </w:pPr>
            <w:r>
              <w:rPr>
                <w:b/>
                <w:sz w:val="16"/>
              </w:rPr>
              <w:t>注意点</w:t>
            </w:r>
          </w:p>
        </w:tc>
      </w:tr>
      <w:tr>
        <w:tc>
          <w:tcPr>
            <w:tcW w:type="dxa" w:w="2268"/>
            <w:vAlign w:val="center"/>
            <w:tcMar>
              <w:top w:w="80" w:type="dxa"/>
              <w:start w:w="80" w:type="dxa"/>
              <w:bottom w:w="80" w:type="dxa"/>
              <w:end w:w="80" w:type="dxa"/>
            </w:tcMar>
          </w:tcPr>
          <w:p>
            <w:r>
              <w:rPr>
                <w:sz w:val="16"/>
              </w:rPr>
              <w:t>Lagged PCA</w:t>
            </w:r>
          </w:p>
        </w:tc>
        <w:tc>
          <w:tcPr>
            <w:tcW w:type="dxa" w:w="3969"/>
            <w:vAlign w:val="center"/>
            <w:tcMar>
              <w:top w:w="80" w:type="dxa"/>
              <w:start w:w="80" w:type="dxa"/>
              <w:bottom w:w="80" w:type="dxa"/>
              <w:end w:w="80" w:type="dxa"/>
            </w:tcMar>
          </w:tcPr>
          <w:p>
            <w:r>
              <w:rPr>
                <w:sz w:val="16"/>
              </w:rPr>
              <w:t>過去値を入力に追加して時間依存を表現</w:t>
            </w:r>
          </w:p>
        </w:tc>
        <w:tc>
          <w:tcPr>
            <w:tcW w:type="dxa" w:w="3969"/>
            <w:vAlign w:val="center"/>
            <w:tcMar>
              <w:top w:w="80" w:type="dxa"/>
              <w:start w:w="80" w:type="dxa"/>
              <w:bottom w:w="80" w:type="dxa"/>
              <w:end w:w="80" w:type="dxa"/>
            </w:tcMar>
          </w:tcPr>
          <w:p>
            <w:r>
              <w:rPr>
                <w:sz w:val="16"/>
              </w:rPr>
              <w:t>次元数が増加しやすい</w:t>
            </w:r>
          </w:p>
        </w:tc>
      </w:tr>
      <w:tr>
        <w:tc>
          <w:tcPr>
            <w:tcW w:type="dxa" w:w="2268"/>
            <w:vAlign w:val="center"/>
            <w:tcMar>
              <w:top w:w="80" w:type="dxa"/>
              <w:start w:w="80" w:type="dxa"/>
              <w:bottom w:w="80" w:type="dxa"/>
              <w:end w:w="80" w:type="dxa"/>
            </w:tcMar>
          </w:tcPr>
          <w:p>
            <w:r>
              <w:rPr>
                <w:sz w:val="16"/>
              </w:rPr>
              <w:t>DiPCA</w:t>
            </w:r>
          </w:p>
        </w:tc>
        <w:tc>
          <w:tcPr>
            <w:tcW w:type="dxa" w:w="3969"/>
            <w:vAlign w:val="center"/>
            <w:tcMar>
              <w:top w:w="80" w:type="dxa"/>
              <w:start w:w="80" w:type="dxa"/>
              <w:bottom w:w="80" w:type="dxa"/>
              <w:end w:w="80" w:type="dxa"/>
            </w:tcMar>
          </w:tcPr>
          <w:p>
            <w:r>
              <w:rPr>
                <w:sz w:val="16"/>
              </w:rPr>
              <w:t>動的主成分を明示的に抽出</w:t>
            </w:r>
          </w:p>
        </w:tc>
        <w:tc>
          <w:tcPr>
            <w:tcW w:type="dxa" w:w="3969"/>
            <w:vAlign w:val="center"/>
            <w:tcMar>
              <w:top w:w="80" w:type="dxa"/>
              <w:start w:w="80" w:type="dxa"/>
              <w:bottom w:w="80" w:type="dxa"/>
              <w:end w:w="80" w:type="dxa"/>
            </w:tcMar>
          </w:tcPr>
          <w:p>
            <w:r>
              <w:rPr>
                <w:sz w:val="16"/>
              </w:rPr>
              <w:t>本課題の多変量時系列に有望</w:t>
            </w:r>
          </w:p>
        </w:tc>
      </w:tr>
      <w:tr>
        <w:tc>
          <w:tcPr>
            <w:tcW w:type="dxa" w:w="2268"/>
            <w:vAlign w:val="center"/>
            <w:tcMar>
              <w:top w:w="80" w:type="dxa"/>
              <w:start w:w="80" w:type="dxa"/>
              <w:bottom w:w="80" w:type="dxa"/>
              <w:end w:w="80" w:type="dxa"/>
            </w:tcMar>
          </w:tcPr>
          <w:p>
            <w:r>
              <w:rPr>
                <w:sz w:val="16"/>
              </w:rPr>
              <w:t>RPCA</w:t>
            </w:r>
          </w:p>
        </w:tc>
        <w:tc>
          <w:tcPr>
            <w:tcW w:type="dxa" w:w="3969"/>
            <w:vAlign w:val="center"/>
            <w:tcMar>
              <w:top w:w="80" w:type="dxa"/>
              <w:start w:w="80" w:type="dxa"/>
              <w:bottom w:w="80" w:type="dxa"/>
              <w:end w:w="80" w:type="dxa"/>
            </w:tcMar>
          </w:tcPr>
          <w:p>
            <w:r>
              <w:rPr>
                <w:sz w:val="16"/>
              </w:rPr>
              <w:t>逐次的に PCA モデルを更新</w:t>
            </w:r>
          </w:p>
        </w:tc>
        <w:tc>
          <w:tcPr>
            <w:tcW w:type="dxa" w:w="3969"/>
            <w:vAlign w:val="center"/>
            <w:tcMar>
              <w:top w:w="80" w:type="dxa"/>
              <w:start w:w="80" w:type="dxa"/>
              <w:bottom w:w="80" w:type="dxa"/>
              <w:end w:w="80" w:type="dxa"/>
            </w:tcMar>
          </w:tcPr>
          <w:p>
            <w:r>
              <w:rPr>
                <w:sz w:val="16"/>
              </w:rPr>
              <w:t>緩やかなドリフトに対応</w:t>
            </w:r>
          </w:p>
        </w:tc>
      </w:tr>
      <w:tr>
        <w:tc>
          <w:tcPr>
            <w:tcW w:type="dxa" w:w="2268"/>
            <w:vAlign w:val="center"/>
            <w:tcMar>
              <w:top w:w="80" w:type="dxa"/>
              <w:start w:w="80" w:type="dxa"/>
              <w:bottom w:w="80" w:type="dxa"/>
              <w:end w:w="80" w:type="dxa"/>
            </w:tcMar>
          </w:tcPr>
          <w:p>
            <w:r>
              <w:rPr>
                <w:sz w:val="16"/>
              </w:rPr>
              <w:t>MW-PCA</w:t>
            </w:r>
          </w:p>
        </w:tc>
        <w:tc>
          <w:tcPr>
            <w:tcW w:type="dxa" w:w="3969"/>
            <w:vAlign w:val="center"/>
            <w:tcMar>
              <w:top w:w="80" w:type="dxa"/>
              <w:start w:w="80" w:type="dxa"/>
              <w:bottom w:w="80" w:type="dxa"/>
              <w:end w:w="80" w:type="dxa"/>
            </w:tcMar>
          </w:tcPr>
          <w:p>
            <w:r>
              <w:rPr>
                <w:sz w:val="16"/>
              </w:rPr>
              <w:t>最近の窓データでモデルを更新</w:t>
            </w:r>
          </w:p>
        </w:tc>
        <w:tc>
          <w:tcPr>
            <w:tcW w:type="dxa" w:w="3969"/>
            <w:vAlign w:val="center"/>
            <w:tcMar>
              <w:top w:w="80" w:type="dxa"/>
              <w:start w:w="80" w:type="dxa"/>
              <w:bottom w:w="80" w:type="dxa"/>
              <w:end w:w="80" w:type="dxa"/>
            </w:tcMar>
          </w:tcPr>
          <w:p>
            <w:r>
              <w:rPr>
                <w:sz w:val="16"/>
              </w:rPr>
              <w:t>局所的な運転状態に追従</w:t>
            </w:r>
          </w:p>
        </w:tc>
      </w:tr>
      <w:tr>
        <w:tc>
          <w:tcPr>
            <w:tcW w:type="dxa" w:w="2268"/>
            <w:vAlign w:val="center"/>
            <w:tcMar>
              <w:top w:w="80" w:type="dxa"/>
              <w:start w:w="80" w:type="dxa"/>
              <w:bottom w:w="80" w:type="dxa"/>
              <w:end w:w="80" w:type="dxa"/>
            </w:tcMar>
          </w:tcPr>
          <w:p>
            <w:r>
              <w:rPr>
                <w:sz w:val="16"/>
              </w:rPr>
              <w:t>EWMA-PCA</w:t>
            </w:r>
          </w:p>
        </w:tc>
        <w:tc>
          <w:tcPr>
            <w:tcW w:type="dxa" w:w="3969"/>
            <w:vAlign w:val="center"/>
            <w:tcMar>
              <w:top w:w="80" w:type="dxa"/>
              <w:start w:w="80" w:type="dxa"/>
              <w:bottom w:w="80" w:type="dxa"/>
              <w:end w:w="80" w:type="dxa"/>
            </w:tcMar>
          </w:tcPr>
          <w:p>
            <w:r>
              <w:rPr>
                <w:sz w:val="16"/>
              </w:rPr>
              <w:t>新しいデータをより強く重み付け</w:t>
            </w:r>
          </w:p>
        </w:tc>
        <w:tc>
          <w:tcPr>
            <w:tcW w:type="dxa" w:w="3969"/>
            <w:vAlign w:val="center"/>
            <w:tcMar>
              <w:top w:w="80" w:type="dxa"/>
              <w:start w:w="80" w:type="dxa"/>
              <w:bottom w:w="80" w:type="dxa"/>
              <w:end w:w="80" w:type="dxa"/>
            </w:tcMar>
          </w:tcPr>
          <w:p>
            <w:r>
              <w:rPr>
                <w:sz w:val="16"/>
              </w:rPr>
              <w:t>変化を滑らかに追従</w:t>
            </w:r>
          </w:p>
        </w:tc>
      </w:tr>
    </w:tbl>
    <w:p/>
    <w:p>
      <w:pPr>
        <w:pStyle w:val="Heading1"/>
      </w:pPr>
      <w:r>
        <w:t>6. SVDD / One-Class SVM</w:t>
      </w:r>
    </w:p>
    <w:p>
      <w:r>
        <w:t>本論文では SVM の一クラス・教師なし方向として SVDD と One-Class SVM（1C-SVM）が紹介されている。正常入力だけから正常データの支持領域を学習できるため、「学習データ領域内か否か」を直接判定する用途に近い。さらに非定常プロセス向けの time-adaptive SVDD や、dynamic / nonlinear / non-Gaussian 特性を扱う SVDD の拡張も引用されている。</w:t>
      </w:r>
    </w:p>
    <w:tbl>
      <w:tblPr>
        <w:tblStyle w:val="TableGrid"/>
        <w:tblW w:type="auto" w:w="0"/>
        <w:jc w:val="center"/>
        <w:tblLook w:firstColumn="1" w:firstRow="1" w:lastColumn="0" w:lastRow="0" w:noHBand="0" w:noVBand="1" w:val="04A0"/>
      </w:tblPr>
      <w:tblGrid>
        <w:gridCol w:w="5185"/>
        <w:gridCol w:w="5185"/>
      </w:tblGrid>
      <w:tr>
        <w:tc>
          <w:tcPr>
            <w:tcW w:type="dxa" w:w="2835"/>
            <w:shd w:fill="D9EAF7"/>
            <w:vAlign w:val="center"/>
          </w:tcPr>
          <w:p>
            <w:pPr>
              <w:jc w:val="center"/>
            </w:pPr>
            <w:r>
              <w:rPr>
                <w:b/>
                <w:sz w:val="16"/>
              </w:rPr>
              <w:t>観点</w:t>
            </w:r>
          </w:p>
        </w:tc>
        <w:tc>
          <w:tcPr>
            <w:tcW w:type="dxa" w:w="6803"/>
            <w:shd w:fill="D9EAF7"/>
            <w:vAlign w:val="center"/>
          </w:tcPr>
          <w:p>
            <w:pPr>
              <w:jc w:val="center"/>
            </w:pPr>
            <w:r>
              <w:rPr>
                <w:b/>
                <w:sz w:val="16"/>
              </w:rPr>
              <w:t>SVDD / 1C-SVM の評価</w:t>
            </w:r>
          </w:p>
        </w:tc>
      </w:tr>
      <w:tr>
        <w:tc>
          <w:tcPr>
            <w:tcW w:type="dxa" w:w="2835"/>
            <w:vAlign w:val="center"/>
            <w:tcMar>
              <w:top w:w="80" w:type="dxa"/>
              <w:start w:w="80" w:type="dxa"/>
              <w:bottom w:w="80" w:type="dxa"/>
              <w:end w:w="80" w:type="dxa"/>
            </w:tcMar>
          </w:tcPr>
          <w:p>
            <w:r>
              <w:rPr>
                <w:sz w:val="16"/>
              </w:rPr>
              <w:t>X のみで検知</w:t>
            </w:r>
          </w:p>
        </w:tc>
        <w:tc>
          <w:tcPr>
            <w:tcW w:type="dxa" w:w="6803"/>
            <w:vAlign w:val="center"/>
            <w:tcMar>
              <w:top w:w="80" w:type="dxa"/>
              <w:start w:w="80" w:type="dxa"/>
              <w:bottom w:w="80" w:type="dxa"/>
              <w:end w:w="80" w:type="dxa"/>
            </w:tcMar>
          </w:tcPr>
          <w:p>
            <w:r>
              <w:rPr>
                <w:sz w:val="16"/>
              </w:rPr>
              <w:t>可能</w:t>
            </w:r>
          </w:p>
        </w:tc>
      </w:tr>
      <w:tr>
        <w:tc>
          <w:tcPr>
            <w:tcW w:type="dxa" w:w="2835"/>
            <w:vAlign w:val="center"/>
            <w:tcMar>
              <w:top w:w="80" w:type="dxa"/>
              <w:start w:w="80" w:type="dxa"/>
              <w:bottom w:w="80" w:type="dxa"/>
              <w:end w:w="80" w:type="dxa"/>
            </w:tcMar>
          </w:tcPr>
          <w:p>
            <w:r>
              <w:rPr>
                <w:sz w:val="16"/>
              </w:rPr>
              <w:t>多変量入力</w:t>
            </w:r>
          </w:p>
        </w:tc>
        <w:tc>
          <w:tcPr>
            <w:tcW w:type="dxa" w:w="6803"/>
            <w:vAlign w:val="center"/>
            <w:tcMar>
              <w:top w:w="80" w:type="dxa"/>
              <w:start w:w="80" w:type="dxa"/>
              <w:bottom w:w="80" w:type="dxa"/>
              <w:end w:w="80" w:type="dxa"/>
            </w:tcMar>
          </w:tcPr>
          <w:p>
            <w:r>
              <w:rPr>
                <w:sz w:val="16"/>
              </w:rPr>
              <w:t>適合</w:t>
            </w:r>
          </w:p>
        </w:tc>
      </w:tr>
      <w:tr>
        <w:tc>
          <w:tcPr>
            <w:tcW w:type="dxa" w:w="2835"/>
            <w:vAlign w:val="center"/>
            <w:tcMar>
              <w:top w:w="80" w:type="dxa"/>
              <w:start w:w="80" w:type="dxa"/>
              <w:bottom w:w="80" w:type="dxa"/>
              <w:end w:w="80" w:type="dxa"/>
            </w:tcMar>
          </w:tcPr>
          <w:p>
            <w:r>
              <w:rPr>
                <w:sz w:val="16"/>
              </w:rPr>
              <w:t>非線形境界</w:t>
            </w:r>
          </w:p>
        </w:tc>
        <w:tc>
          <w:tcPr>
            <w:tcW w:type="dxa" w:w="6803"/>
            <w:vAlign w:val="center"/>
            <w:tcMar>
              <w:top w:w="80" w:type="dxa"/>
              <w:start w:w="80" w:type="dxa"/>
              <w:bottom w:w="80" w:type="dxa"/>
              <w:end w:w="80" w:type="dxa"/>
            </w:tcMar>
          </w:tcPr>
          <w:p>
            <w:r>
              <w:rPr>
                <w:sz w:val="16"/>
              </w:rPr>
              <w:t>カーネルにより対応可能</w:t>
            </w:r>
          </w:p>
        </w:tc>
      </w:tr>
      <w:tr>
        <w:tc>
          <w:tcPr>
            <w:tcW w:type="dxa" w:w="2835"/>
            <w:vAlign w:val="center"/>
            <w:tcMar>
              <w:top w:w="80" w:type="dxa"/>
              <w:start w:w="80" w:type="dxa"/>
              <w:bottom w:w="80" w:type="dxa"/>
              <w:end w:w="80" w:type="dxa"/>
            </w:tcMar>
          </w:tcPr>
          <w:p>
            <w:r>
              <w:rPr>
                <w:sz w:val="16"/>
              </w:rPr>
              <w:t>時系列</w:t>
            </w:r>
          </w:p>
        </w:tc>
        <w:tc>
          <w:tcPr>
            <w:tcW w:type="dxa" w:w="6803"/>
            <w:vAlign w:val="center"/>
            <w:tcMar>
              <w:top w:w="80" w:type="dxa"/>
              <w:start w:w="80" w:type="dxa"/>
              <w:bottom w:w="80" w:type="dxa"/>
              <w:end w:w="80" w:type="dxa"/>
            </w:tcMar>
          </w:tcPr>
          <w:p>
            <w:r>
              <w:rPr>
                <w:sz w:val="16"/>
              </w:rPr>
              <w:t>標準形は静的。窓特徴または動的/適応拡張が必要</w:t>
            </w:r>
          </w:p>
        </w:tc>
      </w:tr>
      <w:tr>
        <w:tc>
          <w:tcPr>
            <w:tcW w:type="dxa" w:w="2835"/>
            <w:vAlign w:val="center"/>
            <w:tcMar>
              <w:top w:w="80" w:type="dxa"/>
              <w:start w:w="80" w:type="dxa"/>
              <w:bottom w:w="80" w:type="dxa"/>
              <w:end w:w="80" w:type="dxa"/>
            </w:tcMar>
          </w:tcPr>
          <w:p>
            <w:r>
              <w:rPr>
                <w:sz w:val="16"/>
              </w:rPr>
              <w:t>回帰器との独立性</w:t>
            </w:r>
          </w:p>
        </w:tc>
        <w:tc>
          <w:tcPr>
            <w:tcW w:type="dxa" w:w="6803"/>
            <w:vAlign w:val="center"/>
            <w:tcMar>
              <w:top w:w="80" w:type="dxa"/>
              <w:start w:w="80" w:type="dxa"/>
              <w:bottom w:w="80" w:type="dxa"/>
              <w:end w:w="80" w:type="dxa"/>
            </w:tcMar>
          </w:tcPr>
          <w:p>
            <w:r>
              <w:rPr>
                <w:sz w:val="16"/>
              </w:rPr>
              <w:t>高い。予測モデルの前段に配置可能</w:t>
            </w:r>
          </w:p>
        </w:tc>
      </w:tr>
      <w:tr>
        <w:tc>
          <w:tcPr>
            <w:tcW w:type="dxa" w:w="2835"/>
            <w:vAlign w:val="center"/>
            <w:tcMar>
              <w:top w:w="80" w:type="dxa"/>
              <w:start w:w="80" w:type="dxa"/>
              <w:bottom w:w="80" w:type="dxa"/>
              <w:end w:w="80" w:type="dxa"/>
            </w:tcMar>
          </w:tcPr>
          <w:p>
            <w:r>
              <w:rPr>
                <w:sz w:val="16"/>
              </w:rPr>
              <w:t>実装上の課題</w:t>
            </w:r>
          </w:p>
        </w:tc>
        <w:tc>
          <w:tcPr>
            <w:tcW w:type="dxa" w:w="6803"/>
            <w:vAlign w:val="center"/>
            <w:tcMar>
              <w:top w:w="80" w:type="dxa"/>
              <w:start w:w="80" w:type="dxa"/>
              <w:bottom w:w="80" w:type="dxa"/>
              <w:end w:w="80" w:type="dxa"/>
            </w:tcMar>
          </w:tcPr>
          <w:p>
            <w:r>
              <w:rPr>
                <w:sz w:val="16"/>
              </w:rPr>
              <w:t>スケーリング、カーネル、ν・γ、正常/異常境界の設定</w:t>
            </w:r>
          </w:p>
        </w:tc>
      </w:tr>
    </w:tbl>
    <w:p/>
    <w:p>
      <w:pPr>
        <w:pStyle w:val="Heading1"/>
      </w:pPr>
      <w:r>
        <w:t>7. その他の手法の扱い</w:t>
      </w:r>
    </w:p>
    <w:tbl>
      <w:tblPr>
        <w:tblStyle w:val="TableGrid"/>
        <w:tblW w:type="auto" w:w="0"/>
        <w:jc w:val="center"/>
        <w:tblLook w:firstColumn="1" w:firstRow="1" w:lastColumn="0" w:lastRow="0" w:noHBand="0" w:noVBand="1" w:val="04A0"/>
      </w:tblPr>
      <w:tblGrid>
        <w:gridCol w:w="5185"/>
        <w:gridCol w:w="5185"/>
      </w:tblGrid>
      <w:tr>
        <w:tc>
          <w:tcPr>
            <w:tcW w:type="dxa" w:w="2835"/>
            <w:shd w:fill="D9EAF7"/>
            <w:vAlign w:val="center"/>
          </w:tcPr>
          <w:p>
            <w:pPr>
              <w:jc w:val="center"/>
            </w:pPr>
            <w:r>
              <w:rPr>
                <w:b/>
                <w:sz w:val="16"/>
              </w:rPr>
              <w:t>手法</w:t>
            </w:r>
          </w:p>
        </w:tc>
        <w:tc>
          <w:tcPr>
            <w:tcW w:type="dxa" w:w="6803"/>
            <w:shd w:fill="D9EAF7"/>
            <w:vAlign w:val="center"/>
          </w:tcPr>
          <w:p>
            <w:pPr>
              <w:jc w:val="center"/>
            </w:pPr>
            <w:r>
              <w:rPr>
                <w:b/>
                <w:sz w:val="16"/>
              </w:rPr>
              <w:t>本調査での扱い</w:t>
            </w:r>
          </w:p>
        </w:tc>
      </w:tr>
      <w:tr>
        <w:tc>
          <w:tcPr>
            <w:tcW w:type="dxa" w:w="2835"/>
            <w:vAlign w:val="center"/>
            <w:tcMar>
              <w:top w:w="80" w:type="dxa"/>
              <w:start w:w="80" w:type="dxa"/>
              <w:bottom w:w="80" w:type="dxa"/>
              <w:end w:w="80" w:type="dxa"/>
            </w:tcMar>
          </w:tcPr>
          <w:p>
            <w:r>
              <w:rPr>
                <w:sz w:val="16"/>
              </w:rPr>
              <w:t>Autoencoder</w:t>
            </w:r>
          </w:p>
        </w:tc>
        <w:tc>
          <w:tcPr>
            <w:tcW w:type="dxa" w:w="6803"/>
            <w:vAlign w:val="center"/>
            <w:tcMar>
              <w:top w:w="80" w:type="dxa"/>
              <w:start w:w="80" w:type="dxa"/>
              <w:bottom w:w="80" w:type="dxa"/>
              <w:end w:w="80" w:type="dxa"/>
            </w:tcMar>
          </w:tcPr>
          <w:p>
            <w:r>
              <w:rPr>
                <w:sz w:val="16"/>
              </w:rPr>
              <w:t>有力候補。正常入力の非線形構造を学習し、再構成誤差を検知スコアにできる。</w:t>
            </w:r>
          </w:p>
        </w:tc>
      </w:tr>
      <w:tr>
        <w:tc>
          <w:tcPr>
            <w:tcW w:type="dxa" w:w="2835"/>
            <w:vAlign w:val="center"/>
            <w:tcMar>
              <w:top w:w="80" w:type="dxa"/>
              <w:start w:w="80" w:type="dxa"/>
              <w:bottom w:w="80" w:type="dxa"/>
              <w:end w:w="80" w:type="dxa"/>
            </w:tcMar>
          </w:tcPr>
          <w:p>
            <w:r>
              <w:rPr>
                <w:sz w:val="16"/>
              </w:rPr>
              <w:t>RNN / Transformer</w:t>
            </w:r>
          </w:p>
        </w:tc>
        <w:tc>
          <w:tcPr>
            <w:tcW w:type="dxa" w:w="6803"/>
            <w:vAlign w:val="center"/>
            <w:tcMar>
              <w:top w:w="80" w:type="dxa"/>
              <w:start w:w="80" w:type="dxa"/>
              <w:bottom w:w="80" w:type="dxa"/>
              <w:end w:w="80" w:type="dxa"/>
            </w:tcMar>
          </w:tcPr>
          <w:p>
            <w:r>
              <w:rPr>
                <w:sz w:val="16"/>
              </w:rPr>
              <w:t>時系列表現モデルであり、それ自体は学習外検知アルゴリズムではない。残差・再構成誤差・不確実性等との組合せが必要。</w:t>
            </w:r>
          </w:p>
        </w:tc>
      </w:tr>
      <w:tr>
        <w:tc>
          <w:tcPr>
            <w:tcW w:type="dxa" w:w="2835"/>
            <w:vAlign w:val="center"/>
            <w:tcMar>
              <w:top w:w="80" w:type="dxa"/>
              <w:start w:w="80" w:type="dxa"/>
              <w:bottom w:w="80" w:type="dxa"/>
              <w:end w:w="80" w:type="dxa"/>
            </w:tcMar>
          </w:tcPr>
          <w:p>
            <w:r>
              <w:rPr>
                <w:sz w:val="16"/>
              </w:rPr>
              <w:t>k-NN / DTW</w:t>
            </w:r>
          </w:p>
        </w:tc>
        <w:tc>
          <w:tcPr>
            <w:tcW w:type="dxa" w:w="6803"/>
            <w:vAlign w:val="center"/>
            <w:tcMar>
              <w:top w:w="80" w:type="dxa"/>
              <w:start w:w="80" w:type="dxa"/>
              <w:bottom w:w="80" w:type="dxa"/>
              <w:end w:w="80" w:type="dxa"/>
            </w:tcMar>
          </w:tcPr>
          <w:p>
            <w:r>
              <w:rPr>
                <w:sz w:val="16"/>
              </w:rPr>
              <w:t>簡易な距離ベース検知として有用。時系列窓の形状比較にも利用可能。</w:t>
            </w:r>
          </w:p>
        </w:tc>
      </w:tr>
      <w:tr>
        <w:tc>
          <w:tcPr>
            <w:tcW w:type="dxa" w:w="2835"/>
            <w:vAlign w:val="center"/>
            <w:tcMar>
              <w:top w:w="80" w:type="dxa"/>
              <w:start w:w="80" w:type="dxa"/>
              <w:bottom w:w="80" w:type="dxa"/>
              <w:end w:w="80" w:type="dxa"/>
            </w:tcMar>
          </w:tcPr>
          <w:p>
            <w:r>
              <w:rPr>
                <w:sz w:val="16"/>
              </w:rPr>
              <w:t>Clustering / GMM</w:t>
            </w:r>
          </w:p>
        </w:tc>
        <w:tc>
          <w:tcPr>
            <w:tcW w:type="dxa" w:w="6803"/>
            <w:vAlign w:val="center"/>
            <w:tcMar>
              <w:top w:w="80" w:type="dxa"/>
              <w:start w:w="80" w:type="dxa"/>
              <w:bottom w:w="80" w:type="dxa"/>
              <w:end w:w="80" w:type="dxa"/>
            </w:tcMar>
          </w:tcPr>
          <w:p>
            <w:r>
              <w:rPr>
                <w:sz w:val="16"/>
              </w:rPr>
              <w:t>複数の正常運転モードを分離してから各モードで検知する場合に有効。</w:t>
            </w:r>
          </w:p>
        </w:tc>
      </w:tr>
      <w:tr>
        <w:tc>
          <w:tcPr>
            <w:tcW w:type="dxa" w:w="2835"/>
            <w:vAlign w:val="center"/>
            <w:tcMar>
              <w:top w:w="80" w:type="dxa"/>
              <w:start w:w="80" w:type="dxa"/>
              <w:bottom w:w="80" w:type="dxa"/>
              <w:end w:w="80" w:type="dxa"/>
            </w:tcMar>
          </w:tcPr>
          <w:p>
            <w:r>
              <w:rPr>
                <w:sz w:val="16"/>
              </w:rPr>
              <w:t>Manifold learning</w:t>
            </w:r>
          </w:p>
        </w:tc>
        <w:tc>
          <w:tcPr>
            <w:tcW w:type="dxa" w:w="6803"/>
            <w:vAlign w:val="center"/>
            <w:tcMar>
              <w:top w:w="80" w:type="dxa"/>
              <w:start w:w="80" w:type="dxa"/>
              <w:bottom w:w="80" w:type="dxa"/>
              <w:end w:w="80" w:type="dxa"/>
            </w:tcMar>
          </w:tcPr>
          <w:p>
            <w:r>
              <w:rPr>
                <w:sz w:val="16"/>
              </w:rPr>
              <w:t>非線形局所構造の表現には有用だが、単独では検知器ではなく監視指標が必要。</w:t>
            </w:r>
          </w:p>
        </w:tc>
      </w:tr>
      <w:tr>
        <w:tc>
          <w:tcPr>
            <w:tcW w:type="dxa" w:w="2835"/>
            <w:vAlign w:val="center"/>
            <w:tcMar>
              <w:top w:w="80" w:type="dxa"/>
              <w:start w:w="80" w:type="dxa"/>
              <w:bottom w:w="80" w:type="dxa"/>
              <w:end w:w="80" w:type="dxa"/>
            </w:tcMar>
          </w:tcPr>
          <w:p>
            <w:r>
              <w:rPr>
                <w:sz w:val="16"/>
              </w:rPr>
              <w:t>Bayesian network</w:t>
            </w:r>
          </w:p>
        </w:tc>
        <w:tc>
          <w:tcPr>
            <w:tcW w:type="dxa" w:w="6803"/>
            <w:vAlign w:val="center"/>
            <w:tcMar>
              <w:top w:w="80" w:type="dxa"/>
              <w:start w:w="80" w:type="dxa"/>
              <w:bottom w:w="80" w:type="dxa"/>
              <w:end w:w="80" w:type="dxa"/>
            </w:tcMar>
          </w:tcPr>
          <w:p>
            <w:r>
              <w:rPr>
                <w:sz w:val="16"/>
              </w:rPr>
              <w:t>変数依存関係・診断・因果説明に強い。正常結合確率を利用した低確率入力検知も可能。</w:t>
            </w:r>
          </w:p>
        </w:tc>
      </w:tr>
      <w:tr>
        <w:tc>
          <w:tcPr>
            <w:tcW w:type="dxa" w:w="2835"/>
            <w:vAlign w:val="center"/>
            <w:tcMar>
              <w:top w:w="80" w:type="dxa"/>
              <w:start w:w="80" w:type="dxa"/>
              <w:bottom w:w="80" w:type="dxa"/>
              <w:end w:w="80" w:type="dxa"/>
            </w:tcMar>
          </w:tcPr>
          <w:p>
            <w:r>
              <w:rPr>
                <w:sz w:val="16"/>
              </w:rPr>
              <w:t>Empirical machine learning</w:t>
            </w:r>
          </w:p>
        </w:tc>
        <w:tc>
          <w:tcPr>
            <w:tcW w:type="dxa" w:w="6803"/>
            <w:vAlign w:val="center"/>
            <w:tcMar>
              <w:top w:w="80" w:type="dxa"/>
              <w:start w:w="80" w:type="dxa"/>
              <w:bottom w:w="80" w:type="dxa"/>
              <w:end w:w="80" w:type="dxa"/>
            </w:tcMar>
          </w:tcPr>
          <w:p>
            <w:r>
              <w:rPr>
                <w:sz w:val="16"/>
              </w:rPr>
              <w:t>データ密度、eccentricity、typicality を利用するため低密度型 OOD と概念的に近い。</w:t>
            </w:r>
          </w:p>
        </w:tc>
      </w:tr>
    </w:tbl>
    <w:p/>
    <w:p>
      <w:pPr>
        <w:pStyle w:val="Heading1"/>
      </w:pPr>
      <w:r>
        <w:t>8. 評価用データセット・Benchmark</w:t>
      </w:r>
    </w:p>
    <w:tbl>
      <w:tblPr>
        <w:tblStyle w:val="TableGrid"/>
        <w:tblW w:type="auto" w:w="0"/>
        <w:jc w:val="center"/>
        <w:tblLook w:firstColumn="1" w:firstRow="1" w:lastColumn="0" w:lastRow="0" w:noHBand="0" w:noVBand="1" w:val="04A0"/>
      </w:tblPr>
      <w:tblGrid>
        <w:gridCol w:w="3457"/>
        <w:gridCol w:w="3457"/>
        <w:gridCol w:w="3457"/>
      </w:tblGrid>
      <w:tr>
        <w:tc>
          <w:tcPr>
            <w:tcW w:type="dxa" w:w="2268"/>
            <w:shd w:fill="D9EAF7"/>
            <w:vAlign w:val="center"/>
          </w:tcPr>
          <w:p>
            <w:pPr>
              <w:jc w:val="center"/>
            </w:pPr>
            <w:r>
              <w:rPr>
                <w:b/>
                <w:sz w:val="16"/>
              </w:rPr>
              <w:t>Benchmark</w:t>
            </w:r>
          </w:p>
        </w:tc>
        <w:tc>
          <w:tcPr>
            <w:tcW w:type="dxa" w:w="3969"/>
            <w:shd w:fill="D9EAF7"/>
            <w:vAlign w:val="center"/>
          </w:tcPr>
          <w:p>
            <w:pPr>
              <w:jc w:val="center"/>
            </w:pPr>
            <w:r>
              <w:rPr>
                <w:b/>
                <w:sz w:val="16"/>
              </w:rPr>
              <w:t>概要</w:t>
            </w:r>
          </w:p>
        </w:tc>
        <w:tc>
          <w:tcPr>
            <w:tcW w:type="dxa" w:w="4535"/>
            <w:shd w:fill="D9EAF7"/>
            <w:vAlign w:val="center"/>
          </w:tcPr>
          <w:p>
            <w:pPr>
              <w:jc w:val="center"/>
            </w:pPr>
            <w:r>
              <w:rPr>
                <w:b/>
                <w:sz w:val="16"/>
              </w:rPr>
              <w:t>本課題との関連</w:t>
            </w:r>
          </w:p>
        </w:tc>
      </w:tr>
      <w:tr>
        <w:tc>
          <w:tcPr>
            <w:tcW w:type="dxa" w:w="2268"/>
            <w:vAlign w:val="center"/>
            <w:tcMar>
              <w:top w:w="80" w:type="dxa"/>
              <w:start w:w="80" w:type="dxa"/>
              <w:bottom w:w="80" w:type="dxa"/>
              <w:end w:w="80" w:type="dxa"/>
            </w:tcMar>
          </w:tcPr>
          <w:p>
            <w:r>
              <w:rPr>
                <w:sz w:val="16"/>
              </w:rPr>
              <w:t>TEP</w:t>
            </w:r>
          </w:p>
        </w:tc>
        <w:tc>
          <w:tcPr>
            <w:tcW w:type="dxa" w:w="3969"/>
            <w:vAlign w:val="center"/>
            <w:tcMar>
              <w:top w:w="80" w:type="dxa"/>
              <w:start w:w="80" w:type="dxa"/>
              <w:bottom w:w="80" w:type="dxa"/>
              <w:end w:w="80" w:type="dxa"/>
            </w:tcMar>
          </w:tcPr>
          <w:p>
            <w:r>
              <w:rPr>
                <w:sz w:val="16"/>
              </w:rPr>
              <w:t>化学プロセスの代表的シミュレーション benchmark</w:t>
            </w:r>
          </w:p>
        </w:tc>
        <w:tc>
          <w:tcPr>
            <w:tcW w:type="dxa" w:w="4535"/>
            <w:vAlign w:val="center"/>
            <w:tcMar>
              <w:top w:w="80" w:type="dxa"/>
              <w:start w:w="80" w:type="dxa"/>
              <w:bottom w:w="80" w:type="dxa"/>
              <w:end w:w="80" w:type="dxa"/>
            </w:tcMar>
          </w:tcPr>
          <w:p>
            <w:r>
              <w:rPr>
                <w:sz w:val="16"/>
              </w:rPr>
              <w:t>多変量動的故障検知の標準比較に適する。ただし実データより単純という限界あり。</w:t>
            </w:r>
          </w:p>
        </w:tc>
      </w:tr>
      <w:tr>
        <w:tc>
          <w:tcPr>
            <w:tcW w:type="dxa" w:w="2268"/>
            <w:vAlign w:val="center"/>
            <w:tcMar>
              <w:top w:w="80" w:type="dxa"/>
              <w:start w:w="80" w:type="dxa"/>
              <w:bottom w:w="80" w:type="dxa"/>
              <w:end w:w="80" w:type="dxa"/>
            </w:tcMar>
          </w:tcPr>
          <w:p>
            <w:r>
              <w:rPr>
                <w:sz w:val="16"/>
              </w:rPr>
              <w:t>BSM1</w:t>
            </w:r>
          </w:p>
        </w:tc>
        <w:tc>
          <w:tcPr>
            <w:tcW w:type="dxa" w:w="3969"/>
            <w:vAlign w:val="center"/>
            <w:tcMar>
              <w:top w:w="80" w:type="dxa"/>
              <w:start w:w="80" w:type="dxa"/>
              <w:bottom w:w="80" w:type="dxa"/>
              <w:end w:w="80" w:type="dxa"/>
            </w:tcMar>
          </w:tcPr>
          <w:p>
            <w:r>
              <w:rPr>
                <w:sz w:val="16"/>
              </w:rPr>
              <w:t>下水処理場の制御評価用シミュレーション仕様</w:t>
            </w:r>
          </w:p>
        </w:tc>
        <w:tc>
          <w:tcPr>
            <w:tcW w:type="dxa" w:w="4535"/>
            <w:vAlign w:val="center"/>
            <w:tcMar>
              <w:top w:w="80" w:type="dxa"/>
              <w:start w:w="80" w:type="dxa"/>
              <w:bottom w:w="80" w:type="dxa"/>
              <w:end w:w="80" w:type="dxa"/>
            </w:tcMar>
          </w:tcPr>
          <w:p>
            <w:r>
              <w:rPr>
                <w:sz w:val="16"/>
              </w:rPr>
              <w:t>水処理分野に直接近く、今後のデータセット調査候補。</w:t>
            </w:r>
          </w:p>
        </w:tc>
      </w:tr>
      <w:tr>
        <w:tc>
          <w:tcPr>
            <w:tcW w:type="dxa" w:w="2268"/>
            <w:vAlign w:val="center"/>
            <w:tcMar>
              <w:top w:w="80" w:type="dxa"/>
              <w:start w:w="80" w:type="dxa"/>
              <w:bottom w:w="80" w:type="dxa"/>
              <w:end w:w="80" w:type="dxa"/>
            </w:tcMar>
          </w:tcPr>
          <w:p>
            <w:r>
              <w:rPr>
                <w:sz w:val="16"/>
              </w:rPr>
              <w:t>PRONTO</w:t>
            </w:r>
          </w:p>
        </w:tc>
        <w:tc>
          <w:tcPr>
            <w:tcW w:type="dxa" w:w="3969"/>
            <w:vAlign w:val="center"/>
            <w:tcMar>
              <w:top w:w="80" w:type="dxa"/>
              <w:start w:w="80" w:type="dxa"/>
              <w:bottom w:w="80" w:type="dxa"/>
              <w:end w:w="80" w:type="dxa"/>
            </w:tcMar>
          </w:tcPr>
          <w:p>
            <w:r>
              <w:rPr>
                <w:sz w:val="16"/>
              </w:rPr>
              <w:t>高周波の流量・圧力センサ、alarm、event log 等を含む異種データ</w:t>
            </w:r>
          </w:p>
        </w:tc>
        <w:tc>
          <w:tcPr>
            <w:tcW w:type="dxa" w:w="4535"/>
            <w:vAlign w:val="center"/>
            <w:tcMar>
              <w:top w:w="80" w:type="dxa"/>
              <w:start w:w="80" w:type="dxa"/>
              <w:bottom w:w="80" w:type="dxa"/>
              <w:end w:w="80" w:type="dxa"/>
            </w:tcMar>
          </w:tcPr>
          <w:p>
            <w:r>
              <w:rPr>
                <w:sz w:val="16"/>
              </w:rPr>
              <w:t>送水系の流量・圧力入力との類似性が高い。</w:t>
            </w:r>
          </w:p>
        </w:tc>
      </w:tr>
      <w:tr>
        <w:tc>
          <w:tcPr>
            <w:tcW w:type="dxa" w:w="2268"/>
            <w:vAlign w:val="center"/>
            <w:tcMar>
              <w:top w:w="80" w:type="dxa"/>
              <w:start w:w="80" w:type="dxa"/>
              <w:bottom w:w="80" w:type="dxa"/>
              <w:end w:w="80" w:type="dxa"/>
            </w:tcMar>
          </w:tcPr>
          <w:p>
            <w:r>
              <w:rPr>
                <w:sz w:val="16"/>
              </w:rPr>
              <w:t>3W</w:t>
            </w:r>
          </w:p>
        </w:tc>
        <w:tc>
          <w:tcPr>
            <w:tcW w:type="dxa" w:w="3969"/>
            <w:vAlign w:val="center"/>
            <w:tcMar>
              <w:top w:w="80" w:type="dxa"/>
              <w:start w:w="80" w:type="dxa"/>
              <w:bottom w:w="80" w:type="dxa"/>
              <w:end w:w="80" w:type="dxa"/>
            </w:tcMar>
          </w:tcPr>
          <w:p>
            <w:r>
              <w:rPr>
                <w:sz w:val="16"/>
              </w:rPr>
              <w:t>海上油井の実/模擬データ、正常・故障期間を含む</w:t>
            </w:r>
          </w:p>
        </w:tc>
        <w:tc>
          <w:tcPr>
            <w:tcW w:type="dxa" w:w="4535"/>
            <w:vAlign w:val="center"/>
            <w:tcMar>
              <w:top w:w="80" w:type="dxa"/>
              <w:start w:w="80" w:type="dxa"/>
              <w:bottom w:w="80" w:type="dxa"/>
              <w:end w:w="80" w:type="dxa"/>
            </w:tcMar>
          </w:tcPr>
          <w:p>
            <w:r>
              <w:rPr>
                <w:sz w:val="16"/>
              </w:rPr>
              <w:t>欠損・凍結変数など実環境特有の課題を含む。</w:t>
            </w:r>
          </w:p>
        </w:tc>
      </w:tr>
      <w:tr>
        <w:tc>
          <w:tcPr>
            <w:tcW w:type="dxa" w:w="2268"/>
            <w:vAlign w:val="center"/>
            <w:tcMar>
              <w:top w:w="80" w:type="dxa"/>
              <w:start w:w="80" w:type="dxa"/>
              <w:bottom w:w="80" w:type="dxa"/>
              <w:end w:w="80" w:type="dxa"/>
            </w:tcMar>
          </w:tcPr>
          <w:p>
            <w:r>
              <w:rPr>
                <w:sz w:val="16"/>
              </w:rPr>
              <w:t>Cranfield</w:t>
            </w:r>
          </w:p>
        </w:tc>
        <w:tc>
          <w:tcPr>
            <w:tcW w:type="dxa" w:w="3969"/>
            <w:vAlign w:val="center"/>
            <w:tcMar>
              <w:top w:w="80" w:type="dxa"/>
              <w:start w:w="80" w:type="dxa"/>
              <w:bottom w:w="80" w:type="dxa"/>
              <w:end w:w="80" w:type="dxa"/>
            </w:tcMar>
          </w:tcPr>
          <w:p>
            <w:r>
              <w:rPr>
                <w:sz w:val="16"/>
              </w:rPr>
              <w:t>三相流分離設備の実データ</w:t>
            </w:r>
          </w:p>
        </w:tc>
        <w:tc>
          <w:tcPr>
            <w:tcW w:type="dxa" w:w="4535"/>
            <w:vAlign w:val="center"/>
            <w:tcMar>
              <w:top w:w="80" w:type="dxa"/>
              <w:start w:w="80" w:type="dxa"/>
              <w:bottom w:w="80" w:type="dxa"/>
              <w:end w:w="80" w:type="dxa"/>
            </w:tcMar>
          </w:tcPr>
          <w:p>
            <w:r>
              <w:rPr>
                <w:sz w:val="16"/>
              </w:rPr>
              <w:t>多センサ流体系の監視評価に利用可能。</w:t>
            </w:r>
          </w:p>
        </w:tc>
      </w:tr>
    </w:tbl>
    <w:p/>
    <w:p>
      <w:pPr>
        <w:pStyle w:val="Heading1"/>
      </w:pPr>
      <w:r>
        <w:t>9. 実プロセスで重要な示唆</w:t>
      </w:r>
    </w:p>
    <w:p>
      <w:r>
        <w:t>本論文が引用する高圧重合プロセスの事例では、各単変量が正常運転範囲内に残っていても、変数間の相関として現れる多変量故障を PCA が検知できたと報告されている。この事例は、本調査で重視している「単独範囲内だが、組合せが学習外」という問題設定を強く支持する。また、排水処理プラントで adaptive PCA を用いた実例も紹介されており、水処理系ではモデル更新や異常検知後の正常モデル再設定が実運用上重要である。</w:t>
      </w:r>
    </w:p>
    <w:p>
      <w:pPr>
        <w:pStyle w:val="Heading1"/>
      </w:pPr>
      <w:r>
        <w:t>10. S1・S5・S8 の位置づけ</w:t>
      </w:r>
    </w:p>
    <w:tbl>
      <w:tblPr>
        <w:tblStyle w:val="TableGrid"/>
        <w:tblW w:type="auto" w:w="0"/>
        <w:jc w:val="center"/>
        <w:tblLook w:firstColumn="1" w:firstRow="1" w:lastColumn="0" w:lastRow="0" w:noHBand="0" w:noVBand="1" w:val="04A0"/>
      </w:tblPr>
      <w:tblGrid>
        <w:gridCol w:w="3457"/>
        <w:gridCol w:w="3457"/>
        <w:gridCol w:w="3457"/>
      </w:tblGrid>
      <w:tr>
        <w:tc>
          <w:tcPr>
            <w:tcW w:type="dxa" w:w="1701"/>
            <w:shd w:fill="D9EAF7"/>
            <w:vAlign w:val="center"/>
          </w:tcPr>
          <w:p>
            <w:pPr>
              <w:jc w:val="center"/>
            </w:pPr>
            <w:r>
              <w:rPr>
                <w:b/>
                <w:sz w:val="16"/>
              </w:rPr>
              <w:t>文献</w:t>
            </w:r>
          </w:p>
        </w:tc>
        <w:tc>
          <w:tcPr>
            <w:tcW w:type="dxa" w:w="3969"/>
            <w:shd w:fill="D9EAF7"/>
            <w:vAlign w:val="center"/>
          </w:tcPr>
          <w:p>
            <w:pPr>
              <w:jc w:val="center"/>
            </w:pPr>
            <w:r>
              <w:rPr>
                <w:b/>
                <w:sz w:val="16"/>
              </w:rPr>
              <w:t>中心テーマ</w:t>
            </w:r>
          </w:p>
        </w:tc>
        <w:tc>
          <w:tcPr>
            <w:tcW w:type="dxa" w:w="5102"/>
            <w:shd w:fill="D9EAF7"/>
            <w:vAlign w:val="center"/>
          </w:tcPr>
          <w:p>
            <w:pPr>
              <w:jc w:val="center"/>
            </w:pPr>
            <w:r>
              <w:rPr>
                <w:b/>
                <w:sz w:val="16"/>
              </w:rPr>
              <w:t>本調査への寄与</w:t>
            </w:r>
          </w:p>
        </w:tc>
      </w:tr>
      <w:tr>
        <w:tc>
          <w:tcPr>
            <w:tcW w:type="dxa" w:w="1701"/>
            <w:vAlign w:val="center"/>
            <w:tcMar>
              <w:top w:w="80" w:type="dxa"/>
              <w:start w:w="80" w:type="dxa"/>
              <w:bottom w:w="80" w:type="dxa"/>
              <w:end w:w="80" w:type="dxa"/>
            </w:tcMar>
          </w:tcPr>
          <w:p>
            <w:r>
              <w:rPr>
                <w:sz w:val="16"/>
              </w:rPr>
              <w:t>S1</w:t>
            </w:r>
          </w:p>
        </w:tc>
        <w:tc>
          <w:tcPr>
            <w:tcW w:type="dxa" w:w="3969"/>
            <w:vAlign w:val="center"/>
            <w:tcMar>
              <w:top w:w="80" w:type="dxa"/>
              <w:start w:w="80" w:type="dxa"/>
              <w:bottom w:w="80" w:type="dxa"/>
              <w:end w:w="80" w:type="dxa"/>
            </w:tcMar>
          </w:tcPr>
          <w:p>
            <w:r>
              <w:rPr>
                <w:sz w:val="16"/>
              </w:rPr>
              <w:t>多変量時系列 anomaly detection</w:t>
            </w:r>
          </w:p>
        </w:tc>
        <w:tc>
          <w:tcPr>
            <w:tcW w:type="dxa" w:w="5102"/>
            <w:vAlign w:val="center"/>
            <w:tcMar>
              <w:top w:w="80" w:type="dxa"/>
              <w:start w:w="80" w:type="dxa"/>
              <w:bottom w:w="80" w:type="dxa"/>
              <w:end w:w="80" w:type="dxa"/>
            </w:tcMar>
          </w:tcPr>
          <w:p>
            <w:r>
              <w:rPr>
                <w:sz w:val="16"/>
              </w:rPr>
              <w:t>Point / Contextual / Collective anomaly と各種検知手法の比較</w:t>
            </w:r>
          </w:p>
        </w:tc>
      </w:tr>
      <w:tr>
        <w:tc>
          <w:tcPr>
            <w:tcW w:type="dxa" w:w="1701"/>
            <w:vAlign w:val="center"/>
            <w:tcMar>
              <w:top w:w="80" w:type="dxa"/>
              <w:start w:w="80" w:type="dxa"/>
              <w:bottom w:w="80" w:type="dxa"/>
              <w:end w:w="80" w:type="dxa"/>
            </w:tcMar>
          </w:tcPr>
          <w:p>
            <w:r>
              <w:rPr>
                <w:sz w:val="16"/>
              </w:rPr>
              <w:t>S5</w:t>
            </w:r>
          </w:p>
        </w:tc>
        <w:tc>
          <w:tcPr>
            <w:tcW w:type="dxa" w:w="3969"/>
            <w:vAlign w:val="center"/>
            <w:tcMar>
              <w:top w:w="80" w:type="dxa"/>
              <w:start w:w="80" w:type="dxa"/>
              <w:bottom w:w="80" w:type="dxa"/>
              <w:end w:w="80" w:type="dxa"/>
            </w:tcMar>
          </w:tcPr>
          <w:p>
            <w:r>
              <w:rPr>
                <w:sz w:val="16"/>
              </w:rPr>
              <w:t>Time-Series OOD Generalization</w:t>
            </w:r>
          </w:p>
        </w:tc>
        <w:tc>
          <w:tcPr>
            <w:tcW w:type="dxa" w:w="5102"/>
            <w:vAlign w:val="center"/>
            <w:tcMar>
              <w:top w:w="80" w:type="dxa"/>
              <w:start w:w="80" w:type="dxa"/>
              <w:bottom w:w="80" w:type="dxa"/>
              <w:end w:w="80" w:type="dxa"/>
            </w:tcMar>
          </w:tcPr>
          <w:p>
            <w:r>
              <w:rPr>
                <w:sz w:val="16"/>
              </w:rPr>
              <w:t>Covariate Shift / Concept Drift、OOD 評価、適応</w:t>
            </w:r>
          </w:p>
        </w:tc>
      </w:tr>
      <w:tr>
        <w:tc>
          <w:tcPr>
            <w:tcW w:type="dxa" w:w="1701"/>
            <w:vAlign w:val="center"/>
            <w:tcMar>
              <w:top w:w="80" w:type="dxa"/>
              <w:start w:w="80" w:type="dxa"/>
              <w:bottom w:w="80" w:type="dxa"/>
              <w:end w:w="80" w:type="dxa"/>
            </w:tcMar>
          </w:tcPr>
          <w:p>
            <w:r>
              <w:rPr>
                <w:sz w:val="16"/>
              </w:rPr>
              <w:t>S8</w:t>
            </w:r>
          </w:p>
        </w:tc>
        <w:tc>
          <w:tcPr>
            <w:tcW w:type="dxa" w:w="3969"/>
            <w:vAlign w:val="center"/>
            <w:tcMar>
              <w:top w:w="80" w:type="dxa"/>
              <w:start w:w="80" w:type="dxa"/>
              <w:bottom w:w="80" w:type="dxa"/>
              <w:end w:w="80" w:type="dxa"/>
            </w:tcMar>
          </w:tcPr>
          <w:p>
            <w:r>
              <w:rPr>
                <w:sz w:val="16"/>
              </w:rPr>
              <w:t>Industrial Process Monitoring / Fault Detection</w:t>
            </w:r>
          </w:p>
        </w:tc>
        <w:tc>
          <w:tcPr>
            <w:tcW w:type="dxa" w:w="5102"/>
            <w:vAlign w:val="center"/>
            <w:tcMar>
              <w:top w:w="80" w:type="dxa"/>
              <w:start w:w="80" w:type="dxa"/>
              <w:bottom w:w="80" w:type="dxa"/>
              <w:end w:w="80" w:type="dxa"/>
            </w:tcMar>
          </w:tcPr>
          <w:p>
            <w:r>
              <w:rPr>
                <w:sz w:val="16"/>
              </w:rPr>
              <w:t>PCA-Q/T²、SVDD/1C-SVM、動的・適応 PCA、AE と実産業適用</w:t>
            </w:r>
          </w:p>
        </w:tc>
      </w:tr>
    </w:tbl>
    <w:p/>
    <w:p>
      <w:r>
        <w:t>統合すると、①学習外の種類を定義、②X のみで学習外スコアを出す検知器を選択、③時間依存・運転モード・ドリフトに応じて動的/適応化、④検知後に予測拒否・警報・モデル更新を行う、という枠組みに整理できる。</w:t>
      </w:r>
    </w:p>
    <w:p>
      <w:pPr>
        <w:pStyle w:val="Heading1"/>
      </w:pPr>
      <w:r>
        <w:t>11. 今後優先して精読すべき原著論文</w:t>
      </w:r>
    </w:p>
    <w:tbl>
      <w:tblPr>
        <w:tblStyle w:val="TableGrid"/>
        <w:tblW w:type="auto" w:w="0"/>
        <w:jc w:val="center"/>
        <w:tblLook w:firstColumn="1" w:firstRow="1" w:lastColumn="0" w:lastRow="0" w:noHBand="0" w:noVBand="1" w:val="04A0"/>
      </w:tblPr>
      <w:tblGrid>
        <w:gridCol w:w="3457"/>
        <w:gridCol w:w="3457"/>
        <w:gridCol w:w="3457"/>
      </w:tblGrid>
      <w:tr>
        <w:tc>
          <w:tcPr>
            <w:tcW w:type="dxa" w:w="1134"/>
            <w:shd w:fill="D9EAF7"/>
            <w:vAlign w:val="center"/>
          </w:tcPr>
          <w:p>
            <w:pPr>
              <w:jc w:val="center"/>
            </w:pPr>
            <w:r>
              <w:rPr>
                <w:b/>
                <w:sz w:val="16"/>
              </w:rPr>
              <w:t>優先度</w:t>
            </w:r>
          </w:p>
        </w:tc>
        <w:tc>
          <w:tcPr>
            <w:tcW w:type="dxa" w:w="5669"/>
            <w:shd w:fill="D9EAF7"/>
            <w:vAlign w:val="center"/>
          </w:tcPr>
          <w:p>
            <w:pPr>
              <w:jc w:val="center"/>
            </w:pPr>
            <w:r>
              <w:rPr>
                <w:b/>
                <w:sz w:val="16"/>
              </w:rPr>
              <w:t>文献・テーマ</w:t>
            </w:r>
          </w:p>
        </w:tc>
        <w:tc>
          <w:tcPr>
            <w:tcW w:type="dxa" w:w="3969"/>
            <w:shd w:fill="D9EAF7"/>
            <w:vAlign w:val="center"/>
          </w:tcPr>
          <w:p>
            <w:pPr>
              <w:jc w:val="center"/>
            </w:pPr>
            <w:r>
              <w:rPr>
                <w:b/>
                <w:sz w:val="16"/>
              </w:rPr>
              <w:t>理由</w:t>
            </w:r>
          </w:p>
        </w:tc>
      </w:tr>
      <w:tr>
        <w:tc>
          <w:tcPr>
            <w:tcW w:type="dxa" w:w="1134"/>
            <w:vAlign w:val="center"/>
            <w:tcMar>
              <w:top w:w="80" w:type="dxa"/>
              <w:start w:w="80" w:type="dxa"/>
              <w:bottom w:w="80" w:type="dxa"/>
              <w:end w:w="80" w:type="dxa"/>
            </w:tcMar>
          </w:tcPr>
          <w:p>
            <w:r>
              <w:rPr>
                <w:sz w:val="16"/>
              </w:rPr>
              <w:t>A</w:t>
            </w:r>
          </w:p>
        </w:tc>
        <w:tc>
          <w:tcPr>
            <w:tcW w:type="dxa" w:w="5669"/>
            <w:vAlign w:val="center"/>
            <w:tcMar>
              <w:top w:w="80" w:type="dxa"/>
              <w:start w:w="80" w:type="dxa"/>
              <w:bottom w:w="80" w:type="dxa"/>
              <w:end w:w="80" w:type="dxa"/>
            </w:tcMar>
          </w:tcPr>
          <w:p>
            <w:r>
              <w:rPr>
                <w:sz w:val="16"/>
              </w:rPr>
              <w:t>Tax &amp; Duin (1999): Support Vector Domain Description</w:t>
            </w:r>
          </w:p>
        </w:tc>
        <w:tc>
          <w:tcPr>
            <w:tcW w:type="dxa" w:w="3969"/>
            <w:vAlign w:val="center"/>
            <w:tcMar>
              <w:top w:w="80" w:type="dxa"/>
              <w:start w:w="80" w:type="dxa"/>
              <w:bottom w:w="80" w:type="dxa"/>
              <w:end w:w="80" w:type="dxa"/>
            </w:tcMar>
          </w:tcPr>
          <w:p>
            <w:r>
              <w:rPr>
                <w:sz w:val="16"/>
              </w:rPr>
              <w:t>SVDD の原著。正常領域学習の基本。</w:t>
            </w:r>
          </w:p>
        </w:tc>
      </w:tr>
      <w:tr>
        <w:tc>
          <w:tcPr>
            <w:tcW w:type="dxa" w:w="1134"/>
            <w:vAlign w:val="center"/>
            <w:tcMar>
              <w:top w:w="80" w:type="dxa"/>
              <w:start w:w="80" w:type="dxa"/>
              <w:bottom w:w="80" w:type="dxa"/>
              <w:end w:w="80" w:type="dxa"/>
            </w:tcMar>
          </w:tcPr>
          <w:p>
            <w:r>
              <w:rPr>
                <w:sz w:val="16"/>
              </w:rPr>
              <w:t>A</w:t>
            </w:r>
          </w:p>
        </w:tc>
        <w:tc>
          <w:tcPr>
            <w:tcW w:type="dxa" w:w="5669"/>
            <w:vAlign w:val="center"/>
            <w:tcMar>
              <w:top w:w="80" w:type="dxa"/>
              <w:start w:w="80" w:type="dxa"/>
              <w:bottom w:w="80" w:type="dxa"/>
              <w:end w:w="80" w:type="dxa"/>
            </w:tcMar>
          </w:tcPr>
          <w:p>
            <w:r>
              <w:rPr>
                <w:sz w:val="16"/>
              </w:rPr>
              <w:t>Schölkopf et al. (2001): Estimating the Support of a High-Dimensional Distribution</w:t>
            </w:r>
          </w:p>
        </w:tc>
        <w:tc>
          <w:tcPr>
            <w:tcW w:type="dxa" w:w="3969"/>
            <w:vAlign w:val="center"/>
            <w:tcMar>
              <w:top w:w="80" w:type="dxa"/>
              <w:start w:w="80" w:type="dxa"/>
              <w:bottom w:w="80" w:type="dxa"/>
              <w:end w:w="80" w:type="dxa"/>
            </w:tcMar>
          </w:tcPr>
          <w:p>
            <w:r>
              <w:rPr>
                <w:sz w:val="16"/>
              </w:rPr>
              <w:t>One-Class SVM / support estimation の代表的原著。</w:t>
            </w:r>
          </w:p>
        </w:tc>
      </w:tr>
      <w:tr>
        <w:tc>
          <w:tcPr>
            <w:tcW w:type="dxa" w:w="1134"/>
            <w:vAlign w:val="center"/>
            <w:tcMar>
              <w:top w:w="80" w:type="dxa"/>
              <w:start w:w="80" w:type="dxa"/>
              <w:bottom w:w="80" w:type="dxa"/>
              <w:end w:w="80" w:type="dxa"/>
            </w:tcMar>
          </w:tcPr>
          <w:p>
            <w:r>
              <w:rPr>
                <w:sz w:val="16"/>
              </w:rPr>
              <w:t>A</w:t>
            </w:r>
          </w:p>
        </w:tc>
        <w:tc>
          <w:tcPr>
            <w:tcW w:type="dxa" w:w="5669"/>
            <w:vAlign w:val="center"/>
            <w:tcMar>
              <w:top w:w="80" w:type="dxa"/>
              <w:start w:w="80" w:type="dxa"/>
              <w:bottom w:w="80" w:type="dxa"/>
              <w:end w:w="80" w:type="dxa"/>
            </w:tcMar>
          </w:tcPr>
          <w:p>
            <w:r>
              <w:rPr>
                <w:sz w:val="16"/>
              </w:rPr>
              <w:t>Mahadevan &amp; Shah (2009): one-class SVM for process fault detection</w:t>
            </w:r>
          </w:p>
        </w:tc>
        <w:tc>
          <w:tcPr>
            <w:tcW w:type="dxa" w:w="3969"/>
            <w:vAlign w:val="center"/>
            <w:tcMar>
              <w:top w:w="80" w:type="dxa"/>
              <w:start w:w="80" w:type="dxa"/>
              <w:bottom w:w="80" w:type="dxa"/>
              <w:end w:w="80" w:type="dxa"/>
            </w:tcMar>
          </w:tcPr>
          <w:p>
            <w:r>
              <w:rPr>
                <w:sz w:val="16"/>
              </w:rPr>
              <w:t>産業プロセスへの直接適用。</w:t>
            </w:r>
          </w:p>
        </w:tc>
      </w:tr>
      <w:tr>
        <w:tc>
          <w:tcPr>
            <w:tcW w:type="dxa" w:w="1134"/>
            <w:vAlign w:val="center"/>
            <w:tcMar>
              <w:top w:w="80" w:type="dxa"/>
              <w:start w:w="80" w:type="dxa"/>
              <w:bottom w:w="80" w:type="dxa"/>
              <w:end w:w="80" w:type="dxa"/>
            </w:tcMar>
          </w:tcPr>
          <w:p>
            <w:r>
              <w:rPr>
                <w:sz w:val="16"/>
              </w:rPr>
              <w:t>A</w:t>
            </w:r>
          </w:p>
        </w:tc>
        <w:tc>
          <w:tcPr>
            <w:tcW w:type="dxa" w:w="5669"/>
            <w:vAlign w:val="center"/>
            <w:tcMar>
              <w:top w:w="80" w:type="dxa"/>
              <w:start w:w="80" w:type="dxa"/>
              <w:bottom w:w="80" w:type="dxa"/>
              <w:end w:w="80" w:type="dxa"/>
            </w:tcMar>
          </w:tcPr>
          <w:p>
            <w:r>
              <w:rPr>
                <w:sz w:val="16"/>
              </w:rPr>
              <w:t>Time-adaptive SVDD for nonstationary process monitoring</w:t>
            </w:r>
          </w:p>
        </w:tc>
        <w:tc>
          <w:tcPr>
            <w:tcW w:type="dxa" w:w="3969"/>
            <w:vAlign w:val="center"/>
            <w:tcMar>
              <w:top w:w="80" w:type="dxa"/>
              <w:start w:w="80" w:type="dxa"/>
              <w:bottom w:w="80" w:type="dxa"/>
              <w:end w:w="80" w:type="dxa"/>
            </w:tcMar>
          </w:tcPr>
          <w:p>
            <w:r>
              <w:rPr>
                <w:sz w:val="16"/>
              </w:rPr>
              <w:t>非定常・ドリフトへの対応。</w:t>
            </w:r>
          </w:p>
        </w:tc>
      </w:tr>
      <w:tr>
        <w:tc>
          <w:tcPr>
            <w:tcW w:type="dxa" w:w="1134"/>
            <w:vAlign w:val="center"/>
            <w:tcMar>
              <w:top w:w="80" w:type="dxa"/>
              <w:start w:w="80" w:type="dxa"/>
              <w:bottom w:w="80" w:type="dxa"/>
              <w:end w:w="80" w:type="dxa"/>
            </w:tcMar>
          </w:tcPr>
          <w:p>
            <w:r>
              <w:rPr>
                <w:sz w:val="16"/>
              </w:rPr>
              <w:t>A</w:t>
            </w:r>
          </w:p>
        </w:tc>
        <w:tc>
          <w:tcPr>
            <w:tcW w:type="dxa" w:w="5669"/>
            <w:vAlign w:val="center"/>
            <w:tcMar>
              <w:top w:w="80" w:type="dxa"/>
              <w:start w:w="80" w:type="dxa"/>
              <w:bottom w:w="80" w:type="dxa"/>
              <w:end w:w="80" w:type="dxa"/>
            </w:tcMar>
          </w:tcPr>
          <w:p>
            <w:r>
              <w:rPr>
                <w:sz w:val="16"/>
              </w:rPr>
              <w:t>DiPCA 関連論文</w:t>
            </w:r>
          </w:p>
        </w:tc>
        <w:tc>
          <w:tcPr>
            <w:tcW w:type="dxa" w:w="3969"/>
            <w:vAlign w:val="center"/>
            <w:tcMar>
              <w:top w:w="80" w:type="dxa"/>
              <w:start w:w="80" w:type="dxa"/>
              <w:bottom w:w="80" w:type="dxa"/>
              <w:end w:w="80" w:type="dxa"/>
            </w:tcMar>
          </w:tcPr>
          <w:p>
            <w:r>
              <w:rPr>
                <w:sz w:val="16"/>
              </w:rPr>
              <w:t>多変量時系列の動的正常構造を直接扱う。</w:t>
            </w:r>
          </w:p>
        </w:tc>
      </w:tr>
      <w:tr>
        <w:tc>
          <w:tcPr>
            <w:tcW w:type="dxa" w:w="1134"/>
            <w:vAlign w:val="center"/>
            <w:tcMar>
              <w:top w:w="80" w:type="dxa"/>
              <w:start w:w="80" w:type="dxa"/>
              <w:bottom w:w="80" w:type="dxa"/>
              <w:end w:w="80" w:type="dxa"/>
            </w:tcMar>
          </w:tcPr>
          <w:p>
            <w:r>
              <w:rPr>
                <w:sz w:val="16"/>
              </w:rPr>
              <w:t>B</w:t>
            </w:r>
          </w:p>
        </w:tc>
        <w:tc>
          <w:tcPr>
            <w:tcW w:type="dxa" w:w="5669"/>
            <w:vAlign w:val="center"/>
            <w:tcMar>
              <w:top w:w="80" w:type="dxa"/>
              <w:start w:w="80" w:type="dxa"/>
              <w:bottom w:w="80" w:type="dxa"/>
              <w:end w:w="80" w:type="dxa"/>
            </w:tcMar>
          </w:tcPr>
          <w:p>
            <w:r>
              <w:rPr>
                <w:sz w:val="16"/>
              </w:rPr>
              <w:t>Autoencoder-based process monitoring</w:t>
            </w:r>
          </w:p>
        </w:tc>
        <w:tc>
          <w:tcPr>
            <w:tcW w:type="dxa" w:w="3969"/>
            <w:vAlign w:val="center"/>
            <w:tcMar>
              <w:top w:w="80" w:type="dxa"/>
              <w:start w:w="80" w:type="dxa"/>
              <w:bottom w:w="80" w:type="dxa"/>
              <w:end w:w="80" w:type="dxa"/>
            </w:tcMar>
          </w:tcPr>
          <w:p>
            <w:r>
              <w:rPr>
                <w:sz w:val="16"/>
              </w:rPr>
              <w:t>非線形再構成誤差型検知の候補。</w:t>
            </w:r>
          </w:p>
        </w:tc>
      </w:tr>
      <w:tr>
        <w:tc>
          <w:tcPr>
            <w:tcW w:type="dxa" w:w="1134"/>
            <w:vAlign w:val="center"/>
            <w:tcMar>
              <w:top w:w="80" w:type="dxa"/>
              <w:start w:w="80" w:type="dxa"/>
              <w:bottom w:w="80" w:type="dxa"/>
              <w:end w:w="80" w:type="dxa"/>
            </w:tcMar>
          </w:tcPr>
          <w:p>
            <w:r>
              <w:rPr>
                <w:sz w:val="16"/>
              </w:rPr>
              <w:t>B</w:t>
            </w:r>
          </w:p>
        </w:tc>
        <w:tc>
          <w:tcPr>
            <w:tcW w:type="dxa" w:w="5669"/>
            <w:vAlign w:val="center"/>
            <w:tcMar>
              <w:top w:w="80" w:type="dxa"/>
              <w:start w:w="80" w:type="dxa"/>
              <w:bottom w:w="80" w:type="dxa"/>
              <w:end w:w="80" w:type="dxa"/>
            </w:tcMar>
          </w:tcPr>
          <w:p>
            <w:r>
              <w:rPr>
                <w:sz w:val="16"/>
              </w:rPr>
              <w:t>Multidimensional continuous change detection / concept drift</w:t>
            </w:r>
          </w:p>
        </w:tc>
        <w:tc>
          <w:tcPr>
            <w:tcW w:type="dxa" w:w="3969"/>
            <w:vAlign w:val="center"/>
            <w:tcMar>
              <w:top w:w="80" w:type="dxa"/>
              <w:start w:w="80" w:type="dxa"/>
              <w:bottom w:w="80" w:type="dxa"/>
              <w:end w:w="80" w:type="dxa"/>
            </w:tcMar>
          </w:tcPr>
          <w:p>
            <w:r>
              <w:rPr>
                <w:sz w:val="16"/>
              </w:rPr>
              <w:t>オンライン分布変化検知との接続。</w:t>
            </w:r>
          </w:p>
        </w:tc>
      </w:tr>
    </w:tbl>
    <w:p/>
    <w:p>
      <w:pPr>
        <w:pStyle w:val="Heading1"/>
      </w:pPr>
      <w:r>
        <w:t>12. 結論</w:t>
      </w:r>
    </w:p>
    <w:p>
      <w:r>
        <w:t>本論文から、本課題で最初に比較すべき候補は PCA-Q/SPE、One-Class SVM/SVDD、Dynamic PCA であると整理できる。非線形性が強い場合には Autoencoder または KPCA を追加する。特に PCA-Q は、各入力項目が個別の学習範囲内であっても、学習時の多変量相関構造から外れた入力を検知できるため、送水・水処理プロセスの「未知の項目間関係」の検知に対する有力なベースラインである。</w:t>
      </w:r>
    </w:p>
    <w:sectPr w:rsidR="00FC693F" w:rsidRPr="0006063C" w:rsidSect="00034616">
      <w:pgSz w:w="12240" w:h="15840"/>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Arial" w:hAnsi="Arial"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rial" w:hAnsi="Arial" w:eastAsia="Yu Gothic"/>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Yu Gothic"/>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Arial" w:hAnsi="Arial" w:eastAsia="Yu Gothic"/>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