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S3 多変量 Outlier の分類と検知手法整理（日本語）</w:t>
      </w:r>
    </w:p>
    <w:p>
      <w:pPr>
        <w:jc w:val="center"/>
      </w:pPr>
      <w:r>
        <w:rPr>
          <w:b/>
          <w:sz w:val="19"/>
        </w:rPr>
        <w:t>A Review on Outlier/Anomaly Detection in Time Series Data (Blázquez-García et al., 2021)</w:t>
      </w:r>
    </w:p>
    <w:p>
      <w:pPr>
        <w:pStyle w:val="Heading1"/>
      </w:pPr>
      <w:r>
        <w:t>1. 論文全体の Taxonomy</w:t>
      </w:r>
    </w:p>
    <w:p>
      <w:r>
        <w:t>本論文は、時系列 outlier detection を3つの独立した軸で整理している：Input Data、Outlier Type、Nature of the Method。したがって、入力が Multivariate Time Series であること、Outlier 自体が Multivariate であること、Detection Method が Multivariate であることは区別する必要がある。</w:t>
      </w:r>
    </w:p>
    <w:tbl>
      <w:tblPr>
        <w:tblStyle w:val="TableGrid"/>
        <w:tblW w:type="auto" w:w="0"/>
        <w:jc w:val="center"/>
        <w:tblLook w:firstColumn="1" w:firstRow="1" w:lastColumn="0" w:lastRow="0" w:noHBand="0" w:noVBand="1" w:val="04A0"/>
      </w:tblPr>
      <w:tblGrid>
        <w:gridCol w:w="2620"/>
        <w:gridCol w:w="2620"/>
        <w:gridCol w:w="2620"/>
        <w:gridCol w:w="2620"/>
      </w:tblGrid>
      <w:tr>
        <w:tc>
          <w:tcPr>
            <w:tcW w:type="dxa" w:w="2268"/>
            <w:shd w:fill="D9EAF7"/>
            <w:vAlign w:val="center"/>
          </w:tcPr>
          <w:p>
            <w:pPr>
              <w:jc w:val="center"/>
            </w:pPr>
            <w:r>
              <w:rPr>
                <w:b/>
                <w:sz w:val="15"/>
              </w:rPr>
              <w:t>分類軸</w:t>
            </w:r>
          </w:p>
        </w:tc>
        <w:tc>
          <w:tcPr>
            <w:tcW w:type="dxa" w:w="2268"/>
            <w:shd w:fill="D9EAF7"/>
            <w:vAlign w:val="center"/>
          </w:tcPr>
          <w:p>
            <w:pPr>
              <w:jc w:val="center"/>
            </w:pPr>
            <w:r>
              <w:rPr>
                <w:b/>
                <w:sz w:val="15"/>
              </w:rPr>
              <w:t>English term</w:t>
            </w:r>
          </w:p>
        </w:tc>
        <w:tc>
          <w:tcPr>
            <w:tcW w:type="dxa" w:w="3402"/>
            <w:shd w:fill="D9EAF7"/>
            <w:vAlign w:val="center"/>
          </w:tcPr>
          <w:p>
            <w:pPr>
              <w:jc w:val="center"/>
            </w:pPr>
            <w:r>
              <w:rPr>
                <w:b/>
                <w:sz w:val="15"/>
              </w:rPr>
              <w:t>分類</w:t>
            </w:r>
          </w:p>
        </w:tc>
        <w:tc>
          <w:tcPr>
            <w:tcW w:type="dxa" w:w="3969"/>
            <w:shd w:fill="D9EAF7"/>
            <w:vAlign w:val="center"/>
          </w:tcPr>
          <w:p>
            <w:pPr>
              <w:jc w:val="center"/>
            </w:pPr>
            <w:r>
              <w:rPr>
                <w:b/>
                <w:sz w:val="15"/>
              </w:rPr>
              <w:t>説明</w:t>
            </w:r>
          </w:p>
        </w:tc>
      </w:tr>
      <w:tr>
        <w:tc>
          <w:tcPr>
            <w:tcW w:type="dxa" w:w="2268"/>
            <w:vAlign w:val="center"/>
          </w:tcPr>
          <w:p>
            <w:r>
              <w:rPr>
                <w:sz w:val="15"/>
              </w:rPr>
              <w:t>入力データ</w:t>
            </w:r>
          </w:p>
        </w:tc>
        <w:tc>
          <w:tcPr>
            <w:tcW w:type="dxa" w:w="2268"/>
            <w:vAlign w:val="center"/>
          </w:tcPr>
          <w:p>
            <w:r>
              <w:rPr>
                <w:sz w:val="15"/>
              </w:rPr>
              <w:t>Input Data</w:t>
            </w:r>
          </w:p>
        </w:tc>
        <w:tc>
          <w:tcPr>
            <w:tcW w:type="dxa" w:w="3402"/>
            <w:vAlign w:val="center"/>
          </w:tcPr>
          <w:p>
            <w:r>
              <w:rPr>
                <w:sz w:val="15"/>
              </w:rPr>
              <w:t>Univariate / Multivariate Time Series</w:t>
            </w:r>
          </w:p>
        </w:tc>
        <w:tc>
          <w:tcPr>
            <w:tcW w:type="dxa" w:w="3969"/>
            <w:vAlign w:val="center"/>
          </w:tcPr>
          <w:p>
            <w:r>
              <w:rPr>
                <w:sz w:val="15"/>
              </w:rPr>
              <w:t>手法が単変量または多変量時系列を入力として扱うか。</w:t>
            </w:r>
          </w:p>
        </w:tc>
      </w:tr>
      <w:tr>
        <w:tc>
          <w:tcPr>
            <w:tcW w:type="dxa" w:w="2268"/>
            <w:vAlign w:val="center"/>
          </w:tcPr>
          <w:p>
            <w:r>
              <w:rPr>
                <w:sz w:val="15"/>
              </w:rPr>
              <w:t>異常の種類</w:t>
            </w:r>
          </w:p>
        </w:tc>
        <w:tc>
          <w:tcPr>
            <w:tcW w:type="dxa" w:w="2268"/>
            <w:vAlign w:val="center"/>
          </w:tcPr>
          <w:p>
            <w:r>
              <w:rPr>
                <w:sz w:val="15"/>
              </w:rPr>
              <w:t>Outlier Type</w:t>
            </w:r>
          </w:p>
        </w:tc>
        <w:tc>
          <w:tcPr>
            <w:tcW w:type="dxa" w:w="3402"/>
            <w:vAlign w:val="center"/>
          </w:tcPr>
          <w:p>
            <w:r>
              <w:rPr>
                <w:sz w:val="15"/>
              </w:rPr>
              <w:t>Point / Subsequence / Time Series</w:t>
            </w:r>
          </w:p>
        </w:tc>
        <w:tc>
          <w:tcPr>
            <w:tcW w:type="dxa" w:w="3969"/>
            <w:vAlign w:val="center"/>
          </w:tcPr>
          <w:p>
            <w:r>
              <w:rPr>
                <w:sz w:val="15"/>
              </w:rPr>
              <w:t>異常が1時点、一連の区間、または変数全体に生じるか。</w:t>
            </w:r>
          </w:p>
        </w:tc>
      </w:tr>
      <w:tr>
        <w:tc>
          <w:tcPr>
            <w:tcW w:type="dxa" w:w="2268"/>
            <w:vAlign w:val="center"/>
          </w:tcPr>
          <w:p>
            <w:r>
              <w:rPr>
                <w:sz w:val="15"/>
              </w:rPr>
              <w:t>検知手法の性質</w:t>
            </w:r>
          </w:p>
        </w:tc>
        <w:tc>
          <w:tcPr>
            <w:tcW w:type="dxa" w:w="2268"/>
            <w:vAlign w:val="center"/>
          </w:tcPr>
          <w:p>
            <w:r>
              <w:rPr>
                <w:sz w:val="15"/>
              </w:rPr>
              <w:t>Nature of the Method</w:t>
            </w:r>
          </w:p>
        </w:tc>
        <w:tc>
          <w:tcPr>
            <w:tcW w:type="dxa" w:w="3402"/>
            <w:vAlign w:val="center"/>
          </w:tcPr>
          <w:p>
            <w:r>
              <w:rPr>
                <w:sz w:val="15"/>
              </w:rPr>
              <w:t>Univariate / Multivariate</w:t>
            </w:r>
          </w:p>
        </w:tc>
        <w:tc>
          <w:tcPr>
            <w:tcW w:type="dxa" w:w="3969"/>
            <w:vAlign w:val="center"/>
          </w:tcPr>
          <w:p>
            <w:r>
              <w:rPr>
                <w:sz w:val="15"/>
              </w:rPr>
              <w:t>複数変数を同時に利用して依存関係を考慮するか。</w:t>
            </w:r>
          </w:p>
        </w:tc>
      </w:tr>
    </w:tbl>
    <w:p/>
    <w:p>
      <w:pPr>
        <w:jc w:val="center"/>
      </w:pPr>
      <w:r>
        <w:drawing>
          <wp:inline xmlns:a="http://schemas.openxmlformats.org/drawingml/2006/main" xmlns:pic="http://schemas.openxmlformats.org/drawingml/2006/picture">
            <wp:extent cx="5580000" cy="1999500"/>
            <wp:docPr id="1" name="Picture 1"/>
            <wp:cNvGraphicFramePr>
              <a:graphicFrameLocks noChangeAspect="1"/>
            </wp:cNvGraphicFramePr>
            <a:graphic>
              <a:graphicData uri="http://schemas.openxmlformats.org/drawingml/2006/picture">
                <pic:pic>
                  <pic:nvPicPr>
                    <pic:cNvPr id="0" name="fig2.png"/>
                    <pic:cNvPicPr/>
                  </pic:nvPicPr>
                  <pic:blipFill>
                    <a:blip r:embed="rId9"/>
                    <a:stretch>
                      <a:fillRect/>
                    </a:stretch>
                  </pic:blipFill>
                  <pic:spPr>
                    <a:xfrm>
                      <a:off x="0" y="0"/>
                      <a:ext cx="5580000" cy="1999500"/>
                    </a:xfrm>
                    <a:prstGeom prst="rect"/>
                  </pic:spPr>
                </pic:pic>
              </a:graphicData>
            </a:graphic>
          </wp:inline>
        </w:drawing>
      </w:r>
    </w:p>
    <w:p>
      <w:pPr>
        <w:jc w:val="center"/>
      </w:pPr>
      <w:r>
        <w:rPr>
          <w:i/>
          <w:sz w:val="16"/>
        </w:rPr>
        <w:t>Original Figure 2: Proposed taxonomy of outlier detection techniques in time series data (p.4)</w:t>
      </w:r>
    </w:p>
    <w:p>
      <w:pPr>
        <w:pStyle w:val="Heading1"/>
      </w:pPr>
      <w:r>
        <w:t>2. Multivariate Time Series における Outlier Type</w:t>
      </w:r>
    </w:p>
    <w:tbl>
      <w:tblPr>
        <w:tblStyle w:val="TableGrid"/>
        <w:tblW w:type="auto" w:w="0"/>
        <w:jc w:val="center"/>
        <w:tblLook w:firstColumn="1" w:firstRow="1" w:lastColumn="0" w:lastRow="0" w:noHBand="0" w:noVBand="1" w:val="04A0"/>
      </w:tblPr>
      <w:tblGrid>
        <w:gridCol w:w="2096"/>
        <w:gridCol w:w="2096"/>
        <w:gridCol w:w="2096"/>
        <w:gridCol w:w="2096"/>
        <w:gridCol w:w="2096"/>
      </w:tblGrid>
      <w:tr>
        <w:tc>
          <w:tcPr>
            <w:tcW w:type="dxa" w:w="2268"/>
            <w:shd w:fill="D9EAF7"/>
            <w:vAlign w:val="center"/>
          </w:tcPr>
          <w:p>
            <w:pPr>
              <w:jc w:val="center"/>
            </w:pPr>
            <w:r>
              <w:rPr>
                <w:b/>
                <w:sz w:val="15"/>
              </w:rPr>
              <w:t>上位分類</w:t>
            </w:r>
          </w:p>
        </w:tc>
        <w:tc>
          <w:tcPr>
            <w:tcW w:type="dxa" w:w="2268"/>
            <w:shd w:fill="D9EAF7"/>
            <w:vAlign w:val="center"/>
          </w:tcPr>
          <w:p>
            <w:pPr>
              <w:jc w:val="center"/>
            </w:pPr>
            <w:r>
              <w:rPr>
                <w:b/>
                <w:sz w:val="15"/>
              </w:rPr>
              <w:t>English term</w:t>
            </w:r>
          </w:p>
        </w:tc>
        <w:tc>
          <w:tcPr>
            <w:tcW w:type="dxa" w:w="3969"/>
            <w:shd w:fill="D9EAF7"/>
            <w:vAlign w:val="center"/>
          </w:tcPr>
          <w:p>
            <w:pPr>
              <w:jc w:val="center"/>
            </w:pPr>
            <w:r>
              <w:rPr>
                <w:b/>
                <w:sz w:val="15"/>
              </w:rPr>
              <w:t>定義</w:t>
            </w:r>
          </w:p>
        </w:tc>
        <w:tc>
          <w:tcPr>
            <w:tcW w:type="dxa" w:w="3402"/>
            <w:shd w:fill="D9EAF7"/>
            <w:vAlign w:val="center"/>
          </w:tcPr>
          <w:p>
            <w:pPr>
              <w:jc w:val="center"/>
            </w:pPr>
            <w:r>
              <w:rPr>
                <w:b/>
                <w:sz w:val="15"/>
              </w:rPr>
              <w:t>下位分類</w:t>
            </w:r>
          </w:p>
        </w:tc>
        <w:tc>
          <w:tcPr>
            <w:tcW w:type="dxa" w:w="3402"/>
            <w:shd w:fill="D9EAF7"/>
            <w:vAlign w:val="center"/>
          </w:tcPr>
          <w:p>
            <w:pPr>
              <w:jc w:val="center"/>
            </w:pPr>
            <w:r>
              <w:rPr>
                <w:b/>
                <w:sz w:val="15"/>
              </w:rPr>
              <w:t>例</w:t>
            </w:r>
          </w:p>
        </w:tc>
      </w:tr>
      <w:tr>
        <w:tc>
          <w:tcPr>
            <w:tcW w:type="dxa" w:w="2268"/>
            <w:vAlign w:val="center"/>
          </w:tcPr>
          <w:p>
            <w:r>
              <w:rPr>
                <w:sz w:val="15"/>
              </w:rPr>
              <w:t>点異常</w:t>
            </w:r>
          </w:p>
        </w:tc>
        <w:tc>
          <w:tcPr>
            <w:tcW w:type="dxa" w:w="2268"/>
            <w:vAlign w:val="center"/>
          </w:tcPr>
          <w:p>
            <w:r>
              <w:rPr>
                <w:sz w:val="15"/>
              </w:rPr>
              <w:t>Point Outlier</w:t>
            </w:r>
          </w:p>
        </w:tc>
        <w:tc>
          <w:tcPr>
            <w:tcW w:type="dxa" w:w="3969"/>
            <w:vAlign w:val="center"/>
          </w:tcPr>
          <w:p>
            <w:r>
              <w:rPr>
                <w:sz w:val="15"/>
              </w:rPr>
              <w:t>特定時刻 t の観測が異常。</w:t>
            </w:r>
          </w:p>
        </w:tc>
        <w:tc>
          <w:tcPr>
            <w:tcW w:type="dxa" w:w="3402"/>
            <w:vAlign w:val="center"/>
          </w:tcPr>
          <w:p>
            <w:r>
              <w:rPr>
                <w:sz w:val="15"/>
              </w:rPr>
              <w:t>Univariate / Multivariate Point Outlier、さらに Global / Local。</w:t>
            </w:r>
          </w:p>
        </w:tc>
        <w:tc>
          <w:tcPr>
            <w:tcW w:type="dxa" w:w="3402"/>
            <w:vAlign w:val="center"/>
          </w:tcPr>
          <w:p>
            <w:r>
              <w:rPr>
                <w:sz w:val="15"/>
              </w:rPr>
              <w:t>圧力のみ異常、または流量と圧力の組合せのみ異常。</w:t>
            </w:r>
          </w:p>
        </w:tc>
      </w:tr>
      <w:tr>
        <w:tc>
          <w:tcPr>
            <w:tcW w:type="dxa" w:w="2268"/>
            <w:vAlign w:val="center"/>
          </w:tcPr>
          <w:p>
            <w:r>
              <w:rPr>
                <w:sz w:val="15"/>
              </w:rPr>
              <w:t>部分系列異常</w:t>
            </w:r>
          </w:p>
        </w:tc>
        <w:tc>
          <w:tcPr>
            <w:tcW w:type="dxa" w:w="2268"/>
            <w:vAlign w:val="center"/>
          </w:tcPr>
          <w:p>
            <w:r>
              <w:rPr>
                <w:sz w:val="15"/>
              </w:rPr>
              <w:t>Subsequence Outlier</w:t>
            </w:r>
          </w:p>
        </w:tc>
        <w:tc>
          <w:tcPr>
            <w:tcW w:type="dxa" w:w="3969"/>
            <w:vAlign w:val="center"/>
          </w:tcPr>
          <w:p>
            <w:r>
              <w:rPr>
                <w:sz w:val="15"/>
              </w:rPr>
              <w:t>連続する複数時点が全体として異常。個々の点は正常でもよい。</w:t>
            </w:r>
          </w:p>
        </w:tc>
        <w:tc>
          <w:tcPr>
            <w:tcW w:type="dxa" w:w="3402"/>
            <w:vAlign w:val="center"/>
          </w:tcPr>
          <w:p>
            <w:r>
              <w:rPr>
                <w:sz w:val="15"/>
              </w:rPr>
              <w:t>Univariate / Multivariate Subsequence Outlier、Global / Local。</w:t>
            </w:r>
          </w:p>
        </w:tc>
        <w:tc>
          <w:tcPr>
            <w:tcW w:type="dxa" w:w="3402"/>
            <w:vAlign w:val="center"/>
          </w:tcPr>
          <w:p>
            <w:r>
              <w:rPr>
                <w:sz w:val="15"/>
              </w:rPr>
              <w:t>20分間の濁度・薬注率の動的パターンが未学習。</w:t>
            </w:r>
          </w:p>
        </w:tc>
      </w:tr>
      <w:tr>
        <w:tc>
          <w:tcPr>
            <w:tcW w:type="dxa" w:w="2268"/>
            <w:vAlign w:val="center"/>
          </w:tcPr>
          <w:p>
            <w:r>
              <w:rPr>
                <w:sz w:val="15"/>
              </w:rPr>
              <w:t>系列全体異常</w:t>
            </w:r>
          </w:p>
        </w:tc>
        <w:tc>
          <w:tcPr>
            <w:tcW w:type="dxa" w:w="2268"/>
            <w:vAlign w:val="center"/>
          </w:tcPr>
          <w:p>
            <w:r>
              <w:rPr>
                <w:sz w:val="15"/>
              </w:rPr>
              <w:t>Outlier Time Series</w:t>
            </w:r>
          </w:p>
        </w:tc>
        <w:tc>
          <w:tcPr>
            <w:tcW w:type="dxa" w:w="3969"/>
            <w:vAlign w:val="center"/>
          </w:tcPr>
          <w:p>
            <w:r>
              <w:rPr>
                <w:sz w:val="15"/>
              </w:rPr>
              <w:t>多変量時系列中のある1変数の系列全体が他と大きく異なる。</w:t>
            </w:r>
          </w:p>
        </w:tc>
        <w:tc>
          <w:tcPr>
            <w:tcW w:type="dxa" w:w="3402"/>
            <w:vAlign w:val="center"/>
          </w:tcPr>
          <w:p>
            <w:r>
              <w:rPr>
                <w:sz w:val="15"/>
              </w:rPr>
              <w:t>Multivariate Time Series でのみ定義可能。</w:t>
            </w:r>
          </w:p>
        </w:tc>
        <w:tc>
          <w:tcPr>
            <w:tcW w:type="dxa" w:w="3402"/>
            <w:vAlign w:val="center"/>
          </w:tcPr>
          <w:p>
            <w:r>
              <w:rPr>
                <w:sz w:val="15"/>
              </w:rPr>
              <w:t>多数のセンサの中で1センサの長期挙動のみ異常。</w:t>
            </w:r>
          </w:p>
        </w:tc>
      </w:tr>
    </w:tbl>
    <w:p/>
    <w:p>
      <w:pPr>
        <w:jc w:val="center"/>
      </w:pPr>
      <w:r>
        <w:drawing>
          <wp:inline xmlns:a="http://schemas.openxmlformats.org/drawingml/2006/main" xmlns:pic="http://schemas.openxmlformats.org/drawingml/2006/picture">
            <wp:extent cx="5580000" cy="2657143"/>
            <wp:docPr id="2" name="Picture 2"/>
            <wp:cNvGraphicFramePr>
              <a:graphicFrameLocks noChangeAspect="1"/>
            </wp:cNvGraphicFramePr>
            <a:graphic>
              <a:graphicData uri="http://schemas.openxmlformats.org/drawingml/2006/picture">
                <pic:pic>
                  <pic:nvPicPr>
                    <pic:cNvPr id="0" name="fig3.png"/>
                    <pic:cNvPicPr/>
                  </pic:nvPicPr>
                  <pic:blipFill>
                    <a:blip r:embed="rId10"/>
                    <a:stretch>
                      <a:fillRect/>
                    </a:stretch>
                  </pic:blipFill>
                  <pic:spPr>
                    <a:xfrm>
                      <a:off x="0" y="0"/>
                      <a:ext cx="5580000" cy="2657143"/>
                    </a:xfrm>
                    <a:prstGeom prst="rect"/>
                  </pic:spPr>
                </pic:pic>
              </a:graphicData>
            </a:graphic>
          </wp:inline>
        </w:drawing>
      </w:r>
    </w:p>
    <w:p>
      <w:pPr>
        <w:jc w:val="center"/>
      </w:pPr>
      <w:r>
        <w:rPr>
          <w:i/>
          <w:sz w:val="16"/>
        </w:rPr>
        <w:t>Original Figure 3: Point outliers in time series data. Multivariate example: O3 = univariate point outlier, O1/O2 = multivariate point outlier (p.4)</w:t>
      </w:r>
    </w:p>
    <w:p>
      <w:pPr>
        <w:pStyle w:val="Heading1"/>
      </w:pPr>
      <w:r>
        <w:t>3. Point Outlier の下位分類</w:t>
      </w:r>
    </w:p>
    <w:p>
      <w:pPr>
        <w:pStyle w:val="Heading2"/>
      </w:pPr>
      <w:r>
        <w:t>3.1 影響する変数数による分類</w:t>
      </w:r>
    </w:p>
    <w:tbl>
      <w:tblPr>
        <w:tblStyle w:val="TableGrid"/>
        <w:tblW w:type="auto" w:w="0"/>
        <w:jc w:val="center"/>
        <w:tblLook w:firstColumn="1" w:firstRow="1" w:lastColumn="0" w:lastRow="0" w:noHBand="0" w:noVBand="1" w:val="04A0"/>
      </w:tblPr>
      <w:tblGrid>
        <w:gridCol w:w="2620"/>
        <w:gridCol w:w="2620"/>
        <w:gridCol w:w="2620"/>
        <w:gridCol w:w="2620"/>
      </w:tblGrid>
      <w:tr>
        <w:tc>
          <w:tcPr>
            <w:tcW w:type="dxa" w:w="2268"/>
            <w:shd w:fill="D9EAF7"/>
            <w:vAlign w:val="center"/>
          </w:tcPr>
          <w:p>
            <w:pPr>
              <w:jc w:val="center"/>
            </w:pPr>
            <w:r>
              <w:rPr>
                <w:b/>
                <w:sz w:val="15"/>
              </w:rPr>
              <w:t>分類</w:t>
            </w:r>
          </w:p>
        </w:tc>
        <w:tc>
          <w:tcPr>
            <w:tcW w:type="dxa" w:w="2835"/>
            <w:shd w:fill="D9EAF7"/>
            <w:vAlign w:val="center"/>
          </w:tcPr>
          <w:p>
            <w:pPr>
              <w:jc w:val="center"/>
            </w:pPr>
            <w:r>
              <w:rPr>
                <w:b/>
                <w:sz w:val="15"/>
              </w:rPr>
              <w:t>English term</w:t>
            </w:r>
          </w:p>
        </w:tc>
        <w:tc>
          <w:tcPr>
            <w:tcW w:type="dxa" w:w="4535"/>
            <w:shd w:fill="D9EAF7"/>
            <w:vAlign w:val="center"/>
          </w:tcPr>
          <w:p>
            <w:pPr>
              <w:jc w:val="center"/>
            </w:pPr>
            <w:r>
              <w:rPr>
                <w:b/>
                <w:sz w:val="15"/>
              </w:rPr>
              <w:t>定義</w:t>
            </w:r>
          </w:p>
        </w:tc>
        <w:tc>
          <w:tcPr>
            <w:tcW w:type="dxa" w:w="5102"/>
            <w:shd w:fill="D9EAF7"/>
            <w:vAlign w:val="center"/>
          </w:tcPr>
          <w:p>
            <w:pPr>
              <w:jc w:val="center"/>
            </w:pPr>
            <w:r>
              <w:rPr>
                <w:b/>
                <w:sz w:val="15"/>
              </w:rPr>
              <w:t>本課題との関係</w:t>
            </w:r>
          </w:p>
        </w:tc>
      </w:tr>
      <w:tr>
        <w:tc>
          <w:tcPr>
            <w:tcW w:type="dxa" w:w="2268"/>
            <w:vAlign w:val="center"/>
          </w:tcPr>
          <w:p>
            <w:r>
              <w:rPr>
                <w:sz w:val="15"/>
              </w:rPr>
              <w:t>単変量点異常</w:t>
            </w:r>
          </w:p>
        </w:tc>
        <w:tc>
          <w:tcPr>
            <w:tcW w:type="dxa" w:w="2835"/>
            <w:vAlign w:val="center"/>
          </w:tcPr>
          <w:p>
            <w:r>
              <w:rPr>
                <w:sz w:val="15"/>
              </w:rPr>
              <w:t>Univariate Point Outlier</w:t>
            </w:r>
          </w:p>
        </w:tc>
        <w:tc>
          <w:tcPr>
            <w:tcW w:type="dxa" w:w="4535"/>
            <w:vAlign w:val="center"/>
          </w:tcPr>
          <w:p>
            <w:r>
              <w:rPr>
                <w:sz w:val="15"/>
              </w:rPr>
              <w:t>時刻 t で1変数だけが異常。</w:t>
            </w:r>
          </w:p>
        </w:tc>
        <w:tc>
          <w:tcPr>
            <w:tcW w:type="dxa" w:w="5102"/>
            <w:vAlign w:val="center"/>
          </w:tcPr>
          <w:p>
            <w:r>
              <w:rPr>
                <w:sz w:val="15"/>
              </w:rPr>
              <w:t>単一センサの範囲外・急変の検知。</w:t>
            </w:r>
          </w:p>
        </w:tc>
      </w:tr>
      <w:tr>
        <w:tc>
          <w:tcPr>
            <w:tcW w:type="dxa" w:w="2268"/>
            <w:vAlign w:val="center"/>
          </w:tcPr>
          <w:p>
            <w:r>
              <w:rPr>
                <w:sz w:val="15"/>
              </w:rPr>
              <w:t>多変量点異常</w:t>
            </w:r>
          </w:p>
        </w:tc>
        <w:tc>
          <w:tcPr>
            <w:tcW w:type="dxa" w:w="2835"/>
            <w:vAlign w:val="center"/>
          </w:tcPr>
          <w:p>
            <w:r>
              <w:rPr>
                <w:sz w:val="15"/>
              </w:rPr>
              <w:t>Multivariate Point Outlier</w:t>
            </w:r>
          </w:p>
        </w:tc>
        <w:tc>
          <w:tcPr>
            <w:tcW w:type="dxa" w:w="4535"/>
            <w:vAlign w:val="center"/>
          </w:tcPr>
          <w:p>
            <w:r>
              <w:rPr>
                <w:sz w:val="15"/>
              </w:rPr>
              <w:t>時刻 t の k 次元ベクトル全体、または複数変数の関係が異常。</w:t>
            </w:r>
          </w:p>
        </w:tc>
        <w:tc>
          <w:tcPr>
            <w:tcW w:type="dxa" w:w="5102"/>
            <w:vAlign w:val="center"/>
          </w:tcPr>
          <w:p>
            <w:r>
              <w:rPr>
                <w:sz w:val="15"/>
              </w:rPr>
              <w:t>各変数は範囲内でも、組合せが未学習という問題に直接対応。</w:t>
            </w:r>
          </w:p>
        </w:tc>
      </w:tr>
    </w:tbl>
    <w:p/>
    <w:p>
      <w:pPr>
        <w:pStyle w:val="Heading2"/>
      </w:pPr>
      <w:r>
        <w:t>3.2 Context による分類</w:t>
      </w:r>
    </w:p>
    <w:tbl>
      <w:tblPr>
        <w:tblStyle w:val="TableGrid"/>
        <w:tblW w:type="auto" w:w="0"/>
        <w:jc w:val="center"/>
        <w:tblLook w:firstColumn="1" w:firstRow="1" w:lastColumn="0" w:lastRow="0" w:noHBand="0" w:noVBand="1" w:val="04A0"/>
      </w:tblPr>
      <w:tblGrid>
        <w:gridCol w:w="2620"/>
        <w:gridCol w:w="2620"/>
        <w:gridCol w:w="2620"/>
        <w:gridCol w:w="2620"/>
      </w:tblGrid>
      <w:tr>
        <w:tc>
          <w:tcPr>
            <w:tcW w:type="dxa" w:w="2268"/>
            <w:shd w:fill="D9EAF7"/>
            <w:vAlign w:val="center"/>
          </w:tcPr>
          <w:p>
            <w:pPr>
              <w:jc w:val="center"/>
            </w:pPr>
            <w:r>
              <w:rPr>
                <w:b/>
                <w:sz w:val="15"/>
              </w:rPr>
              <w:t>分類</w:t>
            </w:r>
          </w:p>
        </w:tc>
        <w:tc>
          <w:tcPr>
            <w:tcW w:type="dxa" w:w="2835"/>
            <w:shd w:fill="D9EAF7"/>
            <w:vAlign w:val="center"/>
          </w:tcPr>
          <w:p>
            <w:pPr>
              <w:jc w:val="center"/>
            </w:pPr>
            <w:r>
              <w:rPr>
                <w:b/>
                <w:sz w:val="15"/>
              </w:rPr>
              <w:t>English term</w:t>
            </w:r>
          </w:p>
        </w:tc>
        <w:tc>
          <w:tcPr>
            <w:tcW w:type="dxa" w:w="3402"/>
            <w:shd w:fill="D9EAF7"/>
            <w:vAlign w:val="center"/>
          </w:tcPr>
          <w:p>
            <w:pPr>
              <w:jc w:val="center"/>
            </w:pPr>
            <w:r>
              <w:rPr>
                <w:b/>
                <w:sz w:val="15"/>
              </w:rPr>
              <w:t>比較範囲</w:t>
            </w:r>
          </w:p>
        </w:tc>
        <w:tc>
          <w:tcPr>
            <w:tcW w:type="dxa" w:w="5669"/>
            <w:shd w:fill="D9EAF7"/>
            <w:vAlign w:val="center"/>
          </w:tcPr>
          <w:p>
            <w:pPr>
              <w:jc w:val="center"/>
            </w:pPr>
            <w:r>
              <w:rPr>
                <w:b/>
                <w:sz w:val="15"/>
              </w:rPr>
              <w:t>説明</w:t>
            </w:r>
          </w:p>
        </w:tc>
      </w:tr>
      <w:tr>
        <w:tc>
          <w:tcPr>
            <w:tcW w:type="dxa" w:w="2268"/>
            <w:vAlign w:val="center"/>
          </w:tcPr>
          <w:p>
            <w:r>
              <w:rPr>
                <w:sz w:val="15"/>
              </w:rPr>
              <w:t>全体異常</w:t>
            </w:r>
          </w:p>
        </w:tc>
        <w:tc>
          <w:tcPr>
            <w:tcW w:type="dxa" w:w="2835"/>
            <w:vAlign w:val="center"/>
          </w:tcPr>
          <w:p>
            <w:r>
              <w:rPr>
                <w:sz w:val="15"/>
              </w:rPr>
              <w:t>Global Outlier</w:t>
            </w:r>
          </w:p>
        </w:tc>
        <w:tc>
          <w:tcPr>
            <w:tcW w:type="dxa" w:w="3402"/>
            <w:vAlign w:val="center"/>
          </w:tcPr>
          <w:p>
            <w:r>
              <w:rPr>
                <w:sz w:val="15"/>
              </w:rPr>
              <w:t>時系列全体</w:t>
            </w:r>
          </w:p>
        </w:tc>
        <w:tc>
          <w:tcPr>
            <w:tcW w:type="dxa" w:w="5669"/>
            <w:vAlign w:val="center"/>
          </w:tcPr>
          <w:p>
            <w:r>
              <w:rPr>
                <w:sz w:val="15"/>
              </w:rPr>
              <w:t>全履歴と比較して異常。</w:t>
            </w:r>
          </w:p>
        </w:tc>
      </w:tr>
      <w:tr>
        <w:tc>
          <w:tcPr>
            <w:tcW w:type="dxa" w:w="2268"/>
            <w:vAlign w:val="center"/>
          </w:tcPr>
          <w:p>
            <w:r>
              <w:rPr>
                <w:sz w:val="15"/>
              </w:rPr>
              <w:t>局所異常</w:t>
            </w:r>
          </w:p>
        </w:tc>
        <w:tc>
          <w:tcPr>
            <w:tcW w:type="dxa" w:w="2835"/>
            <w:vAlign w:val="center"/>
          </w:tcPr>
          <w:p>
            <w:r>
              <w:rPr>
                <w:sz w:val="15"/>
              </w:rPr>
              <w:t>Local Outlier</w:t>
            </w:r>
          </w:p>
        </w:tc>
        <w:tc>
          <w:tcPr>
            <w:tcW w:type="dxa" w:w="3402"/>
            <w:vAlign w:val="center"/>
          </w:tcPr>
          <w:p>
            <w:r>
              <w:rPr>
                <w:sz w:val="15"/>
              </w:rPr>
              <w:t>近傍 window / neighborhood</w:t>
            </w:r>
          </w:p>
        </w:tc>
        <w:tc>
          <w:tcPr>
            <w:tcW w:type="dxa" w:w="5669"/>
            <w:vAlign w:val="center"/>
          </w:tcPr>
          <w:p>
            <w:r>
              <w:rPr>
                <w:sz w:val="15"/>
              </w:rPr>
              <w:t>全体では正常でも現在の局所状態では異常。</w:t>
            </w:r>
          </w:p>
        </w:tc>
      </w:tr>
    </w:tbl>
    <w:p/>
    <w:p>
      <w:r>
        <w:t>本論文では、Global Outlier は Local Outlier でもあるが、Local Outlier が必ずしも Global Outlier とは限らないと説明されている。</w:t>
      </w:r>
    </w:p>
    <w:p>
      <w:pPr>
        <w:pStyle w:val="Heading1"/>
      </w:pPr>
      <w:r>
        <w:t>4. Multivariate Time Series に対する2つの Detection Route</w:t>
      </w:r>
    </w:p>
    <w:tbl>
      <w:tblPr>
        <w:tblStyle w:val="TableGrid"/>
        <w:tblW w:type="auto" w:w="0"/>
        <w:jc w:val="center"/>
        <w:tblLook w:firstColumn="1" w:firstRow="1" w:lastColumn="0" w:lastRow="0" w:noHBand="0" w:noVBand="1" w:val="04A0"/>
      </w:tblPr>
      <w:tblGrid>
        <w:gridCol w:w="2096"/>
        <w:gridCol w:w="2096"/>
        <w:gridCol w:w="2096"/>
        <w:gridCol w:w="2096"/>
        <w:gridCol w:w="2096"/>
      </w:tblGrid>
      <w:tr>
        <w:tc>
          <w:tcPr>
            <w:tcW w:type="dxa" w:w="2268"/>
            <w:shd w:fill="D9EAF7"/>
            <w:vAlign w:val="center"/>
          </w:tcPr>
          <w:p>
            <w:pPr>
              <w:jc w:val="center"/>
            </w:pPr>
            <w:r>
              <w:rPr>
                <w:b/>
                <w:sz w:val="15"/>
              </w:rPr>
              <w:t>Route</w:t>
            </w:r>
          </w:p>
        </w:tc>
        <w:tc>
          <w:tcPr>
            <w:tcW w:type="dxa" w:w="2835"/>
            <w:shd w:fill="D9EAF7"/>
            <w:vAlign w:val="center"/>
          </w:tcPr>
          <w:p>
            <w:pPr>
              <w:jc w:val="center"/>
            </w:pPr>
            <w:r>
              <w:rPr>
                <w:b/>
                <w:sz w:val="15"/>
              </w:rPr>
              <w:t>English term</w:t>
            </w:r>
          </w:p>
        </w:tc>
        <w:tc>
          <w:tcPr>
            <w:tcW w:type="dxa" w:w="4535"/>
            <w:shd w:fill="D9EAF7"/>
            <w:vAlign w:val="center"/>
          </w:tcPr>
          <w:p>
            <w:pPr>
              <w:jc w:val="center"/>
            </w:pPr>
            <w:r>
              <w:rPr>
                <w:b/>
                <w:sz w:val="15"/>
              </w:rPr>
              <w:t>方法</w:t>
            </w:r>
          </w:p>
        </w:tc>
        <w:tc>
          <w:tcPr>
            <w:tcW w:type="dxa" w:w="3402"/>
            <w:shd w:fill="D9EAF7"/>
            <w:vAlign w:val="center"/>
          </w:tcPr>
          <w:p>
            <w:pPr>
              <w:jc w:val="center"/>
            </w:pPr>
            <w:r>
              <w:rPr>
                <w:b/>
                <w:sz w:val="15"/>
              </w:rPr>
              <w:t>変数間依存</w:t>
            </w:r>
          </w:p>
        </w:tc>
        <w:tc>
          <w:tcPr>
            <w:tcW w:type="dxa" w:w="3969"/>
            <w:shd w:fill="D9EAF7"/>
            <w:vAlign w:val="center"/>
          </w:tcPr>
          <w:p>
            <w:pPr>
              <w:jc w:val="center"/>
            </w:pPr>
            <w:r>
              <w:rPr>
                <w:b/>
                <w:sz w:val="15"/>
              </w:rPr>
              <w:t>特徴</w:t>
            </w:r>
          </w:p>
        </w:tc>
      </w:tr>
      <w:tr>
        <w:tc>
          <w:tcPr>
            <w:tcW w:type="dxa" w:w="2268"/>
            <w:vAlign w:val="center"/>
          </w:tcPr>
          <w:p>
            <w:r>
              <w:rPr>
                <w:sz w:val="15"/>
              </w:rPr>
              <w:t>単変量手法を利用</w:t>
            </w:r>
          </w:p>
        </w:tc>
        <w:tc>
          <w:tcPr>
            <w:tcW w:type="dxa" w:w="2835"/>
            <w:vAlign w:val="center"/>
          </w:tcPr>
          <w:p>
            <w:r>
              <w:rPr>
                <w:sz w:val="15"/>
              </w:rPr>
              <w:t>Univariate Detection Techniques</w:t>
            </w:r>
          </w:p>
        </w:tc>
        <w:tc>
          <w:tcPr>
            <w:tcW w:type="dxa" w:w="4535"/>
            <w:vAlign w:val="center"/>
          </w:tcPr>
          <w:p>
            <w:r>
              <w:rPr>
                <w:sz w:val="15"/>
              </w:rPr>
              <w:t>各変数を個別分析、または PCA/ICA/Projection Pursuit 等で次元削減してから単変量検知。</w:t>
            </w:r>
          </w:p>
        </w:tc>
        <w:tc>
          <w:tcPr>
            <w:tcW w:type="dxa" w:w="3402"/>
            <w:vAlign w:val="center"/>
          </w:tcPr>
          <w:p>
            <w:r>
              <w:rPr>
                <w:sz w:val="15"/>
              </w:rPr>
              <w:t>個別分析では無視、次元削減では間接的に保持。</w:t>
            </w:r>
          </w:p>
        </w:tc>
        <w:tc>
          <w:tcPr>
            <w:tcW w:type="dxa" w:w="3969"/>
            <w:vAlign w:val="center"/>
          </w:tcPr>
          <w:p>
            <w:r>
              <w:rPr>
                <w:sz w:val="15"/>
              </w:rPr>
              <w:t>簡単だが correlation information が失われる可能性。</w:t>
            </w:r>
          </w:p>
        </w:tc>
      </w:tr>
      <w:tr>
        <w:tc>
          <w:tcPr>
            <w:tcW w:type="dxa" w:w="2268"/>
            <w:vAlign w:val="center"/>
          </w:tcPr>
          <w:p>
            <w:r>
              <w:rPr>
                <w:sz w:val="15"/>
              </w:rPr>
              <w:t>多変量手法</w:t>
            </w:r>
          </w:p>
        </w:tc>
        <w:tc>
          <w:tcPr>
            <w:tcW w:type="dxa" w:w="2835"/>
            <w:vAlign w:val="center"/>
          </w:tcPr>
          <w:p>
            <w:r>
              <w:rPr>
                <w:sz w:val="15"/>
              </w:rPr>
              <w:t>Multivariate Detection Techniques</w:t>
            </w:r>
          </w:p>
        </w:tc>
        <w:tc>
          <w:tcPr>
            <w:tcW w:type="dxa" w:w="4535"/>
            <w:vAlign w:val="center"/>
          </w:tcPr>
          <w:p>
            <w:r>
              <w:rPr>
                <w:sz w:val="15"/>
              </w:rPr>
              <w:t>複数の元変数を同時に用いて直接検知。</w:t>
            </w:r>
          </w:p>
        </w:tc>
        <w:tc>
          <w:tcPr>
            <w:tcW w:type="dxa" w:w="3402"/>
            <w:vAlign w:val="center"/>
          </w:tcPr>
          <w:p>
            <w:r>
              <w:rPr>
                <w:sz w:val="15"/>
              </w:rPr>
              <w:t>考慮する。</w:t>
            </w:r>
          </w:p>
        </w:tc>
        <w:tc>
          <w:tcPr>
            <w:tcW w:type="dxa" w:w="3969"/>
            <w:vAlign w:val="center"/>
          </w:tcPr>
          <w:p>
            <w:r>
              <w:rPr>
                <w:sz w:val="15"/>
              </w:rPr>
              <w:t>本課題で優先すべき方向。</w:t>
            </w:r>
          </w:p>
        </w:tc>
      </w:tr>
    </w:tbl>
    <w:p/>
    <w:p>
      <w:pPr>
        <w:pStyle w:val="Heading1"/>
      </w:pPr>
      <w:r>
        <w:t>5. Multivariate Point Outlier に対する Univariate Detection</w:t>
      </w:r>
    </w:p>
    <w:tbl>
      <w:tblPr>
        <w:tblStyle w:val="TableGrid"/>
        <w:tblW w:type="auto" w:w="0"/>
        <w:jc w:val="center"/>
        <w:tblLook w:firstColumn="1" w:firstRow="1" w:lastColumn="0" w:lastRow="0" w:noHBand="0" w:noVBand="1" w:val="04A0"/>
      </w:tblPr>
      <w:tblGrid>
        <w:gridCol w:w="2620"/>
        <w:gridCol w:w="2620"/>
        <w:gridCol w:w="2620"/>
        <w:gridCol w:w="2620"/>
      </w:tblGrid>
      <w:tr>
        <w:tc>
          <w:tcPr>
            <w:tcW w:type="dxa" w:w="2268"/>
            <w:shd w:fill="D9EAF7"/>
            <w:vAlign w:val="center"/>
          </w:tcPr>
          <w:p>
            <w:pPr>
              <w:jc w:val="center"/>
            </w:pPr>
            <w:r>
              <w:rPr>
                <w:b/>
                <w:sz w:val="15"/>
              </w:rPr>
              <w:t>方法</w:t>
            </w:r>
          </w:p>
        </w:tc>
        <w:tc>
          <w:tcPr>
            <w:tcW w:type="dxa" w:w="3402"/>
            <w:shd w:fill="D9EAF7"/>
            <w:vAlign w:val="center"/>
          </w:tcPr>
          <w:p>
            <w:pPr>
              <w:jc w:val="center"/>
            </w:pPr>
            <w:r>
              <w:rPr>
                <w:b/>
                <w:sz w:val="15"/>
              </w:rPr>
              <w:t>English term / example</w:t>
            </w:r>
          </w:p>
        </w:tc>
        <w:tc>
          <w:tcPr>
            <w:tcW w:type="dxa" w:w="5669"/>
            <w:shd w:fill="D9EAF7"/>
            <w:vAlign w:val="center"/>
          </w:tcPr>
          <w:p>
            <w:pPr>
              <w:jc w:val="center"/>
            </w:pPr>
            <w:r>
              <w:rPr>
                <w:b/>
                <w:sz w:val="15"/>
              </w:rPr>
              <w:t>内容</w:t>
            </w:r>
          </w:p>
        </w:tc>
        <w:tc>
          <w:tcPr>
            <w:tcW w:type="dxa" w:w="3969"/>
            <w:shd w:fill="D9EAF7"/>
            <w:vAlign w:val="center"/>
          </w:tcPr>
          <w:p>
            <w:pPr>
              <w:jc w:val="center"/>
            </w:pPr>
            <w:r>
              <w:rPr>
                <w:b/>
                <w:sz w:val="15"/>
              </w:rPr>
              <w:t>検知対象</w:t>
            </w:r>
          </w:p>
        </w:tc>
      </w:tr>
      <w:tr>
        <w:tc>
          <w:tcPr>
            <w:tcW w:type="dxa" w:w="2268"/>
            <w:vAlign w:val="center"/>
          </w:tcPr>
          <w:p>
            <w:r>
              <w:rPr>
                <w:sz w:val="15"/>
              </w:rPr>
              <w:t>各変数を個別処理</w:t>
            </w:r>
          </w:p>
        </w:tc>
        <w:tc>
          <w:tcPr>
            <w:tcW w:type="dxa" w:w="3402"/>
            <w:vAlign w:val="center"/>
          </w:tcPr>
          <w:p>
            <w:r>
              <w:rPr>
                <w:sz w:val="15"/>
              </w:rPr>
              <w:t>Apply univariate techniques to each variable</w:t>
            </w:r>
          </w:p>
        </w:tc>
        <w:tc>
          <w:tcPr>
            <w:tcW w:type="dxa" w:w="5669"/>
            <w:vAlign w:val="center"/>
          </w:tcPr>
          <w:p>
            <w:r>
              <w:rPr>
                <w:sz w:val="15"/>
              </w:rPr>
              <w:t>X1,…,Xk それぞれに prediction/estimation 型の単変量検知を適用。</w:t>
            </w:r>
          </w:p>
        </w:tc>
        <w:tc>
          <w:tcPr>
            <w:tcW w:type="dxa" w:w="3969"/>
            <w:vAlign w:val="center"/>
          </w:tcPr>
          <w:p>
            <w:r>
              <w:rPr>
                <w:sz w:val="15"/>
              </w:rPr>
              <w:t>主に Univariate Point Outlier</w:t>
            </w:r>
          </w:p>
        </w:tc>
      </w:tr>
      <w:tr>
        <w:tc>
          <w:tcPr>
            <w:tcW w:type="dxa" w:w="2268"/>
            <w:vAlign w:val="center"/>
          </w:tcPr>
          <w:p>
            <w:r>
              <w:rPr>
                <w:sz w:val="15"/>
              </w:rPr>
              <w:t>次元削減後に単変量検知</w:t>
            </w:r>
          </w:p>
        </w:tc>
        <w:tc>
          <w:tcPr>
            <w:tcW w:type="dxa" w:w="3402"/>
            <w:vAlign w:val="center"/>
          </w:tcPr>
          <w:p>
            <w:r>
              <w:rPr>
                <w:sz w:val="15"/>
              </w:rPr>
              <w:t>Dimensionality Reduction</w:t>
            </w:r>
          </w:p>
        </w:tc>
        <w:tc>
          <w:tcPr>
            <w:tcW w:type="dxa" w:w="5669"/>
            <w:vAlign w:val="center"/>
          </w:tcPr>
          <w:p>
            <w:r>
              <w:rPr>
                <w:sz w:val="15"/>
              </w:rPr>
              <w:t>PCA、ICA、Projection Pursuit、cross-correlation transformation 等で低次元化後、単変量検知を適用。</w:t>
            </w:r>
          </w:p>
        </w:tc>
        <w:tc>
          <w:tcPr>
            <w:tcW w:type="dxa" w:w="3969"/>
            <w:vAlign w:val="center"/>
          </w:tcPr>
          <w:p>
            <w:r>
              <w:rPr>
                <w:sz w:val="15"/>
              </w:rPr>
              <w:t>Multivariate information を利用した Point Outlier</w:t>
            </w:r>
          </w:p>
        </w:tc>
      </w:tr>
    </w:tbl>
    <w:p/>
    <w:p>
      <w:pPr>
        <w:pStyle w:val="Heading1"/>
      </w:pPr>
      <w:r>
        <w:t>6. Multivariate Point Outlier の3つの Multivariate Detection Method</w:t>
      </w:r>
    </w:p>
    <w:p>
      <w:pPr>
        <w:jc w:val="center"/>
      </w:pPr>
      <w:r>
        <w:drawing>
          <wp:inline xmlns:a="http://schemas.openxmlformats.org/drawingml/2006/main" xmlns:pic="http://schemas.openxmlformats.org/drawingml/2006/picture">
            <wp:extent cx="4392000" cy="1281000"/>
            <wp:docPr id="3" name="Picture 3"/>
            <wp:cNvGraphicFramePr>
              <a:graphicFrameLocks noChangeAspect="1"/>
            </wp:cNvGraphicFramePr>
            <a:graphic>
              <a:graphicData uri="http://schemas.openxmlformats.org/drawingml/2006/picture">
                <pic:pic>
                  <pic:nvPicPr>
                    <pic:cNvPr id="0" name="fig12.png"/>
                    <pic:cNvPicPr/>
                  </pic:nvPicPr>
                  <pic:blipFill>
                    <a:blip r:embed="rId11"/>
                    <a:stretch>
                      <a:fillRect/>
                    </a:stretch>
                  </pic:blipFill>
                  <pic:spPr>
                    <a:xfrm>
                      <a:off x="0" y="0"/>
                      <a:ext cx="4392000" cy="1281000"/>
                    </a:xfrm>
                    <a:prstGeom prst="rect"/>
                  </pic:spPr>
                </pic:pic>
              </a:graphicData>
            </a:graphic>
          </wp:inline>
        </w:drawing>
      </w:r>
    </w:p>
    <w:p>
      <w:pPr>
        <w:jc w:val="center"/>
      </w:pPr>
      <w:r>
        <w:rPr>
          <w:i/>
          <w:sz w:val="16"/>
        </w:rPr>
        <w:t>Original Figure 12: Types of methods for detecting point outliers in multivariate time series (p.14)</w:t>
      </w:r>
    </w:p>
    <w:tbl>
      <w:tblPr>
        <w:tblStyle w:val="TableGrid"/>
        <w:tblW w:type="auto" w:w="0"/>
        <w:jc w:val="center"/>
        <w:tblLook w:firstColumn="1" w:firstRow="1" w:lastColumn="0" w:lastRow="0" w:noHBand="0" w:noVBand="1" w:val="04A0"/>
      </w:tblPr>
      <w:tblGrid>
        <w:gridCol w:w="1747"/>
        <w:gridCol w:w="1747"/>
        <w:gridCol w:w="1747"/>
        <w:gridCol w:w="1747"/>
        <w:gridCol w:w="1747"/>
        <w:gridCol w:w="1747"/>
      </w:tblGrid>
      <w:tr>
        <w:tc>
          <w:tcPr>
            <w:tcW w:type="dxa" w:w="1984"/>
            <w:shd w:fill="D9EAF7"/>
            <w:vAlign w:val="center"/>
          </w:tcPr>
          <w:p>
            <w:pPr>
              <w:jc w:val="center"/>
            </w:pPr>
            <w:r>
              <w:rPr>
                <w:b/>
                <w:sz w:val="15"/>
              </w:rPr>
              <w:t>分類</w:t>
            </w:r>
          </w:p>
        </w:tc>
        <w:tc>
          <w:tcPr>
            <w:tcW w:type="dxa" w:w="2551"/>
            <w:shd w:fill="D9EAF7"/>
            <w:vAlign w:val="center"/>
          </w:tcPr>
          <w:p>
            <w:pPr>
              <w:jc w:val="center"/>
            </w:pPr>
            <w:r>
              <w:rPr>
                <w:b/>
                <w:sz w:val="15"/>
              </w:rPr>
              <w:t>English term</w:t>
            </w:r>
          </w:p>
        </w:tc>
        <w:tc>
          <w:tcPr>
            <w:tcW w:type="dxa" w:w="4252"/>
            <w:shd w:fill="D9EAF7"/>
            <w:vAlign w:val="center"/>
          </w:tcPr>
          <w:p>
            <w:pPr>
              <w:jc w:val="center"/>
            </w:pPr>
            <w:r>
              <w:rPr>
                <w:b/>
                <w:sz w:val="15"/>
              </w:rPr>
              <w:t>基本原理</w:t>
            </w:r>
          </w:p>
        </w:tc>
        <w:tc>
          <w:tcPr>
            <w:tcW w:type="dxa" w:w="3402"/>
            <w:shd w:fill="D9EAF7"/>
            <w:vAlign w:val="center"/>
          </w:tcPr>
          <w:p>
            <w:pPr>
              <w:jc w:val="center"/>
            </w:pPr>
            <w:r>
              <w:rPr>
                <w:b/>
                <w:sz w:val="15"/>
              </w:rPr>
              <w:t>判定</w:t>
            </w:r>
          </w:p>
        </w:tc>
        <w:tc>
          <w:tcPr>
            <w:tcW w:type="dxa" w:w="3685"/>
            <w:shd w:fill="D9EAF7"/>
            <w:vAlign w:val="center"/>
          </w:tcPr>
          <w:p>
            <w:pPr>
              <w:jc w:val="center"/>
            </w:pPr>
            <w:r>
              <w:rPr>
                <w:b/>
                <w:sz w:val="15"/>
              </w:rPr>
              <w:t>代表例</w:t>
            </w:r>
          </w:p>
        </w:tc>
        <w:tc>
          <w:tcPr>
            <w:tcW w:type="dxa" w:w="1701"/>
            <w:shd w:fill="D9EAF7"/>
            <w:vAlign w:val="center"/>
          </w:tcPr>
          <w:p>
            <w:pPr>
              <w:jc w:val="center"/>
            </w:pPr>
            <w:r>
              <w:rPr>
                <w:b/>
                <w:sz w:val="15"/>
              </w:rPr>
              <w:t>本課題</w:t>
            </w:r>
          </w:p>
        </w:tc>
      </w:tr>
      <w:tr>
        <w:tc>
          <w:tcPr>
            <w:tcW w:type="dxa" w:w="1984"/>
            <w:vAlign w:val="center"/>
          </w:tcPr>
          <w:p>
            <w:r>
              <w:rPr>
                <w:sz w:val="15"/>
              </w:rPr>
              <w:t>モデル型</w:t>
            </w:r>
          </w:p>
        </w:tc>
        <w:tc>
          <w:tcPr>
            <w:tcW w:type="dxa" w:w="2551"/>
            <w:vAlign w:val="center"/>
          </w:tcPr>
          <w:p>
            <w:r>
              <w:rPr>
                <w:sz w:val="15"/>
              </w:rPr>
              <w:t>Model-based</w:t>
            </w:r>
          </w:p>
        </w:tc>
        <w:tc>
          <w:tcPr>
            <w:tcW w:type="dxa" w:w="4252"/>
            <w:vAlign w:val="center"/>
          </w:tcPr>
          <w:p>
            <w:r>
              <w:rPr>
                <w:sz w:val="15"/>
              </w:rPr>
              <w:t>正常な多変量動力学を学習し、期待値 x̂t と実測 xt の差を利用。</w:t>
            </w:r>
          </w:p>
        </w:tc>
        <w:tc>
          <w:tcPr>
            <w:tcW w:type="dxa" w:w="3402"/>
            <w:vAlign w:val="center"/>
          </w:tcPr>
          <w:p>
            <w:r>
              <w:rPr>
                <w:sz w:val="15"/>
              </w:rPr>
              <w:t>||xt − x̂t|| &gt; τ</w:t>
            </w:r>
          </w:p>
        </w:tc>
        <w:tc>
          <w:tcPr>
            <w:tcW w:type="dxa" w:w="3685"/>
            <w:vAlign w:val="center"/>
          </w:tcPr>
          <w:p>
            <w:r>
              <w:rPr>
                <w:sz w:val="15"/>
              </w:rPr>
              <w:t>AE、VAE+GRU、CHMM、CNN prediction</w:t>
            </w:r>
          </w:p>
        </w:tc>
        <w:tc>
          <w:tcPr>
            <w:tcW w:type="dxa" w:w="1701"/>
            <w:vAlign w:val="center"/>
          </w:tcPr>
          <w:p>
            <w:r>
              <w:rPr>
                <w:sz w:val="15"/>
              </w:rPr>
              <w:t>★★★★★</w:t>
            </w:r>
          </w:p>
        </w:tc>
      </w:tr>
      <w:tr>
        <w:tc>
          <w:tcPr>
            <w:tcW w:type="dxa" w:w="1984"/>
            <w:vAlign w:val="center"/>
          </w:tcPr>
          <w:p>
            <w:r>
              <w:rPr>
                <w:sz w:val="15"/>
              </w:rPr>
              <w:t>非類似度型</w:t>
            </w:r>
          </w:p>
        </w:tc>
        <w:tc>
          <w:tcPr>
            <w:tcW w:type="dxa" w:w="2551"/>
            <w:vAlign w:val="center"/>
          </w:tcPr>
          <w:p>
            <w:r>
              <w:rPr>
                <w:sz w:val="15"/>
              </w:rPr>
              <w:t>Dissimilarity-based</w:t>
            </w:r>
          </w:p>
        </w:tc>
        <w:tc>
          <w:tcPr>
            <w:tcW w:type="dxa" w:w="4252"/>
            <w:vAlign w:val="center"/>
          </w:tcPr>
          <w:p>
            <w:r>
              <w:rPr>
                <w:sz w:val="15"/>
              </w:rPr>
              <w:t>多変量点またはその表現間の pairwise dissimilarity を直接計算。</w:t>
            </w:r>
          </w:p>
        </w:tc>
        <w:tc>
          <w:tcPr>
            <w:tcW w:type="dxa" w:w="3402"/>
            <w:vAlign w:val="center"/>
          </w:tcPr>
          <w:p>
            <w:r>
              <w:rPr>
                <w:sz w:val="15"/>
              </w:rPr>
              <w:t>s(xt, x̂t) &gt; τ</w:t>
            </w:r>
          </w:p>
        </w:tc>
        <w:tc>
          <w:tcPr>
            <w:tcW w:type="dxa" w:w="3685"/>
            <w:vAlign w:val="center"/>
          </w:tcPr>
          <w:p>
            <w:r>
              <w:rPr>
                <w:sz w:val="15"/>
              </w:rPr>
              <w:t>RBF graph + random walk、historical similarity</w:t>
            </w:r>
          </w:p>
        </w:tc>
        <w:tc>
          <w:tcPr>
            <w:tcW w:type="dxa" w:w="1701"/>
            <w:vAlign w:val="center"/>
          </w:tcPr>
          <w:p>
            <w:r>
              <w:rPr>
                <w:sz w:val="15"/>
              </w:rPr>
              <w:t>★★★★★</w:t>
            </w:r>
          </w:p>
        </w:tc>
      </w:tr>
      <w:tr>
        <w:tc>
          <w:tcPr>
            <w:tcW w:type="dxa" w:w="1984"/>
            <w:vAlign w:val="center"/>
          </w:tcPr>
          <w:p>
            <w:r>
              <w:rPr>
                <w:sz w:val="15"/>
              </w:rPr>
              <w:t>ヒストグラム型</w:t>
            </w:r>
          </w:p>
        </w:tc>
        <w:tc>
          <w:tcPr>
            <w:tcW w:type="dxa" w:w="2551"/>
            <w:vAlign w:val="center"/>
          </w:tcPr>
          <w:p>
            <w:r>
              <w:rPr>
                <w:sz w:val="15"/>
              </w:rPr>
              <w:t>Histogramming</w:t>
            </w:r>
          </w:p>
        </w:tc>
        <w:tc>
          <w:tcPr>
            <w:tcW w:type="dxa" w:w="4252"/>
            <w:vAlign w:val="center"/>
          </w:tcPr>
          <w:p>
            <w:r>
              <w:rPr>
                <w:sz w:val="15"/>
              </w:rPr>
              <w:t>同時刻の計測を1つの vector とし、除去後の histogram approximation error 改善で deviant を判定。</w:t>
            </w:r>
          </w:p>
        </w:tc>
        <w:tc>
          <w:tcPr>
            <w:tcW w:type="dxa" w:w="3402"/>
            <w:vAlign w:val="center"/>
          </w:tcPr>
          <w:p>
            <w:r>
              <w:rPr>
                <w:sz w:val="15"/>
              </w:rPr>
              <w:t>Histogram error の変化</w:t>
            </w:r>
          </w:p>
        </w:tc>
        <w:tc>
          <w:tcPr>
            <w:tcW w:type="dxa" w:w="3685"/>
            <w:vAlign w:val="center"/>
          </w:tcPr>
          <w:p>
            <w:r>
              <w:rPr>
                <w:sz w:val="15"/>
              </w:rPr>
              <w:t>Muthukrishnan et al. [2004]</w:t>
            </w:r>
          </w:p>
        </w:tc>
        <w:tc>
          <w:tcPr>
            <w:tcW w:type="dxa" w:w="1701"/>
            <w:vAlign w:val="center"/>
          </w:tcPr>
          <w:p>
            <w:r>
              <w:rPr>
                <w:sz w:val="15"/>
              </w:rPr>
              <w:t>★★☆☆☆</w:t>
            </w:r>
          </w:p>
        </w:tc>
      </w:tr>
    </w:tbl>
    <w:p/>
    <w:p>
      <w:pPr>
        <w:pStyle w:val="Heading2"/>
      </w:pPr>
      <w:r>
        <w:t>6.1 Model-based の下位分類</w:t>
      </w:r>
    </w:p>
    <w:p>
      <w:pPr>
        <w:jc w:val="center"/>
      </w:pPr>
      <w:r>
        <w:drawing>
          <wp:inline xmlns:a="http://schemas.openxmlformats.org/drawingml/2006/main" xmlns:pic="http://schemas.openxmlformats.org/drawingml/2006/picture">
            <wp:extent cx="5580000" cy="3105000"/>
            <wp:docPr id="4" name="Picture 4"/>
            <wp:cNvGraphicFramePr>
              <a:graphicFrameLocks noChangeAspect="1"/>
            </wp:cNvGraphicFramePr>
            <a:graphic>
              <a:graphicData uri="http://schemas.openxmlformats.org/drawingml/2006/picture">
                <pic:pic>
                  <pic:nvPicPr>
                    <pic:cNvPr id="0" name="fig13.png"/>
                    <pic:cNvPicPr/>
                  </pic:nvPicPr>
                  <pic:blipFill>
                    <a:blip r:embed="rId12"/>
                    <a:stretch>
                      <a:fillRect/>
                    </a:stretch>
                  </pic:blipFill>
                  <pic:spPr>
                    <a:xfrm>
                      <a:off x="0" y="0"/>
                      <a:ext cx="5580000" cy="3105000"/>
                    </a:xfrm>
                    <a:prstGeom prst="rect"/>
                  </pic:spPr>
                </pic:pic>
              </a:graphicData>
            </a:graphic>
          </wp:inline>
        </w:drawing>
      </w:r>
    </w:p>
    <w:p>
      <w:pPr>
        <w:jc w:val="center"/>
      </w:pPr>
      <w:r>
        <w:rPr>
          <w:i/>
          <w:sz w:val="16"/>
        </w:rPr>
        <w:t>Original Figure 13: Estimation models vs Prediction models in model-based techniques (p.15)</w:t>
      </w:r>
    </w:p>
    <w:tbl>
      <w:tblPr>
        <w:tblStyle w:val="TableGrid"/>
        <w:tblW w:type="auto" w:w="0"/>
        <w:jc w:val="center"/>
        <w:tblLook w:firstColumn="1" w:firstRow="1" w:lastColumn="0" w:lastRow="0" w:noHBand="0" w:noVBand="1" w:val="04A0"/>
      </w:tblPr>
      <w:tblGrid>
        <w:gridCol w:w="2096"/>
        <w:gridCol w:w="2096"/>
        <w:gridCol w:w="2096"/>
        <w:gridCol w:w="2096"/>
        <w:gridCol w:w="2096"/>
      </w:tblGrid>
      <w:tr>
        <w:tc>
          <w:tcPr>
            <w:tcW w:type="dxa" w:w="2268"/>
            <w:shd w:fill="D9EAF7"/>
            <w:vAlign w:val="center"/>
          </w:tcPr>
          <w:p>
            <w:pPr>
              <w:jc w:val="center"/>
            </w:pPr>
            <w:r>
              <w:rPr>
                <w:b/>
                <w:sz w:val="15"/>
              </w:rPr>
              <w:t>下位分類</w:t>
            </w:r>
          </w:p>
        </w:tc>
        <w:tc>
          <w:tcPr>
            <w:tcW w:type="dxa" w:w="2835"/>
            <w:shd w:fill="D9EAF7"/>
            <w:vAlign w:val="center"/>
          </w:tcPr>
          <w:p>
            <w:pPr>
              <w:jc w:val="center"/>
            </w:pPr>
            <w:r>
              <w:rPr>
                <w:b/>
                <w:sz w:val="15"/>
              </w:rPr>
              <w:t>English term</w:t>
            </w:r>
          </w:p>
        </w:tc>
        <w:tc>
          <w:tcPr>
            <w:tcW w:type="dxa" w:w="4535"/>
            <w:shd w:fill="D9EAF7"/>
            <w:vAlign w:val="center"/>
          </w:tcPr>
          <w:p>
            <w:pPr>
              <w:jc w:val="center"/>
            </w:pPr>
            <w:r>
              <w:rPr>
                <w:b/>
                <w:sz w:val="15"/>
              </w:rPr>
              <w:t>x̂t の推定に使う情報</w:t>
            </w:r>
          </w:p>
        </w:tc>
        <w:tc>
          <w:tcPr>
            <w:tcW w:type="dxa" w:w="4535"/>
            <w:shd w:fill="D9EAF7"/>
            <w:vAlign w:val="center"/>
          </w:tcPr>
          <w:p>
            <w:pPr>
              <w:jc w:val="center"/>
            </w:pPr>
            <w:r>
              <w:rPr>
                <w:b/>
                <w:sz w:val="15"/>
              </w:rPr>
              <w:t>特徴</w:t>
            </w:r>
          </w:p>
        </w:tc>
        <w:tc>
          <w:tcPr>
            <w:tcW w:type="dxa" w:w="3402"/>
            <w:shd w:fill="D9EAF7"/>
            <w:vAlign w:val="center"/>
          </w:tcPr>
          <w:p>
            <w:pPr>
              <w:jc w:val="center"/>
            </w:pPr>
            <w:r>
              <w:rPr>
                <w:b/>
                <w:sz w:val="15"/>
              </w:rPr>
              <w:t>例</w:t>
            </w:r>
          </w:p>
        </w:tc>
      </w:tr>
      <w:tr>
        <w:tc>
          <w:tcPr>
            <w:tcW w:type="dxa" w:w="2268"/>
            <w:vAlign w:val="center"/>
          </w:tcPr>
          <w:p>
            <w:r>
              <w:rPr>
                <w:sz w:val="15"/>
              </w:rPr>
              <w:t>推定モデル</w:t>
            </w:r>
          </w:p>
        </w:tc>
        <w:tc>
          <w:tcPr>
            <w:tcW w:type="dxa" w:w="2835"/>
            <w:vAlign w:val="center"/>
          </w:tcPr>
          <w:p>
            <w:r>
              <w:rPr>
                <w:sz w:val="15"/>
              </w:rPr>
              <w:t>Estimation Model</w:t>
            </w:r>
          </w:p>
        </w:tc>
        <w:tc>
          <w:tcPr>
            <w:tcW w:type="dxa" w:w="4535"/>
            <w:vAlign w:val="center"/>
          </w:tcPr>
          <w:p>
            <w:r>
              <w:rPr>
                <w:sz w:val="15"/>
              </w:rPr>
              <w:t>過去 + 現在（場合により未来）</w:t>
            </w:r>
          </w:p>
        </w:tc>
        <w:tc>
          <w:tcPr>
            <w:tcW w:type="dxa" w:w="4535"/>
            <w:vAlign w:val="center"/>
          </w:tcPr>
          <w:p>
            <w:r>
              <w:rPr>
                <w:sz w:val="15"/>
              </w:rPr>
              <w:t>再構成・推定に近い。future data 依存の有無に注意。</w:t>
            </w:r>
          </w:p>
        </w:tc>
        <w:tc>
          <w:tcPr>
            <w:tcW w:type="dxa" w:w="3402"/>
            <w:vAlign w:val="center"/>
          </w:tcPr>
          <w:p>
            <w:r>
              <w:rPr>
                <w:sz w:val="15"/>
              </w:rPr>
              <w:t>Autoencoder、VAE+GRU</w:t>
            </w:r>
          </w:p>
        </w:tc>
      </w:tr>
      <w:tr>
        <w:tc>
          <w:tcPr>
            <w:tcW w:type="dxa" w:w="2268"/>
            <w:vAlign w:val="center"/>
          </w:tcPr>
          <w:p>
            <w:r>
              <w:rPr>
                <w:sz w:val="15"/>
              </w:rPr>
              <w:t>予測モデル</w:t>
            </w:r>
          </w:p>
        </w:tc>
        <w:tc>
          <w:tcPr>
            <w:tcW w:type="dxa" w:w="2835"/>
            <w:vAlign w:val="center"/>
          </w:tcPr>
          <w:p>
            <w:r>
              <w:rPr>
                <w:sz w:val="15"/>
              </w:rPr>
              <w:t>Prediction Model</w:t>
            </w:r>
          </w:p>
        </w:tc>
        <w:tc>
          <w:tcPr>
            <w:tcW w:type="dxa" w:w="4535"/>
            <w:vAlign w:val="center"/>
          </w:tcPr>
          <w:p>
            <w:r>
              <w:rPr>
                <w:sz w:val="15"/>
              </w:rPr>
              <w:t>過去データのみ</w:t>
            </w:r>
          </w:p>
        </w:tc>
        <w:tc>
          <w:tcPr>
            <w:tcW w:type="dxa" w:w="4535"/>
            <w:vAlign w:val="center"/>
          </w:tcPr>
          <w:p>
            <w:r>
              <w:rPr>
                <w:sz w:val="15"/>
              </w:rPr>
              <w:t>Streaming に適し、新規点到着時に即時判定しやすい。</w:t>
            </w:r>
          </w:p>
        </w:tc>
        <w:tc>
          <w:tcPr>
            <w:tcW w:type="dxa" w:w="3402"/>
            <w:vAlign w:val="center"/>
          </w:tcPr>
          <w:p>
            <w:r>
              <w:rPr>
                <w:sz w:val="15"/>
              </w:rPr>
              <w:t>CHMM、DeepAnT/CNN</w:t>
            </w:r>
          </w:p>
        </w:tc>
      </w:tr>
    </w:tbl>
    <w:p/>
    <w:p>
      <w:pPr>
        <w:pStyle w:val="Heading2"/>
      </w:pPr>
      <w:r>
        <w:t>6.2 3手法の解釈</w:t>
      </w:r>
    </w:p>
    <w:tbl>
      <w:tblPr>
        <w:tblStyle w:val="TableGrid"/>
        <w:tblW w:type="auto" w:w="0"/>
        <w:jc w:val="center"/>
        <w:tblLook w:firstColumn="1" w:firstRow="1" w:lastColumn="0" w:lastRow="0" w:noHBand="0" w:noVBand="1" w:val="04A0"/>
      </w:tblPr>
      <w:tblGrid>
        <w:gridCol w:w="2096"/>
        <w:gridCol w:w="2096"/>
        <w:gridCol w:w="2096"/>
        <w:gridCol w:w="2096"/>
        <w:gridCol w:w="2096"/>
      </w:tblGrid>
      <w:tr>
        <w:tc>
          <w:tcPr>
            <w:tcW w:type="dxa" w:w="2268"/>
            <w:shd w:fill="D9EAF7"/>
            <w:vAlign w:val="center"/>
          </w:tcPr>
          <w:p>
            <w:pPr>
              <w:jc w:val="center"/>
            </w:pPr>
            <w:r>
              <w:rPr>
                <w:b/>
                <w:sz w:val="15"/>
              </w:rPr>
              <w:t>Method</w:t>
            </w:r>
          </w:p>
        </w:tc>
        <w:tc>
          <w:tcPr>
            <w:tcW w:type="dxa" w:w="4535"/>
            <w:shd w:fill="D9EAF7"/>
            <w:vAlign w:val="center"/>
          </w:tcPr>
          <w:p>
            <w:pPr>
              <w:jc w:val="center"/>
            </w:pPr>
            <w:r>
              <w:rPr>
                <w:b/>
                <w:sz w:val="15"/>
              </w:rPr>
              <w:t>異常と判断する理由</w:t>
            </w:r>
          </w:p>
        </w:tc>
        <w:tc>
          <w:tcPr>
            <w:tcW w:type="dxa" w:w="3402"/>
            <w:shd w:fill="D9EAF7"/>
            <w:vAlign w:val="center"/>
          </w:tcPr>
          <w:p>
            <w:pPr>
              <w:jc w:val="center"/>
            </w:pPr>
            <w:r>
              <w:rPr>
                <w:b/>
                <w:sz w:val="15"/>
              </w:rPr>
              <w:t>Temporality</w:t>
            </w:r>
          </w:p>
        </w:tc>
        <w:tc>
          <w:tcPr>
            <w:tcW w:type="dxa" w:w="3402"/>
            <w:shd w:fill="D9EAF7"/>
            <w:vAlign w:val="center"/>
          </w:tcPr>
          <w:p>
            <w:pPr>
              <w:jc w:val="center"/>
            </w:pPr>
            <w:r>
              <w:rPr>
                <w:b/>
                <w:sz w:val="15"/>
              </w:rPr>
              <w:t>Variable relationship</w:t>
            </w:r>
          </w:p>
        </w:tc>
        <w:tc>
          <w:tcPr>
            <w:tcW w:type="dxa" w:w="3402"/>
            <w:shd w:fill="D9EAF7"/>
            <w:vAlign w:val="center"/>
          </w:tcPr>
          <w:p>
            <w:pPr>
              <w:jc w:val="center"/>
            </w:pPr>
            <w:r>
              <w:rPr>
                <w:b/>
                <w:sz w:val="15"/>
              </w:rPr>
              <w:t>「各変数範囲内・組合せ未知」への適合</w:t>
            </w:r>
          </w:p>
        </w:tc>
      </w:tr>
      <w:tr>
        <w:tc>
          <w:tcPr>
            <w:tcW w:type="dxa" w:w="2268"/>
            <w:vAlign w:val="center"/>
          </w:tcPr>
          <w:p>
            <w:r>
              <w:rPr>
                <w:sz w:val="15"/>
              </w:rPr>
              <w:t>Model-based</w:t>
            </w:r>
          </w:p>
        </w:tc>
        <w:tc>
          <w:tcPr>
            <w:tcW w:type="dxa" w:w="4535"/>
            <w:vAlign w:val="center"/>
          </w:tcPr>
          <w:p>
            <w:r>
              <w:rPr>
                <w:sz w:val="15"/>
              </w:rPr>
              <w:t>正常モデルで十分に再構成/予測できず residual が大きい。</w:t>
            </w:r>
          </w:p>
        </w:tc>
        <w:tc>
          <w:tcPr>
            <w:tcW w:type="dxa" w:w="3402"/>
            <w:vAlign w:val="center"/>
          </w:tcPr>
          <w:p>
            <w:r>
              <w:rPr>
                <w:sz w:val="15"/>
              </w:rPr>
              <w:t>モデル依存。VAE+GRU/CHMM/CNN 等で考慮可能。</w:t>
            </w:r>
          </w:p>
        </w:tc>
        <w:tc>
          <w:tcPr>
            <w:tcW w:type="dxa" w:w="3402"/>
            <w:vAlign w:val="center"/>
          </w:tcPr>
          <w:p>
            <w:r>
              <w:rPr>
                <w:sz w:val="15"/>
              </w:rPr>
              <w:t>考慮</w:t>
            </w:r>
          </w:p>
        </w:tc>
        <w:tc>
          <w:tcPr>
            <w:tcW w:type="dxa" w:w="3402"/>
            <w:vAlign w:val="center"/>
          </w:tcPr>
          <w:p>
            <w:r>
              <w:rPr>
                <w:sz w:val="15"/>
              </w:rPr>
              <w:t>非常に高い</w:t>
            </w:r>
          </w:p>
        </w:tc>
      </w:tr>
      <w:tr>
        <w:tc>
          <w:tcPr>
            <w:tcW w:type="dxa" w:w="2268"/>
            <w:vAlign w:val="center"/>
          </w:tcPr>
          <w:p>
            <w:r>
              <w:rPr>
                <w:sz w:val="15"/>
              </w:rPr>
              <w:t>Dissimilarity-based</w:t>
            </w:r>
          </w:p>
        </w:tc>
        <w:tc>
          <w:tcPr>
            <w:tcW w:type="dxa" w:w="4535"/>
            <w:vAlign w:val="center"/>
          </w:tcPr>
          <w:p>
            <w:r>
              <w:rPr>
                <w:sz w:val="15"/>
              </w:rPr>
              <w:t>新規の多変量状態が過去の正常状態・graph node と似ていない。</w:t>
            </w:r>
          </w:p>
        </w:tc>
        <w:tc>
          <w:tcPr>
            <w:tcW w:type="dxa" w:w="3402"/>
            <w:vAlign w:val="center"/>
          </w:tcPr>
          <w:p>
            <w:r>
              <w:rPr>
                <w:sz w:val="15"/>
              </w:rPr>
              <w:t>一部は隣接時刻を利用。</w:t>
            </w:r>
          </w:p>
        </w:tc>
        <w:tc>
          <w:tcPr>
            <w:tcW w:type="dxa" w:w="3402"/>
            <w:vAlign w:val="center"/>
          </w:tcPr>
          <w:p>
            <w:r>
              <w:rPr>
                <w:sz w:val="15"/>
              </w:rPr>
              <w:t>考慮</w:t>
            </w:r>
          </w:p>
        </w:tc>
        <w:tc>
          <w:tcPr>
            <w:tcW w:type="dxa" w:w="3402"/>
            <w:vAlign w:val="center"/>
          </w:tcPr>
          <w:p>
            <w:r>
              <w:rPr>
                <w:sz w:val="15"/>
              </w:rPr>
              <w:t>非常に高い</w:t>
            </w:r>
          </w:p>
        </w:tc>
      </w:tr>
      <w:tr>
        <w:tc>
          <w:tcPr>
            <w:tcW w:type="dxa" w:w="2268"/>
            <w:vAlign w:val="center"/>
          </w:tcPr>
          <w:p>
            <w:r>
              <w:rPr>
                <w:sz w:val="15"/>
              </w:rPr>
              <w:t>Histogramming</w:t>
            </w:r>
          </w:p>
        </w:tc>
        <w:tc>
          <w:tcPr>
            <w:tcW w:type="dxa" w:w="4535"/>
            <w:vAlign w:val="center"/>
          </w:tcPr>
          <w:p>
            <w:r>
              <w:rPr>
                <w:sz w:val="15"/>
              </w:rPr>
              <w:t>当該 vector を除外すると全体の histogram 表現が改善する。</w:t>
            </w:r>
          </w:p>
        </w:tc>
        <w:tc>
          <w:tcPr>
            <w:tcW w:type="dxa" w:w="3402"/>
            <w:vAlign w:val="center"/>
          </w:tcPr>
          <w:p>
            <w:r>
              <w:rPr>
                <w:sz w:val="15"/>
              </w:rPr>
              <w:t>Streaming 対応可能だが動的関係が中心ではない。</w:t>
            </w:r>
          </w:p>
        </w:tc>
        <w:tc>
          <w:tcPr>
            <w:tcW w:type="dxa" w:w="3402"/>
            <w:vAlign w:val="center"/>
          </w:tcPr>
          <w:p>
            <w:r>
              <w:rPr>
                <w:sz w:val="15"/>
              </w:rPr>
              <w:t>同一時刻の vector として考慮</w:t>
            </w:r>
          </w:p>
        </w:tc>
        <w:tc>
          <w:tcPr>
            <w:tcW w:type="dxa" w:w="3402"/>
            <w:vAlign w:val="center"/>
          </w:tcPr>
          <w:p>
            <w:r>
              <w:rPr>
                <w:sz w:val="15"/>
              </w:rPr>
              <w:t>中</w:t>
            </w:r>
          </w:p>
        </w:tc>
      </w:tr>
    </w:tbl>
    <w:p/>
    <w:p>
      <w:pPr>
        <w:pStyle w:val="Heading1"/>
      </w:pPr>
      <w:r>
        <w:t>7. Multivariate Subsequence Outlier</w:t>
      </w:r>
    </w:p>
    <w:p>
      <w:r>
        <w:t>Subsequence Outlier は連続する時間区間全体の挙動異常である。Multivariate Detection Techniques は Figure 19 の通り、Model-based と Dissimilarity-based の2群に整理される。</w:t>
      </w:r>
    </w:p>
    <w:p>
      <w:pPr>
        <w:jc w:val="center"/>
      </w:pPr>
      <w:r>
        <w:drawing>
          <wp:inline xmlns:a="http://schemas.openxmlformats.org/drawingml/2006/main" xmlns:pic="http://schemas.openxmlformats.org/drawingml/2006/picture">
            <wp:extent cx="4968000" cy="2116000"/>
            <wp:docPr id="5" name="Picture 5"/>
            <wp:cNvGraphicFramePr>
              <a:graphicFrameLocks noChangeAspect="1"/>
            </wp:cNvGraphicFramePr>
            <a:graphic>
              <a:graphicData uri="http://schemas.openxmlformats.org/drawingml/2006/picture">
                <pic:pic>
                  <pic:nvPicPr>
                    <pic:cNvPr id="0" name="fig19.png"/>
                    <pic:cNvPicPr/>
                  </pic:nvPicPr>
                  <pic:blipFill>
                    <a:blip r:embed="rId13"/>
                    <a:stretch>
                      <a:fillRect/>
                    </a:stretch>
                  </pic:blipFill>
                  <pic:spPr>
                    <a:xfrm>
                      <a:off x="0" y="0"/>
                      <a:ext cx="4968000" cy="2116000"/>
                    </a:xfrm>
                    <a:prstGeom prst="rect"/>
                  </pic:spPr>
                </pic:pic>
              </a:graphicData>
            </a:graphic>
          </wp:inline>
        </w:drawing>
      </w:r>
    </w:p>
    <w:p>
      <w:pPr>
        <w:jc w:val="center"/>
      </w:pPr>
      <w:r>
        <w:rPr>
          <w:i/>
          <w:sz w:val="16"/>
        </w:rPr>
        <w:t>Original Figure 19: Types of subsequence outlier detection methods in multivariate time series (p.24)</w:t>
      </w:r>
    </w:p>
    <w:tbl>
      <w:tblPr>
        <w:tblStyle w:val="TableGrid"/>
        <w:tblW w:type="auto" w:w="0"/>
        <w:jc w:val="center"/>
        <w:tblLook w:firstColumn="1" w:firstRow="1" w:lastColumn="0" w:lastRow="0" w:noHBand="0" w:noVBand="1" w:val="04A0"/>
      </w:tblPr>
      <w:tblGrid>
        <w:gridCol w:w="2096"/>
        <w:gridCol w:w="2096"/>
        <w:gridCol w:w="2096"/>
        <w:gridCol w:w="2096"/>
        <w:gridCol w:w="2096"/>
      </w:tblGrid>
      <w:tr>
        <w:tc>
          <w:tcPr>
            <w:tcW w:type="dxa" w:w="2268"/>
            <w:shd w:fill="D9EAF7"/>
            <w:vAlign w:val="center"/>
          </w:tcPr>
          <w:p>
            <w:pPr>
              <w:jc w:val="center"/>
            </w:pPr>
            <w:r>
              <w:rPr>
                <w:b/>
                <w:sz w:val="15"/>
              </w:rPr>
              <w:t>分類</w:t>
            </w:r>
          </w:p>
        </w:tc>
        <w:tc>
          <w:tcPr>
            <w:tcW w:type="dxa" w:w="2835"/>
            <w:shd w:fill="D9EAF7"/>
            <w:vAlign w:val="center"/>
          </w:tcPr>
          <w:p>
            <w:pPr>
              <w:jc w:val="center"/>
            </w:pPr>
            <w:r>
              <w:rPr>
                <w:b/>
                <w:sz w:val="15"/>
              </w:rPr>
              <w:t>English term</w:t>
            </w:r>
          </w:p>
        </w:tc>
        <w:tc>
          <w:tcPr>
            <w:tcW w:type="dxa" w:w="5102"/>
            <w:shd w:fill="D9EAF7"/>
            <w:vAlign w:val="center"/>
          </w:tcPr>
          <w:p>
            <w:pPr>
              <w:jc w:val="center"/>
            </w:pPr>
            <w:r>
              <w:rPr>
                <w:b/>
                <w:sz w:val="15"/>
              </w:rPr>
              <w:t>原理</w:t>
            </w:r>
          </w:p>
        </w:tc>
        <w:tc>
          <w:tcPr>
            <w:tcW w:type="dxa" w:w="3402"/>
            <w:shd w:fill="D9EAF7"/>
            <w:vAlign w:val="center"/>
          </w:tcPr>
          <w:p>
            <w:pPr>
              <w:jc w:val="center"/>
            </w:pPr>
            <w:r>
              <w:rPr>
                <w:b/>
                <w:sz w:val="15"/>
              </w:rPr>
              <w:t>判定</w:t>
            </w:r>
          </w:p>
        </w:tc>
        <w:tc>
          <w:tcPr>
            <w:tcW w:type="dxa" w:w="4535"/>
            <w:shd w:fill="D9EAF7"/>
            <w:vAlign w:val="center"/>
          </w:tcPr>
          <w:p>
            <w:pPr>
              <w:jc w:val="center"/>
            </w:pPr>
            <w:r>
              <w:rPr>
                <w:b/>
                <w:sz w:val="15"/>
              </w:rPr>
              <w:t>例</w:t>
            </w:r>
          </w:p>
        </w:tc>
      </w:tr>
      <w:tr>
        <w:tc>
          <w:tcPr>
            <w:tcW w:type="dxa" w:w="2268"/>
            <w:vAlign w:val="center"/>
          </w:tcPr>
          <w:p>
            <w:r>
              <w:rPr>
                <w:sz w:val="15"/>
              </w:rPr>
              <w:t>モデル型</w:t>
            </w:r>
          </w:p>
        </w:tc>
        <w:tc>
          <w:tcPr>
            <w:tcW w:type="dxa" w:w="2835"/>
            <w:vAlign w:val="center"/>
          </w:tcPr>
          <w:p>
            <w:r>
              <w:rPr>
                <w:sz w:val="15"/>
              </w:rPr>
              <w:t>Model-based</w:t>
            </w:r>
          </w:p>
        </w:tc>
        <w:tc>
          <w:tcPr>
            <w:tcW w:type="dxa" w:w="5102"/>
            <w:vAlign w:val="center"/>
          </w:tcPr>
          <w:p>
            <w:r>
              <w:rPr>
                <w:sz w:val="15"/>
              </w:rPr>
              <w:t>正常な subsequence を estimation/prediction し、window 全体の誤差を評価。</w:t>
            </w:r>
          </w:p>
        </w:tc>
        <w:tc>
          <w:tcPr>
            <w:tcW w:type="dxa" w:w="3402"/>
            <w:vAlign w:val="center"/>
          </w:tcPr>
          <w:p>
            <w:r>
              <w:rPr>
                <w:sz w:val="15"/>
              </w:rPr>
              <w:t>Σ||xi − x̂i|| &gt; τ</w:t>
            </w:r>
          </w:p>
        </w:tc>
        <w:tc>
          <w:tcPr>
            <w:tcW w:type="dxa" w:w="4535"/>
            <w:vAlign w:val="center"/>
          </w:tcPr>
          <w:p>
            <w:r>
              <w:rPr>
                <w:sz w:val="15"/>
              </w:rPr>
              <w:t>Jones et al. [2014], Munir et al. [2019]</w:t>
            </w:r>
          </w:p>
        </w:tc>
      </w:tr>
      <w:tr>
        <w:tc>
          <w:tcPr>
            <w:tcW w:type="dxa" w:w="2268"/>
            <w:vAlign w:val="center"/>
          </w:tcPr>
          <w:p>
            <w:r>
              <w:rPr>
                <w:sz w:val="15"/>
              </w:rPr>
              <w:t>非類似度型</w:t>
            </w:r>
          </w:p>
        </w:tc>
        <w:tc>
          <w:tcPr>
            <w:tcW w:type="dxa" w:w="2835"/>
            <w:vAlign w:val="center"/>
          </w:tcPr>
          <w:p>
            <w:r>
              <w:rPr>
                <w:sz w:val="15"/>
              </w:rPr>
              <w:t>Dissimilarity-based</w:t>
            </w:r>
          </w:p>
        </w:tc>
        <w:tc>
          <w:tcPr>
            <w:tcW w:type="dxa" w:w="5102"/>
            <w:vAlign w:val="center"/>
          </w:tcPr>
          <w:p>
            <w:r>
              <w:rPr>
                <w:sz w:val="15"/>
              </w:rPr>
              <w:t>Multivariate subsequence 間の pairwise dissimilarity を利用。</w:t>
            </w:r>
          </w:p>
        </w:tc>
        <w:tc>
          <w:tcPr>
            <w:tcW w:type="dxa" w:w="3402"/>
            <w:vAlign w:val="center"/>
          </w:tcPr>
          <w:p>
            <w:r>
              <w:rPr>
                <w:sz w:val="15"/>
              </w:rPr>
              <w:t>距離・graph similarity</w:t>
            </w:r>
          </w:p>
        </w:tc>
        <w:tc>
          <w:tcPr>
            <w:tcW w:type="dxa" w:w="4535"/>
            <w:vAlign w:val="center"/>
          </w:tcPr>
          <w:p>
            <w:r>
              <w:rPr>
                <w:sz w:val="15"/>
              </w:rPr>
              <w:t>Cheng et al. [2008, 2009]</w:t>
            </w:r>
          </w:p>
        </w:tc>
      </w:tr>
    </w:tbl>
    <w:p/>
    <w:p>
      <w:pPr>
        <w:pStyle w:val="Heading1"/>
      </w:pPr>
      <w:r>
        <w:t>8. Outlier Time Series と検知方法</w:t>
      </w:r>
    </w:p>
    <w:p>
      <w:r>
        <w:t>Outlier Time Series は、1点や1区間ではなく、Multivariate Time Series に含まれる1変数の系列全体が他の変数系列と異なるケースである。</w:t>
      </w:r>
    </w:p>
    <w:p>
      <w:pPr>
        <w:jc w:val="center"/>
      </w:pPr>
      <w:r>
        <w:drawing>
          <wp:inline xmlns:a="http://schemas.openxmlformats.org/drawingml/2006/main" xmlns:pic="http://schemas.openxmlformats.org/drawingml/2006/picture">
            <wp:extent cx="4860000" cy="1962692"/>
            <wp:docPr id="6" name="Picture 6"/>
            <wp:cNvGraphicFramePr>
              <a:graphicFrameLocks noChangeAspect="1"/>
            </wp:cNvGraphicFramePr>
            <a:graphic>
              <a:graphicData uri="http://schemas.openxmlformats.org/drawingml/2006/picture">
                <pic:pic>
                  <pic:nvPicPr>
                    <pic:cNvPr id="0" name="fig20.png"/>
                    <pic:cNvPicPr/>
                  </pic:nvPicPr>
                  <pic:blipFill>
                    <a:blip r:embed="rId14"/>
                    <a:stretch>
                      <a:fillRect/>
                    </a:stretch>
                  </pic:blipFill>
                  <pic:spPr>
                    <a:xfrm>
                      <a:off x="0" y="0"/>
                      <a:ext cx="4860000" cy="1962692"/>
                    </a:xfrm>
                    <a:prstGeom prst="rect"/>
                  </pic:spPr>
                </pic:pic>
              </a:graphicData>
            </a:graphic>
          </wp:inline>
        </w:drawing>
      </w:r>
    </w:p>
    <w:p>
      <w:pPr>
        <w:jc w:val="center"/>
      </w:pPr>
      <w:r>
        <w:rPr>
          <w:i/>
          <w:sz w:val="16"/>
        </w:rPr>
        <w:t>Original Figure 20: Types of methods for detecting outlier time series in multivariate time series (p.25)</w:t>
      </w:r>
    </w:p>
    <w:tbl>
      <w:tblPr>
        <w:tblStyle w:val="TableGrid"/>
        <w:tblW w:type="auto" w:w="0"/>
        <w:jc w:val="center"/>
        <w:tblLook w:firstColumn="1" w:firstRow="1" w:lastColumn="0" w:lastRow="0" w:noHBand="0" w:noVBand="1" w:val="04A0"/>
      </w:tblPr>
      <w:tblGrid>
        <w:gridCol w:w="2096"/>
        <w:gridCol w:w="2096"/>
        <w:gridCol w:w="2096"/>
        <w:gridCol w:w="2096"/>
        <w:gridCol w:w="2096"/>
      </w:tblGrid>
      <w:tr>
        <w:tc>
          <w:tcPr>
            <w:tcW w:type="dxa" w:w="2268"/>
            <w:shd w:fill="D9EAF7"/>
            <w:vAlign w:val="center"/>
          </w:tcPr>
          <w:p>
            <w:pPr>
              <w:jc w:val="center"/>
            </w:pPr>
            <w:r>
              <w:rPr>
                <w:b/>
                <w:sz w:val="15"/>
              </w:rPr>
              <w:t>分類</w:t>
            </w:r>
          </w:p>
        </w:tc>
        <w:tc>
          <w:tcPr>
            <w:tcW w:type="dxa" w:w="2835"/>
            <w:shd w:fill="D9EAF7"/>
            <w:vAlign w:val="center"/>
          </w:tcPr>
          <w:p>
            <w:pPr>
              <w:jc w:val="center"/>
            </w:pPr>
            <w:r>
              <w:rPr>
                <w:b/>
                <w:sz w:val="15"/>
              </w:rPr>
              <w:t>English term</w:t>
            </w:r>
          </w:p>
        </w:tc>
        <w:tc>
          <w:tcPr>
            <w:tcW w:type="dxa" w:w="5102"/>
            <w:shd w:fill="D9EAF7"/>
            <w:vAlign w:val="center"/>
          </w:tcPr>
          <w:p>
            <w:pPr>
              <w:jc w:val="center"/>
            </w:pPr>
            <w:r>
              <w:rPr>
                <w:b/>
                <w:sz w:val="15"/>
              </w:rPr>
              <w:t>原理</w:t>
            </w:r>
          </w:p>
        </w:tc>
        <w:tc>
          <w:tcPr>
            <w:tcW w:type="dxa" w:w="5102"/>
            <w:shd w:fill="D9EAF7"/>
            <w:vAlign w:val="center"/>
          </w:tcPr>
          <w:p>
            <w:pPr>
              <w:jc w:val="center"/>
            </w:pPr>
            <w:r>
              <w:rPr>
                <w:b/>
                <w:sz w:val="15"/>
              </w:rPr>
              <w:t>代表技術</w:t>
            </w:r>
          </w:p>
        </w:tc>
        <w:tc>
          <w:tcPr>
            <w:tcW w:type="dxa" w:w="3969"/>
            <w:shd w:fill="D9EAF7"/>
            <w:vAlign w:val="center"/>
          </w:tcPr>
          <w:p>
            <w:pPr>
              <w:jc w:val="center"/>
            </w:pPr>
            <w:r>
              <w:rPr>
                <w:b/>
                <w:sz w:val="15"/>
              </w:rPr>
              <w:t>判定</w:t>
            </w:r>
          </w:p>
        </w:tc>
      </w:tr>
      <w:tr>
        <w:tc>
          <w:tcPr>
            <w:tcW w:type="dxa" w:w="2268"/>
            <w:vAlign w:val="center"/>
          </w:tcPr>
          <w:p>
            <w:r>
              <w:rPr>
                <w:sz w:val="15"/>
              </w:rPr>
              <w:t>次元削減型</w:t>
            </w:r>
          </w:p>
        </w:tc>
        <w:tc>
          <w:tcPr>
            <w:tcW w:type="dxa" w:w="2835"/>
            <w:vAlign w:val="center"/>
          </w:tcPr>
          <w:p>
            <w:r>
              <w:rPr>
                <w:sz w:val="15"/>
              </w:rPr>
              <w:t>Dimensionality Reduction</w:t>
            </w:r>
          </w:p>
        </w:tc>
        <w:tc>
          <w:tcPr>
            <w:tcW w:type="dxa" w:w="5102"/>
            <w:vAlign w:val="center"/>
          </w:tcPr>
          <w:p>
            <w:r>
              <w:rPr>
                <w:sz w:val="15"/>
              </w:rPr>
              <w:t>各 time series から特徴量を抽出し、PCA 等で低次元化。</w:t>
            </w:r>
          </w:p>
        </w:tc>
        <w:tc>
          <w:tcPr>
            <w:tcW w:type="dxa" w:w="5102"/>
            <w:vAlign w:val="center"/>
          </w:tcPr>
          <w:p>
            <w:r>
              <w:rPr>
                <w:sz w:val="15"/>
              </w:rPr>
              <w:t>Statistical features + PCA, PCA-space clustering</w:t>
            </w:r>
          </w:p>
        </w:tc>
        <w:tc>
          <w:tcPr>
            <w:tcW w:type="dxa" w:w="3969"/>
            <w:vAlign w:val="center"/>
          </w:tcPr>
          <w:p>
            <w:r>
              <w:rPr>
                <w:sz w:val="15"/>
              </w:rPr>
              <w:t>高密度領域から離れた系列を outlier とする。</w:t>
            </w:r>
          </w:p>
        </w:tc>
      </w:tr>
      <w:tr>
        <w:tc>
          <w:tcPr>
            <w:tcW w:type="dxa" w:w="2268"/>
            <w:vAlign w:val="center"/>
          </w:tcPr>
          <w:p>
            <w:r>
              <w:rPr>
                <w:sz w:val="15"/>
              </w:rPr>
              <w:t>非類似度型</w:t>
            </w:r>
          </w:p>
        </w:tc>
        <w:tc>
          <w:tcPr>
            <w:tcW w:type="dxa" w:w="2835"/>
            <w:vAlign w:val="center"/>
          </w:tcPr>
          <w:p>
            <w:r>
              <w:rPr>
                <w:sz w:val="15"/>
              </w:rPr>
              <w:t>Dissimilarity-based</w:t>
            </w:r>
          </w:p>
        </w:tc>
        <w:tc>
          <w:tcPr>
            <w:tcW w:type="dxa" w:w="5102"/>
            <w:vAlign w:val="center"/>
          </w:tcPr>
          <w:p>
            <w:r>
              <w:rPr>
                <w:sz w:val="15"/>
              </w:rPr>
              <w:t>系列全体の pairwise distance/similarity を直接比較。</w:t>
            </w:r>
          </w:p>
        </w:tc>
        <w:tc>
          <w:tcPr>
            <w:tcW w:type="dxa" w:w="5102"/>
            <w:vAlign w:val="center"/>
          </w:tcPr>
          <w:p>
            <w:r>
              <w:rPr>
                <w:sz w:val="15"/>
              </w:rPr>
              <w:t>Phased k-means + cross-correlation, DTW clustering, hierarchical clustering, shapelets</w:t>
            </w:r>
          </w:p>
        </w:tc>
        <w:tc>
          <w:tcPr>
            <w:tcW w:type="dxa" w:w="3969"/>
            <w:vAlign w:val="center"/>
          </w:tcPr>
          <w:p>
            <w:r>
              <w:rPr>
                <w:sz w:val="15"/>
              </w:rPr>
              <w:t>正常系列群と形状・位相・距離が異なる系列を検知。</w:t>
            </w:r>
          </w:p>
        </w:tc>
      </w:tr>
    </w:tbl>
    <w:p/>
    <w:p>
      <w:pPr>
        <w:jc w:val="center"/>
      </w:pPr>
      <w:r>
        <w:drawing>
          <wp:inline xmlns:a="http://schemas.openxmlformats.org/drawingml/2006/main" xmlns:pic="http://schemas.openxmlformats.org/drawingml/2006/picture">
            <wp:extent cx="5580000" cy="2653427"/>
            <wp:docPr id="7" name="Picture 7"/>
            <wp:cNvGraphicFramePr>
              <a:graphicFrameLocks noChangeAspect="1"/>
            </wp:cNvGraphicFramePr>
            <a:graphic>
              <a:graphicData uri="http://schemas.openxmlformats.org/drawingml/2006/picture">
                <pic:pic>
                  <pic:nvPicPr>
                    <pic:cNvPr id="0" name="fig21.png"/>
                    <pic:cNvPicPr/>
                  </pic:nvPicPr>
                  <pic:blipFill>
                    <a:blip r:embed="rId15"/>
                    <a:stretch>
                      <a:fillRect/>
                    </a:stretch>
                  </pic:blipFill>
                  <pic:spPr>
                    <a:xfrm>
                      <a:off x="0" y="0"/>
                      <a:ext cx="5580000" cy="2653427"/>
                    </a:xfrm>
                    <a:prstGeom prst="rect"/>
                  </pic:spPr>
                </pic:pic>
              </a:graphicData>
            </a:graphic>
          </wp:inline>
        </w:drawing>
      </w:r>
    </w:p>
    <w:p>
      <w:pPr>
        <w:jc w:val="center"/>
      </w:pPr>
      <w:r>
        <w:rPr>
          <w:i/>
          <w:sz w:val="16"/>
        </w:rPr>
        <w:t>Original Figure 21: Feature extraction + PCA による outlier time series detection (p.26)</w:t>
      </w:r>
    </w:p>
    <w:p>
      <w:pPr>
        <w:pStyle w:val="Heading1"/>
      </w:pPr>
      <w:r>
        <w:t>9. Multivariate Outlier Type × Detection Method 総括</w:t>
      </w:r>
    </w:p>
    <w:tbl>
      <w:tblPr>
        <w:tblStyle w:val="TableGrid"/>
        <w:tblW w:type="auto" w:w="0"/>
        <w:jc w:val="center"/>
        <w:tblLook w:firstColumn="1" w:firstRow="1" w:lastColumn="0" w:lastRow="0" w:noHBand="0" w:noVBand="1" w:val="04A0"/>
      </w:tblPr>
      <w:tblGrid>
        <w:gridCol w:w="2096"/>
        <w:gridCol w:w="2096"/>
        <w:gridCol w:w="2096"/>
        <w:gridCol w:w="2096"/>
        <w:gridCol w:w="2096"/>
      </w:tblGrid>
      <w:tr>
        <w:tc>
          <w:tcPr>
            <w:tcW w:type="dxa" w:w="2551"/>
            <w:shd w:fill="D9EAF7"/>
            <w:vAlign w:val="center"/>
          </w:tcPr>
          <w:p>
            <w:pPr>
              <w:jc w:val="center"/>
            </w:pPr>
            <w:r>
              <w:rPr>
                <w:b/>
                <w:sz w:val="15"/>
              </w:rPr>
              <w:t>Outlier Type</w:t>
            </w:r>
          </w:p>
        </w:tc>
        <w:tc>
          <w:tcPr>
            <w:tcW w:type="dxa" w:w="2835"/>
            <w:shd w:fill="D9EAF7"/>
            <w:vAlign w:val="center"/>
          </w:tcPr>
          <w:p>
            <w:pPr>
              <w:jc w:val="center"/>
            </w:pPr>
            <w:r>
              <w:rPr>
                <w:b/>
                <w:sz w:val="15"/>
              </w:rPr>
              <w:t>下位分類</w:t>
            </w:r>
          </w:p>
        </w:tc>
        <w:tc>
          <w:tcPr>
            <w:tcW w:type="dxa" w:w="3402"/>
            <w:shd w:fill="D9EAF7"/>
            <w:vAlign w:val="center"/>
          </w:tcPr>
          <w:p>
            <w:pPr>
              <w:jc w:val="center"/>
            </w:pPr>
            <w:r>
              <w:rPr>
                <w:b/>
                <w:sz w:val="15"/>
              </w:rPr>
              <w:t>Detection Route</w:t>
            </w:r>
          </w:p>
        </w:tc>
        <w:tc>
          <w:tcPr>
            <w:tcW w:type="dxa" w:w="4535"/>
            <w:shd w:fill="D9EAF7"/>
            <w:vAlign w:val="center"/>
          </w:tcPr>
          <w:p>
            <w:pPr>
              <w:jc w:val="center"/>
            </w:pPr>
            <w:r>
              <w:rPr>
                <w:b/>
                <w:sz w:val="15"/>
              </w:rPr>
              <w:t>主な手法</w:t>
            </w:r>
          </w:p>
        </w:tc>
        <w:tc>
          <w:tcPr>
            <w:tcW w:type="dxa" w:w="3402"/>
            <w:shd w:fill="D9EAF7"/>
            <w:vAlign w:val="center"/>
          </w:tcPr>
          <w:p>
            <w:pPr>
              <w:jc w:val="center"/>
            </w:pPr>
            <w:r>
              <w:rPr>
                <w:b/>
                <w:sz w:val="15"/>
              </w:rPr>
              <w:t>本課題との関係</w:t>
            </w:r>
          </w:p>
        </w:tc>
      </w:tr>
      <w:tr>
        <w:tc>
          <w:tcPr>
            <w:tcW w:type="dxa" w:w="2551"/>
            <w:vAlign w:val="center"/>
          </w:tcPr>
          <w:p>
            <w:r>
              <w:rPr>
                <w:sz w:val="15"/>
              </w:rPr>
              <w:t>Point</w:t>
            </w:r>
          </w:p>
        </w:tc>
        <w:tc>
          <w:tcPr>
            <w:tcW w:type="dxa" w:w="2835"/>
            <w:vAlign w:val="center"/>
          </w:tcPr>
          <w:p>
            <w:r>
              <w:rPr>
                <w:sz w:val="15"/>
              </w:rPr>
              <w:t>Univariate Point</w:t>
            </w:r>
          </w:p>
        </w:tc>
        <w:tc>
          <w:tcPr>
            <w:tcW w:type="dxa" w:w="3402"/>
            <w:vAlign w:val="center"/>
          </w:tcPr>
          <w:p>
            <w:r>
              <w:rPr>
                <w:sz w:val="15"/>
              </w:rPr>
              <w:t>Univariate</w:t>
            </w:r>
          </w:p>
        </w:tc>
        <w:tc>
          <w:tcPr>
            <w:tcW w:type="dxa" w:w="4535"/>
            <w:vAlign w:val="center"/>
          </w:tcPr>
          <w:p>
            <w:r>
              <w:rPr>
                <w:sz w:val="15"/>
              </w:rPr>
              <w:t>各変数ごとの prediction / estimation</w:t>
            </w:r>
          </w:p>
        </w:tc>
        <w:tc>
          <w:tcPr>
            <w:tcW w:type="dxa" w:w="3402"/>
            <w:vAlign w:val="center"/>
          </w:tcPr>
          <w:p>
            <w:r>
              <w:rPr>
                <w:sz w:val="15"/>
              </w:rPr>
              <w:t>○</w:t>
            </w:r>
          </w:p>
        </w:tc>
      </w:tr>
      <w:tr>
        <w:tc>
          <w:tcPr>
            <w:tcW w:type="dxa" w:w="2551"/>
            <w:vAlign w:val="center"/>
          </w:tcPr>
          <w:p>
            <w:r>
              <w:rPr>
                <w:sz w:val="15"/>
              </w:rPr>
              <w:t>Point</w:t>
            </w:r>
          </w:p>
        </w:tc>
        <w:tc>
          <w:tcPr>
            <w:tcW w:type="dxa" w:w="2835"/>
            <w:vAlign w:val="center"/>
          </w:tcPr>
          <w:p>
            <w:r>
              <w:rPr>
                <w:sz w:val="15"/>
              </w:rPr>
              <w:t>Multivariate Point</w:t>
            </w:r>
          </w:p>
        </w:tc>
        <w:tc>
          <w:tcPr>
            <w:tcW w:type="dxa" w:w="3402"/>
            <w:vAlign w:val="center"/>
          </w:tcPr>
          <w:p>
            <w:r>
              <w:rPr>
                <w:sz w:val="15"/>
              </w:rPr>
              <w:t>Univariate after reduction</w:t>
            </w:r>
          </w:p>
        </w:tc>
        <w:tc>
          <w:tcPr>
            <w:tcW w:type="dxa" w:w="4535"/>
            <w:vAlign w:val="center"/>
          </w:tcPr>
          <w:p>
            <w:r>
              <w:rPr>
                <w:sz w:val="15"/>
              </w:rPr>
              <w:t>PCA / ICA / Projection Pursuit + detector</w:t>
            </w:r>
          </w:p>
        </w:tc>
        <w:tc>
          <w:tcPr>
            <w:tcW w:type="dxa" w:w="3402"/>
            <w:vAlign w:val="center"/>
          </w:tcPr>
          <w:p>
            <w:r>
              <w:rPr>
                <w:sz w:val="15"/>
              </w:rPr>
              <w:t>◎</w:t>
            </w:r>
          </w:p>
        </w:tc>
      </w:tr>
      <w:tr>
        <w:tc>
          <w:tcPr>
            <w:tcW w:type="dxa" w:w="2551"/>
            <w:vAlign w:val="center"/>
          </w:tcPr>
          <w:p>
            <w:r>
              <w:rPr>
                <w:sz w:val="15"/>
              </w:rPr>
              <w:t>Point</w:t>
            </w:r>
          </w:p>
        </w:tc>
        <w:tc>
          <w:tcPr>
            <w:tcW w:type="dxa" w:w="2835"/>
            <w:vAlign w:val="center"/>
          </w:tcPr>
          <w:p>
            <w:r>
              <w:rPr>
                <w:sz w:val="15"/>
              </w:rPr>
              <w:t>Multivariate Point</w:t>
            </w:r>
          </w:p>
        </w:tc>
        <w:tc>
          <w:tcPr>
            <w:tcW w:type="dxa" w:w="3402"/>
            <w:vAlign w:val="center"/>
          </w:tcPr>
          <w:p>
            <w:r>
              <w:rPr>
                <w:sz w:val="15"/>
              </w:rPr>
              <w:t>Multivariate</w:t>
            </w:r>
          </w:p>
        </w:tc>
        <w:tc>
          <w:tcPr>
            <w:tcW w:type="dxa" w:w="4535"/>
            <w:vAlign w:val="center"/>
          </w:tcPr>
          <w:p>
            <w:r>
              <w:rPr>
                <w:sz w:val="15"/>
              </w:rPr>
              <w:t>Model-based / Dissimilarity-based / Histogramming</w:t>
            </w:r>
          </w:p>
        </w:tc>
        <w:tc>
          <w:tcPr>
            <w:tcW w:type="dxa" w:w="3402"/>
            <w:vAlign w:val="center"/>
          </w:tcPr>
          <w:p>
            <w:r>
              <w:rPr>
                <w:sz w:val="15"/>
              </w:rPr>
              <w:t>★★★★★</w:t>
            </w:r>
          </w:p>
        </w:tc>
      </w:tr>
      <w:tr>
        <w:tc>
          <w:tcPr>
            <w:tcW w:type="dxa" w:w="2551"/>
            <w:vAlign w:val="center"/>
          </w:tcPr>
          <w:p>
            <w:r>
              <w:rPr>
                <w:sz w:val="15"/>
              </w:rPr>
              <w:t>Subsequence</w:t>
            </w:r>
          </w:p>
        </w:tc>
        <w:tc>
          <w:tcPr>
            <w:tcW w:type="dxa" w:w="2835"/>
            <w:vAlign w:val="center"/>
          </w:tcPr>
          <w:p>
            <w:r>
              <w:rPr>
                <w:sz w:val="15"/>
              </w:rPr>
              <w:t>Univariate Subsequence</w:t>
            </w:r>
          </w:p>
        </w:tc>
        <w:tc>
          <w:tcPr>
            <w:tcW w:type="dxa" w:w="3402"/>
            <w:vAlign w:val="center"/>
          </w:tcPr>
          <w:p>
            <w:r>
              <w:rPr>
                <w:sz w:val="15"/>
              </w:rPr>
              <w:t>Univariate</w:t>
            </w:r>
          </w:p>
        </w:tc>
        <w:tc>
          <w:tcPr>
            <w:tcW w:type="dxa" w:w="4535"/>
            <w:vAlign w:val="center"/>
          </w:tcPr>
          <w:p>
            <w:r>
              <w:rPr>
                <w:sz w:val="15"/>
              </w:rPr>
              <w:t>各変数ごとの subsequence detection</w:t>
            </w:r>
          </w:p>
        </w:tc>
        <w:tc>
          <w:tcPr>
            <w:tcW w:type="dxa" w:w="3402"/>
            <w:vAlign w:val="center"/>
          </w:tcPr>
          <w:p>
            <w:r>
              <w:rPr>
                <w:sz w:val="15"/>
              </w:rPr>
              <w:t>○</w:t>
            </w:r>
          </w:p>
        </w:tc>
      </w:tr>
      <w:tr>
        <w:tc>
          <w:tcPr>
            <w:tcW w:type="dxa" w:w="2551"/>
            <w:vAlign w:val="center"/>
          </w:tcPr>
          <w:p>
            <w:r>
              <w:rPr>
                <w:sz w:val="15"/>
              </w:rPr>
              <w:t>Subsequence</w:t>
            </w:r>
          </w:p>
        </w:tc>
        <w:tc>
          <w:tcPr>
            <w:tcW w:type="dxa" w:w="2835"/>
            <w:vAlign w:val="center"/>
          </w:tcPr>
          <w:p>
            <w:r>
              <w:rPr>
                <w:sz w:val="15"/>
              </w:rPr>
              <w:t>Multivariate Subsequence</w:t>
            </w:r>
          </w:p>
        </w:tc>
        <w:tc>
          <w:tcPr>
            <w:tcW w:type="dxa" w:w="3402"/>
            <w:vAlign w:val="center"/>
          </w:tcPr>
          <w:p>
            <w:r>
              <w:rPr>
                <w:sz w:val="15"/>
              </w:rPr>
              <w:t>Multivariate</w:t>
            </w:r>
          </w:p>
        </w:tc>
        <w:tc>
          <w:tcPr>
            <w:tcW w:type="dxa" w:w="4535"/>
            <w:vAlign w:val="center"/>
          </w:tcPr>
          <w:p>
            <w:r>
              <w:rPr>
                <w:sz w:val="15"/>
              </w:rPr>
              <w:t>Model-based / Dissimilarity-based</w:t>
            </w:r>
          </w:p>
        </w:tc>
        <w:tc>
          <w:tcPr>
            <w:tcW w:type="dxa" w:w="3402"/>
            <w:vAlign w:val="center"/>
          </w:tcPr>
          <w:p>
            <w:r>
              <w:rPr>
                <w:sz w:val="15"/>
              </w:rPr>
              <w:t>★★★★★</w:t>
            </w:r>
          </w:p>
        </w:tc>
      </w:tr>
      <w:tr>
        <w:tc>
          <w:tcPr>
            <w:tcW w:type="dxa" w:w="2551"/>
            <w:vAlign w:val="center"/>
          </w:tcPr>
          <w:p>
            <w:r>
              <w:rPr>
                <w:sz w:val="15"/>
              </w:rPr>
              <w:t>Outlier Time Series</w:t>
            </w:r>
          </w:p>
        </w:tc>
        <w:tc>
          <w:tcPr>
            <w:tcW w:type="dxa" w:w="2835"/>
            <w:vAlign w:val="center"/>
          </w:tcPr>
          <w:p>
            <w:r>
              <w:rPr>
                <w:sz w:val="15"/>
              </w:rPr>
              <w:t>Whole variable</w:t>
            </w:r>
          </w:p>
        </w:tc>
        <w:tc>
          <w:tcPr>
            <w:tcW w:type="dxa" w:w="3402"/>
            <w:vAlign w:val="center"/>
          </w:tcPr>
          <w:p>
            <w:r>
              <w:rPr>
                <w:sz w:val="15"/>
              </w:rPr>
              <w:t>Multivariate</w:t>
            </w:r>
          </w:p>
        </w:tc>
        <w:tc>
          <w:tcPr>
            <w:tcW w:type="dxa" w:w="4535"/>
            <w:vAlign w:val="center"/>
          </w:tcPr>
          <w:p>
            <w:r>
              <w:rPr>
                <w:sz w:val="15"/>
              </w:rPr>
              <w:t>Dimensionality Reduction / Dissimilarity-based</w:t>
            </w:r>
          </w:p>
        </w:tc>
        <w:tc>
          <w:tcPr>
            <w:tcW w:type="dxa" w:w="3402"/>
            <w:vAlign w:val="center"/>
          </w:tcPr>
          <w:p>
            <w:r>
              <w:rPr>
                <w:sz w:val="15"/>
              </w:rPr>
              <w:t>△</w:t>
            </w:r>
          </w:p>
        </w:tc>
      </w:tr>
    </w:tbl>
    <w:p/>
    <w:p>
      <w:pPr>
        <w:pStyle w:val="Heading1"/>
      </w:pPr>
      <w:r>
        <w:t>10. 本課題への適用上の結論</w:t>
      </w:r>
    </w:p>
    <w:tbl>
      <w:tblPr>
        <w:tblStyle w:val="TableGrid"/>
        <w:tblW w:type="auto" w:w="0"/>
        <w:jc w:val="center"/>
        <w:tblLook w:firstColumn="1" w:firstRow="1" w:lastColumn="0" w:lastRow="0" w:noHBand="0" w:noVBand="1" w:val="04A0"/>
      </w:tblPr>
      <w:tblGrid>
        <w:gridCol w:w="3494"/>
        <w:gridCol w:w="3494"/>
        <w:gridCol w:w="3494"/>
      </w:tblGrid>
      <w:tr>
        <w:tc>
          <w:tcPr>
            <w:tcW w:type="dxa" w:w="1701"/>
            <w:shd w:fill="D9EAF7"/>
            <w:vAlign w:val="center"/>
          </w:tcPr>
          <w:p>
            <w:pPr>
              <w:jc w:val="center"/>
            </w:pPr>
            <w:r>
              <w:rPr>
                <w:b/>
                <w:sz w:val="15"/>
              </w:rPr>
              <w:t>優先度</w:t>
            </w:r>
          </w:p>
        </w:tc>
        <w:tc>
          <w:tcPr>
            <w:tcW w:type="dxa" w:w="3402"/>
            <w:shd w:fill="D9EAF7"/>
            <w:vAlign w:val="center"/>
          </w:tcPr>
          <w:p>
            <w:pPr>
              <w:jc w:val="center"/>
            </w:pPr>
            <w:r>
              <w:rPr>
                <w:b/>
                <w:sz w:val="15"/>
              </w:rPr>
              <w:t>対象</w:t>
            </w:r>
          </w:p>
        </w:tc>
        <w:tc>
          <w:tcPr>
            <w:tcW w:type="dxa" w:w="7370"/>
            <w:shd w:fill="D9EAF7"/>
            <w:vAlign w:val="center"/>
          </w:tcPr>
          <w:p>
            <w:pPr>
              <w:jc w:val="center"/>
            </w:pPr>
            <w:r>
              <w:rPr>
                <w:b/>
                <w:sz w:val="15"/>
              </w:rPr>
              <w:t>理由</w:t>
            </w:r>
          </w:p>
        </w:tc>
      </w:tr>
      <w:tr>
        <w:tc>
          <w:tcPr>
            <w:tcW w:type="dxa" w:w="1701"/>
            <w:vAlign w:val="center"/>
          </w:tcPr>
          <w:p>
            <w:r>
              <w:rPr>
                <w:sz w:val="15"/>
              </w:rPr>
              <w:t>第一優先</w:t>
            </w:r>
          </w:p>
        </w:tc>
        <w:tc>
          <w:tcPr>
            <w:tcW w:type="dxa" w:w="3402"/>
            <w:vAlign w:val="center"/>
          </w:tcPr>
          <w:p>
            <w:r>
              <w:rPr>
                <w:sz w:val="15"/>
              </w:rPr>
              <w:t>Multivariate Point Outlier Detection</w:t>
            </w:r>
          </w:p>
        </w:tc>
        <w:tc>
          <w:tcPr>
            <w:tcW w:type="dxa" w:w="7370"/>
            <w:vAlign w:val="center"/>
          </w:tcPr>
          <w:p>
            <w:r>
              <w:rPr>
                <w:sz w:val="15"/>
              </w:rPr>
              <w:t>現在時刻の入力ベクトル X が学習時の多変量正常構造外かを判定できる。特に Model-based / Dissimilarity-based は、各変数が範囲内でも未知の組合せを検知可能。</w:t>
            </w:r>
          </w:p>
        </w:tc>
      </w:tr>
      <w:tr>
        <w:tc>
          <w:tcPr>
            <w:tcW w:type="dxa" w:w="1701"/>
            <w:vAlign w:val="center"/>
          </w:tcPr>
          <w:p>
            <w:r>
              <w:rPr>
                <w:sz w:val="15"/>
              </w:rPr>
              <w:t>第二優先</w:t>
            </w:r>
          </w:p>
        </w:tc>
        <w:tc>
          <w:tcPr>
            <w:tcW w:type="dxa" w:w="3402"/>
            <w:vAlign w:val="center"/>
          </w:tcPr>
          <w:p>
            <w:r>
              <w:rPr>
                <w:sz w:val="15"/>
              </w:rPr>
              <w:t>Multivariate Subsequence Outlier Detection</w:t>
            </w:r>
          </w:p>
        </w:tc>
        <w:tc>
          <w:tcPr>
            <w:tcW w:type="dxa" w:w="7370"/>
            <w:vAlign w:val="center"/>
          </w:tcPr>
          <w:p>
            <w:r>
              <w:rPr>
                <w:sz w:val="15"/>
              </w:rPr>
              <w:t>現在の時間 window X(t-L:t) における動的関係・時系列パターンが未学習かを判定できる。</w:t>
            </w:r>
          </w:p>
        </w:tc>
      </w:tr>
      <w:tr>
        <w:tc>
          <w:tcPr>
            <w:tcW w:type="dxa" w:w="1701"/>
            <w:vAlign w:val="center"/>
          </w:tcPr>
          <w:p>
            <w:r>
              <w:rPr>
                <w:sz w:val="15"/>
              </w:rPr>
              <w:t>低優先</w:t>
            </w:r>
          </w:p>
        </w:tc>
        <w:tc>
          <w:tcPr>
            <w:tcW w:type="dxa" w:w="3402"/>
            <w:vAlign w:val="center"/>
          </w:tcPr>
          <w:p>
            <w:r>
              <w:rPr>
                <w:sz w:val="15"/>
              </w:rPr>
              <w:t>Outlier Time Series Detection</w:t>
            </w:r>
          </w:p>
        </w:tc>
        <w:tc>
          <w:tcPr>
            <w:tcW w:type="dxa" w:w="7370"/>
            <w:vAlign w:val="center"/>
          </w:tcPr>
          <w:p>
            <w:r>
              <w:rPr>
                <w:sz w:val="15"/>
              </w:rPr>
              <w:t>異常センサ/異常変数の長期挙動識別に近く、単一の新規入力 OOD 判定とは異なる。</w:t>
            </w:r>
          </w:p>
        </w:tc>
      </w:tr>
    </w:tbl>
    <w:p/>
    <w:p>
      <w:r>
        <w:t>本論文から、本課題では Multivariate Point / Multivariate Subsequence を中心に整理し、検知手法として Model-based と Dissimilarity-based を優先するのが妥当である。Histogramming は taxonomy 上重要だが、水系の多変量回帰モデル前段の学習外入力検知という目的では優先度が低い。</w:t>
      </w:r>
    </w:p>
    <w:sectPr w:rsidR="00FC693F" w:rsidRPr="0006063C" w:rsidSect="00034616">
      <w:pgSz w:w="12240" w:h="15840"/>
      <w:pgMar w:top="822" w:right="879" w:bottom="822"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54" w:lineRule="auto"/>
    </w:pPr>
    <w:rPr>
      <w:rFonts w:ascii="Arial" w:hAnsi="Arial" w:eastAsia="Yu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ascii="Arial" w:hAnsi="Arial" w:eastAsia="Yu Gothic"/>
      <w:b/>
      <w:bCs/>
      <w:color w:val="365F91" w:themeColor="accent1" w:themeShade="BF"/>
      <w:sz w:val="27"/>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Arial" w:hAnsi="Arial" w:eastAsia="Yu Gothic"/>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Arial" w:hAnsi="Arial" w:eastAsia="Yu Gothic"/>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00"/>
      <w:contextualSpacing/>
    </w:pPr>
    <w:rPr>
      <w:rFonts w:asciiTheme="majorHAnsi" w:eastAsiaTheme="majorEastAsia" w:hAnsiTheme="majorHAnsi" w:cstheme="majorBidi" w:ascii="Arial" w:hAnsi="Arial" w:eastAsia="Yu Gothic"/>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