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论文1 Density Regression 中文精读与研究报告</w:t>
      </w:r>
    </w:p>
    <w:p>
      <w:pPr>
        <w:pStyle w:val="FirstParagraph"/>
        <w:widowControl/>
      </w:pPr>
      <w:r>
        <w:t xml:space="preserve">本报告用于带教汇报与后续</w:t>
      </w:r>
      <w:r>
        <w:t xml:space="preserve">“</w:t>
      </w:r>
      <w:r>
        <w:t xml:space="preserve">学習外入力データ</w:t>
      </w:r>
      <w:r>
        <w:t xml:space="preserve">”</w:t>
      </w:r>
      <w:r>
        <w:t xml:space="preserve">研究综述。核心判断是：本篇提出一种利用特征空间密度调节预测方差的深度回归模型，能够在一次前向计算中输出预测值和不确定性；它为学习外输入风险识别提供候选信号，但不是已经完成阈值设计与检出率验证的独立学习外检测器。</w:t>
      </w:r>
    </w:p>
    <w:p>
      <w:pPr>
        <w:pStyle w:val="BodyText"/>
        <w:widowControl/>
      </w:pPr>
      <w:r>
        <w:t xml:space="preserve">阅读依据为用户提供的 efficient and distance.pdf，共25页，含正文、参考文献与补充材料。本文</w:t>
      </w:r>
      <w:r>
        <w:t xml:space="preserve">“</w:t>
      </w:r>
      <w:r>
        <w:t xml:space="preserve">第几页</w:t>
      </w:r>
      <w:r>
        <w:t xml:space="preserve">”</w:t>
      </w:r>
      <w:r>
        <w:t xml:space="preserve">均指该PDF的物理页码。文中明确区分【原文事实】【外部核验】【研究分析】【应用建议】；</w:t>
      </w:r>
      <w:r>
        <w:t xml:space="preserve">“</w:t>
      </w:r>
      <w:r>
        <w:t xml:space="preserve">未报告</w:t>
      </w:r>
      <w:r>
        <w:t xml:space="preserve">”</w:t>
      </w:r>
      <w:r>
        <w:t xml:space="preserve">不等于不存在，只表示现有材料不足以确认。外部网页核验日期为2026年9月11日。未取得公司末端压力模型说明、真实数据或山原先生相关论文，因此涉及公司场景的内容均为待验证方案。</w:t>
      </w:r>
    </w:p>
    <w:bookmarkStart w:id="22" w:name="一-文献信息与汇报结论"/>
    <w:p>
      <w:pPr>
        <w:pStyle w:val="Heading2"/>
        <w:widowControl/>
      </w:pPr>
      <w:r>
        <w:rPr>
          <w:color w:val="000000"/>
        </w:rPr>
        <w:t xml:space="preserve">一 文献信息与汇报结论</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项目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英文题名</w:t>
            </w:r>
          </w:p>
        </w:tc>
        <w:tc>
          <w:tcPr>
            <w:tcW w:type="dxa" w:w="7497"/>
            <w:vAlign w:val="center"/>
            <w:shd w:fill="FFFFFF"/>
          </w:tcPr>
          <w:p>
            <w:pPr>
              <w:pStyle w:val="Compact"/>
              <w:keepNext w:val="0"/>
              <w:spacing w:after="40" w:before="40" w:line="264" w:lineRule="auto"/>
              <w:jc w:val="left"/>
            </w:pPr>
            <w:r>
              <w:rPr>
                <w:color w:val="000000"/>
                <w:sz w:val="19"/>
              </w:rPr>
              <w:t xml:space="preserve">Density-Regression: Efficient and Distance-Aware Deep Regressor for Uncertainty Estimation under Distribution Shifts</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中文译名</w:t>
            </w:r>
          </w:p>
        </w:tc>
        <w:tc>
          <w:tcPr>
            <w:tcW w:type="dxa" w:w="7497"/>
            <w:vAlign w:val="center"/>
            <w:shd w:fill="F7F8FA"/>
          </w:tcPr>
          <w:p>
            <w:pPr>
              <w:pStyle w:val="Compact"/>
              <w:keepNext w:val="0"/>
              <w:spacing w:after="40" w:before="40" w:line="264" w:lineRule="auto"/>
              <w:jc w:val="left"/>
            </w:pPr>
            <w:r>
              <w:rPr>
                <w:color w:val="000000"/>
                <w:sz w:val="19"/>
              </w:rPr>
              <w:t xml:space="preserve">Density-Regression 分布变化下高效且具备距离感知能力的深度回归不确定性估计</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作者与机构</w:t>
            </w:r>
          </w:p>
        </w:tc>
        <w:tc>
          <w:tcPr>
            <w:tcW w:type="dxa" w:w="7497"/>
            <w:vAlign w:val="center"/>
            <w:shd w:fill="FFFFFF"/>
          </w:tcPr>
          <w:p>
            <w:pPr>
              <w:pStyle w:val="Compact"/>
              <w:keepNext w:val="0"/>
              <w:spacing w:after="40" w:before="40" w:line="264" w:lineRule="auto"/>
              <w:jc w:val="left"/>
            </w:pPr>
            <w:r>
              <w:rPr>
                <w:color w:val="000000"/>
                <w:sz w:val="19"/>
              </w:rPr>
              <w:t xml:space="preserve">Ha Manh Bui、Anqi Liu；Johns Hopkins University计算机科学系</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年份与渠道</w:t>
            </w:r>
          </w:p>
        </w:tc>
        <w:tc>
          <w:tcPr>
            <w:tcW w:type="dxa" w:w="7497"/>
            <w:vAlign w:val="center"/>
            <w:shd w:fill="F7F8FA"/>
          </w:tcPr>
          <w:p>
            <w:pPr>
              <w:pStyle w:val="Compact"/>
              <w:keepNext w:val="0"/>
              <w:spacing w:after="40" w:before="40" w:line="264" w:lineRule="auto"/>
              <w:jc w:val="left"/>
            </w:pPr>
            <w:r>
              <w:rPr>
                <w:color w:val="000000"/>
                <w:sz w:val="19"/>
              </w:rPr>
              <w:t xml:space="preserve">2024；第27届AISTATS；Proceedings of Machine Learning Research，第238卷，2998–3006页</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研究任务</w:t>
            </w:r>
          </w:p>
        </w:tc>
        <w:tc>
          <w:tcPr>
            <w:tcW w:type="dxa" w:w="7497"/>
            <w:vAlign w:val="center"/>
            <w:shd w:fill="FFFFFF"/>
          </w:tcPr>
          <w:p>
            <w:pPr>
              <w:pStyle w:val="Compact"/>
              <w:keepNext w:val="0"/>
              <w:spacing w:after="40" w:before="40" w:line="264" w:lineRule="auto"/>
              <w:jc w:val="left"/>
            </w:pPr>
            <w:r>
              <w:rPr>
                <w:color w:val="000000"/>
                <w:sz w:val="19"/>
              </w:rPr>
              <w:t xml:space="preserve">回归预测分布与分布变化下的不确定性估计</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主方法</w:t>
            </w:r>
          </w:p>
        </w:tc>
        <w:tc>
          <w:tcPr>
            <w:tcW w:type="dxa" w:w="7497"/>
            <w:vAlign w:val="center"/>
            <w:shd w:fill="F7F8FA"/>
          </w:tcPr>
          <w:p>
            <w:pPr>
              <w:pStyle w:val="Compact"/>
              <w:keepNext w:val="0"/>
              <w:spacing w:after="40" w:before="40" w:line="264" w:lineRule="auto"/>
              <w:jc w:val="left"/>
            </w:pPr>
            <w:r>
              <w:rPr>
                <w:color w:val="000000"/>
                <w:sz w:val="19"/>
              </w:rPr>
              <w:t xml:space="preserve">监督训练编码器和回归头；拟合特征密度；固定编码器和密度模型后重新训练回归头</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与本研究的关系</w:t>
            </w:r>
          </w:p>
        </w:tc>
        <w:tc>
          <w:tcPr>
            <w:tcW w:type="dxa" w:w="7497"/>
            <w:vAlign w:val="center"/>
            <w:shd w:fill="FFFFFF"/>
          </w:tcPr>
          <w:p>
            <w:pPr>
              <w:pStyle w:val="Compact"/>
              <w:keepNext w:val="0"/>
              <w:spacing w:after="40" w:before="40" w:line="264" w:lineRule="auto"/>
              <w:jc w:val="left"/>
            </w:pPr>
            <w:r>
              <w:rPr>
                <w:color w:val="000000"/>
                <w:sz w:val="19"/>
              </w:rPr>
              <w:t xml:space="preserve">特征密度与预测不确定性结合，可作为学习外输入检测候选方法，但需追加检测协议</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官方信息</w:t>
            </w:r>
          </w:p>
        </w:tc>
        <w:tc>
          <w:tcPr>
            <w:tcW w:type="dxa" w:w="7497"/>
            <w:vAlign w:val="center"/>
            <w:shd w:fill="F7F8FA"/>
          </w:tcPr>
          <w:p>
            <w:pPr>
              <w:pStyle w:val="Compact"/>
              <w:keepNext w:val="0"/>
              <w:spacing w:after="40" w:before="40" w:line="264" w:lineRule="auto"/>
              <w:jc w:val="left"/>
            </w:pPr>
            <w:hyperlink r:id="rId20">
              <w:r>
                <w:rPr>
                  <w:rStyle w:val="Hyperlink"/>
                </w:rPr>
                <w:t xml:space="preserve">PMLR论文页面</w:t>
              </w:r>
            </w:hyperlink>
            <w:r>
              <w:rPr>
                <w:color w:val="000000"/>
                <w:sz w:val="19"/>
              </w:rPr>
              <w:t xml:space="preserve">；</w:t>
            </w:r>
            <w:hyperlink r:id="rId21">
              <w:r>
                <w:rPr>
                  <w:rStyle w:val="Hyperlink"/>
                </w:rPr>
                <w:t xml:space="preserve">作者代码仓库</w:t>
              </w:r>
            </w:hyperlink>
          </w:p>
        </w:tc>
      </w:tr>
    </w:tbl>
    <w:p>
      <w:pPr>
        <w:pStyle w:val="BodyText"/>
        <w:widowControl/>
      </w:pPr>
      <w:r>
        <w:t xml:space="preserve">可在汇报开头说：</w:t>
      </w:r>
      <w:r>
        <w:t xml:space="preserve">“</w:t>
      </w:r>
      <w:r>
        <w:t xml:space="preserve">这篇论文希望解决单个神经网络在陌生输入上仍然过度自信的问题。作者把训练特征的密度加入高斯回归分布：低密度会在其他因素固定时放大方差。实验说明这种设计在若干分布变化任务中改善校准，而且比多模型集成更节省推理资源；但是否能可靠检出我们的学习外输入，仍需要单独验证。</w:t>
      </w:r>
      <w:r>
        <w:t xml:space="preserve">”</w:t>
      </w:r>
    </w:p>
    <w:p>
      <w:pPr>
        <w:pStyle w:val="BodyText"/>
        <w:widowControl/>
      </w:pPr>
      <w:r>
        <w:t xml:space="preserve">最重要的五点判断：</w:t>
      </w:r>
    </w:p>
    <w:p>
      <w:pPr>
        <w:widowControl/>
        <w:numPr>
          <w:ilvl w:val="0"/>
          <w:numId w:val="1001"/>
        </w:numPr>
        <w:pStyle w:val="Compact"/>
      </w:pPr>
      <w:r>
        <w:t xml:space="preserve">原文评估的主要对象是预测分布质量，不是二分类检测准确率。</w:t>
      </w:r>
    </w:p>
    <w:p>
      <w:pPr>
        <w:widowControl/>
        <w:numPr>
          <w:ilvl w:val="0"/>
          <w:numId w:val="1001"/>
        </w:numPr>
        <w:pStyle w:val="Compact"/>
      </w:pPr>
      <w:r>
        <w:t xml:space="preserve">密度建模发生在学习到的特征空间，不是直接检查每一个原始输入变量是否越界。</w:t>
      </w:r>
    </w:p>
    <w:p>
      <w:pPr>
        <w:widowControl/>
        <w:numPr>
          <w:ilvl w:val="0"/>
          <w:numId w:val="1001"/>
        </w:numPr>
        <w:pStyle w:val="Compact"/>
      </w:pPr>
      <w:r>
        <w:t xml:space="preserve">固定回归头时，密度在预测均值表达式中消去，直接调节的是方差。</w:t>
      </w:r>
    </w:p>
    <w:p>
      <w:pPr>
        <w:widowControl/>
        <w:numPr>
          <w:ilvl w:val="0"/>
          <w:numId w:val="1001"/>
        </w:numPr>
        <w:pStyle w:val="Compact"/>
      </w:pPr>
      <w:r>
        <w:t xml:space="preserve">不确定性较大可以来自数据噪声，不一定表示学习外；特征密度较高也不保证原始输入属于学习内。</w:t>
      </w:r>
    </w:p>
    <w:p>
      <w:pPr>
        <w:widowControl/>
        <w:numPr>
          <w:ilvl w:val="0"/>
          <w:numId w:val="1001"/>
        </w:numPr>
        <w:pStyle w:val="Compact"/>
      </w:pPr>
      <w:r>
        <w:t xml:space="preserve">论文的距离感知理论需要审慎阅读，不能无条件扩展为</w:t>
      </w:r>
      <w:r>
        <w:t xml:space="preserve">“</w:t>
      </w:r>
      <w:r>
        <w:t xml:space="preserve">所有分布、所有输入、所有时间序列变化均能识别</w:t>
      </w:r>
      <w:r>
        <w:t xml:space="preserve">”</w:t>
      </w:r>
      <w:r>
        <w:t xml:space="preserve">。</w:t>
      </w:r>
    </w:p>
    <w:bookmarkEnd w:id="22"/>
    <w:bookmarkStart w:id="25" w:name="二-研究问题与整体结构"/>
    <w:p>
      <w:pPr>
        <w:pStyle w:val="Heading2"/>
        <w:widowControl/>
      </w:pPr>
      <w:r>
        <w:rPr>
          <w:color w:val="000000"/>
        </w:rPr>
        <w:t xml:space="preserve">二 研究问题与整体结构</w:t>
      </w:r>
    </w:p>
    <w:bookmarkStart w:id="23" w:name="论文究竟解决什么问题"/>
    <w:p>
      <w:pPr>
        <w:pStyle w:val="Heading3"/>
        <w:widowControl/>
      </w:pPr>
      <w:r>
        <w:rPr>
          <w:color w:val="000000"/>
        </w:rPr>
        <w:t xml:space="preserve">2 1 论文究竟解决什么问题</w:t>
      </w:r>
    </w:p>
    <w:p>
      <w:pPr>
        <w:pStyle w:val="FirstParagraph"/>
        <w:widowControl/>
      </w:pPr>
      <w:r>
        <w:t xml:space="preserve">【原文事实，1–2页】实际部署时，输入可能来自训练时没有覆盖的年份、地点或场景。神经网络即使预测不准，也可能给出很窄的预测分布。若监控系统把这种预测当作可靠依据，就难以决定什么时候需要谨慎使用模型。</w:t>
      </w:r>
    </w:p>
    <w:p>
      <w:pPr>
        <w:pStyle w:val="BodyText"/>
        <w:widowControl/>
      </w:pPr>
      <w:r>
        <w:t xml:space="preserve">普通点回归只输出一个数。高斯回归虽然同时输出均值和方差，但训练目标主要约束已经见过的数据，未必使陌生输入上的方差合理增大。Deep Ensembles、MC Dropout等通过多个模型或多次随机前向传播估计不确定性，常能改善效果，却增加模型存储或推理成本。</w:t>
      </w:r>
    </w:p>
    <w:p>
      <w:pPr>
        <w:pStyle w:val="BodyText"/>
        <w:widowControl/>
      </w:pPr>
      <w:r>
        <w:t xml:space="preserve">作者的核心问题是：能否在保留单次前向传播效率的同时，让回归模型对远离训练特征的数据表现出更大的不确定性？核心假设是：训练特征的概率密度可以反映输入的熟悉程度，把密度加入预测分布即可把这种信息传递给方差。最终希望证明两件事：形式上建立距离感知性质；实验上兼顾校准、预测精度与推理效率。后者是任务和数据条件下的经验结论，不等于前者在任意模型上无条件成立。</w:t>
      </w:r>
    </w:p>
    <w:bookmarkEnd w:id="23"/>
    <w:bookmarkStart w:id="24" w:name="实际章节结构"/>
    <w:p>
      <w:pPr>
        <w:pStyle w:val="Heading3"/>
        <w:widowControl/>
      </w:pPr>
      <w:r>
        <w:rPr>
          <w:color w:val="000000"/>
        </w:rPr>
        <w:t xml:space="preserve">2 2 实际章节结构</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原文章节</w:t>
            </w:r>
          </w:p>
        </w:tc>
        <w:tc>
          <w:tcPr>
            <w:tcW w:type="dxa" w:w="3946"/>
            <w:vAlign w:val="center"/>
            <w:shd w:fill="E7EDF3"/>
          </w:tcPr>
          <w:p>
            <w:pPr>
              <w:pStyle w:val="Compact"/>
              <w:keepNext w:val="0"/>
              <w:spacing w:after="40" w:before="40" w:line="264" w:lineRule="auto"/>
              <w:jc w:val="left"/>
            </w:pPr>
            <w:r>
              <w:rPr>
                <w:b/>
                <w:color w:val="000000"/>
                <w:sz w:val="19"/>
              </w:rPr>
              <w:t xml:space="preserve">PDF位置</w:t>
            </w:r>
          </w:p>
        </w:tc>
        <w:tc>
          <w:tcPr>
            <w:tcW w:type="dxa" w:w="3749"/>
            <w:vAlign w:val="center"/>
            <w:shd w:fill="E7EDF3"/>
          </w:tcPr>
          <w:p>
            <w:pPr>
              <w:pStyle w:val="Compact"/>
              <w:keepNext w:val="0"/>
              <w:spacing w:after="40" w:before="40" w:line="264" w:lineRule="auto"/>
              <w:jc w:val="left"/>
            </w:pPr>
            <w:r>
              <w:rPr>
                <w:b/>
                <w:color w:val="000000"/>
                <w:sz w:val="19"/>
              </w:rPr>
              <w:t xml:space="preserve">在论证中的作用</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1 Introduction</w:t>
            </w:r>
          </w:p>
        </w:tc>
        <w:tc>
          <w:tcPr>
            <w:tcW w:type="dxa" w:w="3946"/>
            <w:vAlign w:val="center"/>
            <w:shd w:fill="FFFFFF"/>
          </w:tcPr>
          <w:p>
            <w:pPr>
              <w:pStyle w:val="Compact"/>
              <w:keepNext w:val="0"/>
              <w:spacing w:after="40" w:before="40" w:line="264" w:lineRule="auto"/>
              <w:jc w:val="left"/>
            </w:pPr>
            <w:r>
              <w:rPr>
                <w:color w:val="000000"/>
                <w:sz w:val="19"/>
              </w:rPr>
              <w:t xml:space="preserve">1–2页</w:t>
            </w:r>
          </w:p>
        </w:tc>
        <w:tc>
          <w:tcPr>
            <w:tcW w:type="dxa" w:w="3749"/>
            <w:vAlign w:val="center"/>
            <w:shd w:fill="FFFFFF"/>
          </w:tcPr>
          <w:p>
            <w:pPr>
              <w:pStyle w:val="Compact"/>
              <w:keepNext w:val="0"/>
              <w:spacing w:after="40" w:before="40" w:line="264" w:lineRule="auto"/>
              <w:jc w:val="left"/>
            </w:pPr>
            <w:r>
              <w:rPr>
                <w:color w:val="000000"/>
                <w:sz w:val="19"/>
              </w:rPr>
              <w:t xml:space="preserve">提出分布变化下过度自信与集成成本问题</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2 Background</w:t>
            </w:r>
          </w:p>
        </w:tc>
        <w:tc>
          <w:tcPr>
            <w:tcW w:type="dxa" w:w="3946"/>
            <w:vAlign w:val="center"/>
            <w:shd w:fill="F7F8FA"/>
          </w:tcPr>
          <w:p>
            <w:pPr>
              <w:pStyle w:val="Compact"/>
              <w:keepNext w:val="0"/>
              <w:spacing w:after="40" w:before="40" w:line="264" w:lineRule="auto"/>
              <w:jc w:val="left"/>
            </w:pPr>
            <w:r>
              <w:rPr>
                <w:color w:val="000000"/>
                <w:sz w:val="19"/>
              </w:rPr>
              <w:t xml:space="preserve">2–4页</w:t>
            </w:r>
          </w:p>
        </w:tc>
        <w:tc>
          <w:tcPr>
            <w:tcW w:type="dxa" w:w="3749"/>
            <w:vAlign w:val="center"/>
            <w:shd w:fill="F7F8FA"/>
          </w:tcPr>
          <w:p>
            <w:pPr>
              <w:pStyle w:val="Compact"/>
              <w:keepNext w:val="0"/>
              <w:spacing w:after="40" w:before="40" w:line="264" w:lineRule="auto"/>
              <w:jc w:val="left"/>
            </w:pPr>
            <w:r>
              <w:rPr>
                <w:color w:val="000000"/>
                <w:sz w:val="19"/>
              </w:rPr>
              <w:t xml:space="preserve">定义回归、不确定性、校准、锐度、距离感知与效率</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3.1 Density-Regression formulation</w:t>
            </w:r>
          </w:p>
        </w:tc>
        <w:tc>
          <w:tcPr>
            <w:tcW w:type="dxa" w:w="3946"/>
            <w:vAlign w:val="center"/>
            <w:shd w:fill="FFFFFF"/>
          </w:tcPr>
          <w:p>
            <w:pPr>
              <w:pStyle w:val="Compact"/>
              <w:keepNext w:val="0"/>
              <w:spacing w:after="40" w:before="40" w:line="264" w:lineRule="auto"/>
              <w:jc w:val="left"/>
            </w:pPr>
            <w:r>
              <w:rPr>
                <w:color w:val="000000"/>
                <w:sz w:val="19"/>
              </w:rPr>
              <w:t xml:space="preserve">4–5页</w:t>
            </w:r>
          </w:p>
        </w:tc>
        <w:tc>
          <w:tcPr>
            <w:tcW w:type="dxa" w:w="3749"/>
            <w:vAlign w:val="center"/>
            <w:shd w:fill="FFFFFF"/>
          </w:tcPr>
          <w:p>
            <w:pPr>
              <w:pStyle w:val="Compact"/>
              <w:keepNext w:val="0"/>
              <w:spacing w:after="40" w:before="40" w:line="264" w:lineRule="auto"/>
              <w:jc w:val="left"/>
            </w:pPr>
            <w:r>
              <w:rPr>
                <w:color w:val="000000"/>
                <w:sz w:val="19"/>
              </w:rPr>
              <w:t xml:space="preserve">从指数族形式推出高斯均值与方差</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3.2 Training and Inference Process</w:t>
            </w:r>
          </w:p>
        </w:tc>
        <w:tc>
          <w:tcPr>
            <w:tcW w:type="dxa" w:w="3946"/>
            <w:vAlign w:val="center"/>
            <w:shd w:fill="F7F8FA"/>
          </w:tcPr>
          <w:p>
            <w:pPr>
              <w:pStyle w:val="Compact"/>
              <w:keepNext w:val="0"/>
              <w:spacing w:after="40" w:before="40" w:line="264" w:lineRule="auto"/>
              <w:jc w:val="left"/>
            </w:pPr>
            <w:r>
              <w:rPr>
                <w:color w:val="000000"/>
                <w:sz w:val="19"/>
              </w:rPr>
              <w:t xml:space="preserve">5–6页</w:t>
            </w:r>
          </w:p>
        </w:tc>
        <w:tc>
          <w:tcPr>
            <w:tcW w:type="dxa" w:w="3749"/>
            <w:vAlign w:val="center"/>
            <w:shd w:fill="F7F8FA"/>
          </w:tcPr>
          <w:p>
            <w:pPr>
              <w:pStyle w:val="Compact"/>
              <w:keepNext w:val="0"/>
              <w:spacing w:after="40" w:before="40" w:line="264" w:lineRule="auto"/>
              <w:jc w:val="left"/>
            </w:pPr>
            <w:r>
              <w:rPr>
                <w:color w:val="000000"/>
                <w:sz w:val="19"/>
              </w:rPr>
              <w:t xml:space="preserve">给出三阶段训练和算法1</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3.3 Theoretical analysis</w:t>
            </w:r>
          </w:p>
        </w:tc>
        <w:tc>
          <w:tcPr>
            <w:tcW w:type="dxa" w:w="3946"/>
            <w:vAlign w:val="center"/>
            <w:shd w:fill="FFFFFF"/>
          </w:tcPr>
          <w:p>
            <w:pPr>
              <w:pStyle w:val="Compact"/>
              <w:keepNext w:val="0"/>
              <w:spacing w:after="40" w:before="40" w:line="264" w:lineRule="auto"/>
              <w:jc w:val="left"/>
            </w:pPr>
            <w:r>
              <w:rPr>
                <w:color w:val="000000"/>
                <w:sz w:val="19"/>
              </w:rPr>
              <w:t xml:space="preserve">6页</w:t>
            </w:r>
          </w:p>
        </w:tc>
        <w:tc>
          <w:tcPr>
            <w:tcW w:type="dxa" w:w="3749"/>
            <w:vAlign w:val="center"/>
            <w:shd w:fill="FFFFFF"/>
          </w:tcPr>
          <w:p>
            <w:pPr>
              <w:pStyle w:val="Compact"/>
              <w:keepNext w:val="0"/>
              <w:spacing w:after="40" w:before="40" w:line="264" w:lineRule="auto"/>
              <w:jc w:val="left"/>
            </w:pPr>
            <w:r>
              <w:rPr>
                <w:color w:val="000000"/>
                <w:sz w:val="19"/>
              </w:rPr>
              <w:t xml:space="preserve">建立密度、距离与方差的理论联系</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4 Experiments</w:t>
            </w:r>
          </w:p>
        </w:tc>
        <w:tc>
          <w:tcPr>
            <w:tcW w:type="dxa" w:w="3946"/>
            <w:vAlign w:val="center"/>
            <w:shd w:fill="F7F8FA"/>
          </w:tcPr>
          <w:p>
            <w:pPr>
              <w:pStyle w:val="Compact"/>
              <w:keepNext w:val="0"/>
              <w:spacing w:after="40" w:before="40" w:line="264" w:lineRule="auto"/>
              <w:jc w:val="left"/>
            </w:pPr>
            <w:r>
              <w:rPr>
                <w:color w:val="000000"/>
                <w:sz w:val="19"/>
              </w:rPr>
              <w:t xml:space="preserve">6–8页，图5在9页</w:t>
            </w:r>
          </w:p>
        </w:tc>
        <w:tc>
          <w:tcPr>
            <w:tcW w:type="dxa" w:w="3749"/>
            <w:vAlign w:val="center"/>
            <w:shd w:fill="F7F8FA"/>
          </w:tcPr>
          <w:p>
            <w:pPr>
              <w:pStyle w:val="Compact"/>
              <w:keepNext w:val="0"/>
              <w:spacing w:after="40" w:before="40" w:line="264" w:lineRule="auto"/>
              <w:jc w:val="left"/>
            </w:pPr>
            <w:r>
              <w:rPr>
                <w:color w:val="000000"/>
                <w:sz w:val="19"/>
              </w:rPr>
              <w:t xml:space="preserve">玩具回归、天气、UCI、深度估计及效率比较</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5 Related Work</w:t>
            </w:r>
          </w:p>
        </w:tc>
        <w:tc>
          <w:tcPr>
            <w:tcW w:type="dxa" w:w="3946"/>
            <w:vAlign w:val="center"/>
            <w:shd w:fill="FFFFFF"/>
          </w:tcPr>
          <w:p>
            <w:pPr>
              <w:pStyle w:val="Compact"/>
              <w:keepNext w:val="0"/>
              <w:spacing w:after="40" w:before="40" w:line="264" w:lineRule="auto"/>
              <w:jc w:val="left"/>
            </w:pPr>
            <w:r>
              <w:rPr>
                <w:color w:val="000000"/>
                <w:sz w:val="19"/>
              </w:rPr>
              <w:t xml:space="preserve">8–9页</w:t>
            </w:r>
          </w:p>
        </w:tc>
        <w:tc>
          <w:tcPr>
            <w:tcW w:type="dxa" w:w="3749"/>
            <w:vAlign w:val="center"/>
            <w:shd w:fill="FFFFFF"/>
          </w:tcPr>
          <w:p>
            <w:pPr>
              <w:pStyle w:val="Compact"/>
              <w:keepNext w:val="0"/>
              <w:spacing w:after="40" w:before="40" w:line="264" w:lineRule="auto"/>
              <w:jc w:val="left"/>
            </w:pPr>
            <w:r>
              <w:rPr>
                <w:color w:val="000000"/>
                <w:sz w:val="19"/>
              </w:rPr>
              <w:t xml:space="preserve">与采样方法、无采样方法、密度方法比较</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6 Conclusion</w:t>
            </w:r>
          </w:p>
        </w:tc>
        <w:tc>
          <w:tcPr>
            <w:tcW w:type="dxa" w:w="3946"/>
            <w:vAlign w:val="center"/>
            <w:shd w:fill="F7F8FA"/>
          </w:tcPr>
          <w:p>
            <w:pPr>
              <w:pStyle w:val="Compact"/>
              <w:keepNext w:val="0"/>
              <w:spacing w:after="40" w:before="40" w:line="264" w:lineRule="auto"/>
              <w:jc w:val="left"/>
            </w:pPr>
            <w:r>
              <w:rPr>
                <w:color w:val="000000"/>
                <w:sz w:val="19"/>
              </w:rPr>
              <w:t xml:space="preserve">9页</w:t>
            </w:r>
          </w:p>
        </w:tc>
        <w:tc>
          <w:tcPr>
            <w:tcW w:type="dxa" w:w="3749"/>
            <w:vAlign w:val="center"/>
            <w:shd w:fill="F7F8FA"/>
          </w:tcPr>
          <w:p>
            <w:pPr>
              <w:pStyle w:val="Compact"/>
              <w:keepNext w:val="0"/>
              <w:spacing w:after="40" w:before="40" w:line="264" w:lineRule="auto"/>
              <w:jc w:val="left"/>
            </w:pPr>
            <w:r>
              <w:rPr>
                <w:color w:val="000000"/>
                <w:sz w:val="19"/>
              </w:rPr>
              <w:t xml:space="preserve">概括贡献与预期价值</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参考文献与检查表</w:t>
            </w:r>
          </w:p>
        </w:tc>
        <w:tc>
          <w:tcPr>
            <w:tcW w:type="dxa" w:w="3946"/>
            <w:vAlign w:val="center"/>
            <w:shd w:fill="FFFFFF"/>
          </w:tcPr>
          <w:p>
            <w:pPr>
              <w:pStyle w:val="Compact"/>
              <w:keepNext w:val="0"/>
              <w:spacing w:after="40" w:before="40" w:line="264" w:lineRule="auto"/>
              <w:jc w:val="left"/>
            </w:pPr>
            <w:r>
              <w:rPr>
                <w:color w:val="000000"/>
                <w:sz w:val="19"/>
              </w:rPr>
              <w:t xml:space="preserve">10–13页</w:t>
            </w:r>
          </w:p>
        </w:tc>
        <w:tc>
          <w:tcPr>
            <w:tcW w:type="dxa" w:w="3749"/>
            <w:vAlign w:val="center"/>
            <w:shd w:fill="FFFFFF"/>
          </w:tcPr>
          <w:p>
            <w:pPr>
              <w:pStyle w:val="Compact"/>
              <w:keepNext w:val="0"/>
              <w:spacing w:after="40" w:before="40" w:line="264" w:lineRule="auto"/>
              <w:jc w:val="left"/>
            </w:pPr>
            <w:r>
              <w:rPr>
                <w:color w:val="000000"/>
                <w:sz w:val="19"/>
              </w:rPr>
              <w:t xml:space="preserve">参考来源、实验报告检查项目</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补充材料A</w:t>
            </w:r>
          </w:p>
        </w:tc>
        <w:tc>
          <w:tcPr>
            <w:tcW w:type="dxa" w:w="3946"/>
            <w:vAlign w:val="center"/>
            <w:shd w:fill="F7F8FA"/>
          </w:tcPr>
          <w:p>
            <w:pPr>
              <w:pStyle w:val="Compact"/>
              <w:keepNext w:val="0"/>
              <w:spacing w:after="40" w:before="40" w:line="264" w:lineRule="auto"/>
              <w:jc w:val="left"/>
            </w:pPr>
            <w:r>
              <w:rPr>
                <w:color w:val="000000"/>
                <w:sz w:val="19"/>
              </w:rPr>
              <w:t xml:space="preserve">14–19页</w:t>
            </w:r>
          </w:p>
        </w:tc>
        <w:tc>
          <w:tcPr>
            <w:tcW w:type="dxa" w:w="3749"/>
            <w:vAlign w:val="center"/>
            <w:shd w:fill="F7F8FA"/>
          </w:tcPr>
          <w:p>
            <w:pPr>
              <w:pStyle w:val="Compact"/>
              <w:keepNext w:val="0"/>
              <w:spacing w:after="40" w:before="40" w:line="264" w:lineRule="auto"/>
              <w:jc w:val="left"/>
            </w:pPr>
            <w:r>
              <w:rPr>
                <w:color w:val="000000"/>
                <w:sz w:val="19"/>
              </w:rPr>
              <w:t xml:space="preserve">理论证明及相关条件</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补充材料B</w:t>
            </w:r>
          </w:p>
        </w:tc>
        <w:tc>
          <w:tcPr>
            <w:tcW w:type="dxa" w:w="3946"/>
            <w:vAlign w:val="center"/>
            <w:shd w:fill="FFFFFF"/>
          </w:tcPr>
          <w:p>
            <w:pPr>
              <w:pStyle w:val="Compact"/>
              <w:keepNext w:val="0"/>
              <w:spacing w:after="40" w:before="40" w:line="264" w:lineRule="auto"/>
              <w:jc w:val="left"/>
            </w:pPr>
            <w:r>
              <w:rPr>
                <w:color w:val="000000"/>
                <w:sz w:val="19"/>
              </w:rPr>
              <w:t xml:space="preserve">20–21页</w:t>
            </w:r>
          </w:p>
        </w:tc>
        <w:tc>
          <w:tcPr>
            <w:tcW w:type="dxa" w:w="3749"/>
            <w:vAlign w:val="center"/>
            <w:shd w:fill="FFFFFF"/>
          </w:tcPr>
          <w:p>
            <w:pPr>
              <w:pStyle w:val="Compact"/>
              <w:keepNext w:val="0"/>
              <w:spacing w:after="40" w:before="40" w:line="264" w:lineRule="auto"/>
              <w:jc w:val="left"/>
            </w:pPr>
            <w:r>
              <w:rPr>
                <w:color w:val="000000"/>
                <w:sz w:val="19"/>
              </w:rPr>
              <w:t xml:space="preserve">基线、实现、硬件与示例代码</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补充材料C</w:t>
            </w:r>
          </w:p>
        </w:tc>
        <w:tc>
          <w:tcPr>
            <w:tcW w:type="dxa" w:w="3946"/>
            <w:vAlign w:val="center"/>
            <w:shd w:fill="F7F8FA"/>
          </w:tcPr>
          <w:p>
            <w:pPr>
              <w:pStyle w:val="Compact"/>
              <w:keepNext w:val="0"/>
              <w:spacing w:after="40" w:before="40" w:line="264" w:lineRule="auto"/>
              <w:jc w:val="left"/>
            </w:pPr>
            <w:r>
              <w:rPr>
                <w:color w:val="000000"/>
                <w:sz w:val="19"/>
              </w:rPr>
              <w:t xml:space="preserve">22–25页</w:t>
            </w:r>
          </w:p>
        </w:tc>
        <w:tc>
          <w:tcPr>
            <w:tcW w:type="dxa" w:w="3749"/>
            <w:vAlign w:val="center"/>
            <w:shd w:fill="F7F8FA"/>
          </w:tcPr>
          <w:p>
            <w:pPr>
              <w:pStyle w:val="Compact"/>
              <w:keepNext w:val="0"/>
              <w:spacing w:after="40" w:before="40" w:line="264" w:lineRule="auto"/>
              <w:jc w:val="left"/>
            </w:pPr>
            <w:r>
              <w:rPr>
                <w:color w:val="000000"/>
                <w:sz w:val="19"/>
              </w:rPr>
              <w:t xml:space="preserve">补充预测图、9个UCI表及训练耗时图</w:t>
            </w:r>
          </w:p>
        </w:tc>
      </w:tr>
    </w:tbl>
    <w:p>
      <w:pPr>
        <w:pStyle w:val="BodyText"/>
        <w:widowControl/>
      </w:pPr>
      <w:r>
        <w:t xml:space="preserve">论文没有独立的Discussion章节。本报告把局限性与应用讨论作为研究分析单列；不能把它误写成原文章节。Related Work实际上放在实验之后。</w:t>
      </w:r>
    </w:p>
    <w:bookmarkEnd w:id="24"/>
    <w:bookmarkEnd w:id="25"/>
    <w:bookmarkStart w:id="34" w:name="三-逐章精读"/>
    <w:p>
      <w:pPr>
        <w:pStyle w:val="Heading2"/>
        <w:widowControl/>
      </w:pPr>
      <w:r>
        <w:rPr>
          <w:color w:val="000000"/>
        </w:rPr>
        <w:t xml:space="preserve">三 逐章精读</w:t>
      </w:r>
    </w:p>
    <w:bookmarkStart w:id="26" w:name="introduction"/>
    <w:p>
      <w:pPr>
        <w:pStyle w:val="Heading3"/>
        <w:widowControl/>
      </w:pPr>
      <w:r>
        <w:rPr>
          <w:color w:val="000000"/>
        </w:rPr>
        <w:t xml:space="preserve">3 1 Introduction</w:t>
      </w:r>
    </w:p>
    <w:p>
      <w:pPr>
        <w:pStyle w:val="FirstParagraph"/>
        <w:widowControl/>
      </w:pPr>
      <w:r>
        <w:rPr>
          <w:bCs/>
          <w:b/>
        </w:rPr>
        <w:t xml:space="preserve">A 这一节在讲什么。</w:t>
      </w:r>
      <w:r>
        <w:t xml:space="preserve"> </w:t>
      </w:r>
      <w:r>
        <w:t xml:space="preserve">一个系统不仅要预测</w:t>
      </w:r>
      <w:r>
        <w:t xml:space="preserve">“</w:t>
      </w:r>
      <w:r>
        <w:t xml:space="preserve">温度是多少</w:t>
      </w:r>
      <w:r>
        <w:t xml:space="preserve">”</w:t>
      </w:r>
      <w:r>
        <w:t xml:space="preserve">，还要说明</w:t>
      </w:r>
      <w:r>
        <w:t xml:space="preserve">“</w:t>
      </w:r>
      <w:r>
        <w:t xml:space="preserve">这个预测有多不确定</w:t>
      </w:r>
      <w:r>
        <w:t xml:space="preserve">”</w:t>
      </w:r>
      <w:r>
        <w:t xml:space="preserve">。面对新的输入分布，预测误差和模型自信程度可能脱节。作者希望通过训练数据密度纠正这种脱节。</w:t>
      </w:r>
    </w:p>
    <w:p>
      <w:pPr>
        <w:pStyle w:val="BodyText"/>
        <w:widowControl/>
      </w:pPr>
      <w:r>
        <w:rPr>
          <w:bCs/>
          <w:b/>
        </w:rPr>
        <w:t xml:space="preserve">B 为什么要讲。</w:t>
      </w:r>
      <w:r>
        <w:t xml:space="preserve"> </w:t>
      </w:r>
      <w:r>
        <w:t xml:space="preserve">说明本篇追求的是可靠性与推理成本的共同改善，不能只以RMSE评判贡献。</w:t>
      </w:r>
    </w:p>
    <w:p>
      <w:pPr>
        <w:pStyle w:val="BodyText"/>
        <w:widowControl/>
      </w:pPr>
      <w:r>
        <w:rPr>
          <w:bCs/>
          <w:b/>
        </w:rPr>
        <w:t xml:space="preserve">C 关键概念。</w:t>
      </w:r>
      <w:r>
        <w:t xml:space="preserve"> </w:t>
      </w:r>
      <w:r>
        <w:t xml:space="preserve">分布变化指训练联合分布与测试联合分布不同，即</w:t>
      </w:r>
      <w:r>
        <w:t xml:space="preserve"> </w:t>
      </w:r>
      <m:oMath>
        <m:sSub>
          <m:e>
            <m:r>
              <m:t>P</m:t>
              <w:rPr>
                <w:rFonts w:ascii="Cambria Math" w:hAnsi="Cambria Math"/>
              </w:rPr>
            </m:r>
          </m:e>
          <m:sub>
            <m:r>
              <m:t>s</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sSub>
          <m:e>
            <m:r>
              <m:t>P</m:t>
              <w:rPr>
                <w:rFonts w:ascii="Cambria Math" w:hAnsi="Cambria Math"/>
              </w:rPr>
            </m:r>
          </m:e>
          <m:sub>
            <m:r>
              <m:t>t</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oMath>
      <w:r>
        <w:t xml:space="preserve">；直观上是工作环境变化。过度自信指预测分布比实际误差所支持的范围更窄。学习外输入关注输入相对训练经验的位置，但联合分布变化还可能只发生在</w:t>
      </w:r>
      <w:r>
        <w:t xml:space="preserve"> </w:t>
      </w: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，两者不完全相同。</w:t>
      </w:r>
    </w:p>
    <w:p>
      <w:pPr>
        <w:pStyle w:val="BodyText"/>
        <w:widowControl/>
      </w:pPr>
      <w:r>
        <w:rPr>
          <w:bCs/>
          <w:b/>
        </w:rPr>
        <w:t xml:space="preserve">D 关键公式。</w:t>
      </w:r>
      <w:r>
        <w:t xml:space="preserve"> </w:t>
      </w:r>
      <w:r>
        <w:t xml:space="preserve">本节无需新增公式。理解</w:t>
      </w:r>
      <w:r>
        <w:t xml:space="preserve">“</w:t>
      </w:r>
      <w:r>
        <w:t xml:space="preserve">输入分布变化</w:t>
      </w:r>
      <w:r>
        <w:t xml:space="preserve">”</w:t>
      </w:r>
      <w:r>
        <w:t xml:space="preserve">与</w:t>
      </w:r>
      <w:r>
        <w:t xml:space="preserve">“</w:t>
      </w:r>
      <w:r>
        <w:t xml:space="preserve">预测关系变化</w:t>
      </w:r>
      <w:r>
        <w:t xml:space="preserve">”</w:t>
      </w:r>
      <w:r>
        <w:t xml:space="preserve">的区别比背诵公式更重要。</w:t>
      </w:r>
    </w:p>
    <w:p>
      <w:pPr>
        <w:pStyle w:val="BodyText"/>
        <w:widowControl/>
      </w:pPr>
      <w:r>
        <w:rPr>
          <w:bCs/>
          <w:b/>
        </w:rPr>
        <w:t xml:space="preserve">E 真正重要的结论。</w:t>
      </w:r>
    </w:p>
    <w:p>
      <w:pPr>
        <w:widowControl/>
        <w:numPr>
          <w:ilvl w:val="0"/>
          <w:numId w:val="1002"/>
        </w:numPr>
        <w:pStyle w:val="Compact"/>
      </w:pPr>
      <w:r>
        <w:t xml:space="preserve">作者要改进的是分布变化下的不确定性估计。</w:t>
      </w:r>
    </w:p>
    <w:p>
      <w:pPr>
        <w:widowControl/>
        <w:numPr>
          <w:ilvl w:val="0"/>
          <w:numId w:val="1002"/>
        </w:numPr>
        <w:pStyle w:val="Compact"/>
      </w:pPr>
      <w:r>
        <w:t xml:space="preserve">单次推理是重要目标，但不能以训练成本完全不增加为前提理解它。</w:t>
      </w:r>
    </w:p>
    <w:bookmarkEnd w:id="26"/>
    <w:bookmarkStart w:id="27" w:name="background中的回归与不确定性"/>
    <w:p>
      <w:pPr>
        <w:pStyle w:val="Heading3"/>
        <w:widowControl/>
      </w:pPr>
      <w:r>
        <w:rPr>
          <w:color w:val="000000"/>
        </w:rPr>
        <w:t xml:space="preserve">3 2 Background中的回归与不确定性</w:t>
      </w:r>
    </w:p>
    <w:p>
      <w:pPr>
        <w:pStyle w:val="FirstParagraph"/>
        <w:widowControl/>
      </w:pPr>
      <w:r>
        <w:rPr>
          <w:bCs/>
          <w:b/>
        </w:rPr>
        <w:t xml:space="preserve">A 这一节在讲什么。</w:t>
      </w:r>
      <w:r>
        <w:t xml:space="preserve"> </w:t>
      </w:r>
      <w:r>
        <w:t xml:space="preserve">先把输入</w:t>
      </w:r>
      <w:r>
        <w:t xml:space="preserve"> </w:t>
      </w:r>
      <m:oMath>
        <m:r>
          <m:t>x</m:t>
          <w:rPr>
            <w:rFonts w:ascii="Cambria Math" w:hAnsi="Cambria Math"/>
          </w:rPr>
        </m:r>
      </m:oMath>
      <w:r>
        <w:t xml:space="preserve"> </w:t>
      </w:r>
      <w:r>
        <w:t xml:space="preserve">编码为</w:t>
      </w:r>
      <w:r>
        <w:t xml:space="preserve"> </w:t>
      </w:r>
      <m:oMath>
        <m:r>
          <m:t>z</m:t>
          <w:rPr>
            <w:rFonts w:ascii="Cambria Math" w:hAnsi="Cambria Math"/>
          </w:rPr>
        </m:r>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，再由回归头输出预测均值</w:t>
      </w:r>
      <w:r>
        <w:t xml:space="preserve"> </w:t>
      </w:r>
      <m:oMath>
        <m:r>
          <m:t>μ</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 </w:t>
      </w:r>
      <w:r>
        <w:t xml:space="preserve">和方差</w:t>
      </w:r>
      <w:r>
        <w:t xml:space="preserve"> </w:t>
      </w:r>
      <m:oMath>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&gt;</m:t>
          <w:rPr>
            <w:rFonts w:ascii="Cambria Math" w:hAnsi="Cambria Math"/>
          </w:rPr>
        </m:r>
        <m:r>
          <m:t>0</m:t>
          <w:rPr>
            <w:rFonts w:ascii="Cambria Math" w:hAnsi="Cambria Math"/>
          </w:rPr>
        </m:r>
      </m:oMath>
      <w:r>
        <w:t xml:space="preserve">。高斯分布描述目标值可能出现在哪里。</w:t>
      </w:r>
    </w:p>
    <w:p>
      <w:pPr>
        <w:pStyle w:val="BodyText"/>
        <w:widowControl/>
      </w:pPr>
      <w:r>
        <w:rPr>
          <w:bCs/>
          <w:b/>
        </w:rPr>
        <w:t xml:space="preserve">B 为什么要讲。</w:t>
      </w:r>
      <w:r>
        <w:t xml:space="preserve"> </w:t>
      </w:r>
      <w:r>
        <w:t xml:space="preserve">后文的方法并不是重新发明回归损失，而是在高斯回归参数中加入特征密度。</w:t>
      </w:r>
    </w:p>
    <w:p>
      <w:pPr>
        <w:pStyle w:val="BodyText"/>
        <w:widowControl/>
      </w:pPr>
      <w:r>
        <w:rPr>
          <w:bCs/>
          <w:b/>
        </w:rPr>
        <w:t xml:space="preserve">C 关键概念。</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概念</w:t>
            </w:r>
          </w:p>
        </w:tc>
        <w:tc>
          <w:tcPr>
            <w:tcW w:type="dxa" w:w="3946"/>
            <w:vAlign w:val="center"/>
            <w:shd w:fill="E7EDF3"/>
          </w:tcPr>
          <w:p>
            <w:pPr>
              <w:pStyle w:val="Compact"/>
              <w:keepNext w:val="0"/>
              <w:spacing w:after="40" w:before="40" w:line="264" w:lineRule="auto"/>
              <w:jc w:val="left"/>
            </w:pPr>
            <w:r>
              <w:rPr>
                <w:b/>
                <w:color w:val="000000"/>
                <w:sz w:val="19"/>
              </w:rPr>
              <w:t xml:space="preserve">定义与数学含义</w:t>
            </w:r>
          </w:p>
        </w:tc>
        <w:tc>
          <w:tcPr>
            <w:tcW w:type="dxa" w:w="3749"/>
            <w:vAlign w:val="center"/>
            <w:shd w:fill="E7EDF3"/>
          </w:tcPr>
          <w:p>
            <w:pPr>
              <w:pStyle w:val="Compact"/>
              <w:keepNext w:val="0"/>
              <w:spacing w:after="40" w:before="40" w:line="264" w:lineRule="auto"/>
              <w:jc w:val="left"/>
            </w:pPr>
            <w:r>
              <w:rPr>
                <w:b/>
                <w:color w:val="000000"/>
                <w:sz w:val="19"/>
              </w:rPr>
              <w:t xml:space="preserve">直观含义及与学习外的关系</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特征表示</w:t>
            </w:r>
          </w:p>
        </w:tc>
        <w:tc>
          <w:tcPr>
            <w:tcW w:type="dxa" w:w="3946"/>
            <w:vAlign w:val="center"/>
            <w:shd w:fill="FFFFFF"/>
          </w:tcPr>
          <w:p>
            <w:pPr>
              <w:pStyle w:val="Compact"/>
              <w:keepNext w:val="0"/>
              <w:spacing w:after="40" w:before="40" w:line="264" w:lineRule="auto"/>
              <w:jc w:val="left"/>
            </w:pPr>
            <m:oMath>
              <m:r>
                <m:t>z</m:t>
                <w:rPr>
                  <w:rFonts w:ascii="Cambria Math" w:hAnsi="Cambria Math"/>
                </w:rPr>
              </m:r>
              <m:r>
                <m:rPr>
                  <m:sty m:val="p"/>
                </m:rPr>
                <m:t>=</m:t>
                <w:rPr>
                  <w:rFonts w:ascii="Cambria Math" w:hAnsi="Cambria Math"/>
                </w:rPr>
              </m:r>
              <m:sSub>
                <m:e>
                  <m:r>
                    <m:t>f</m:t>
                    <w:rPr>
                      <w:rFonts w:ascii="Cambria Math" w:hAnsi="Cambria Math"/>
                    </w:rPr>
                  </m:r>
                </m:e>
                <m:sub>
                  <m:sSub>
                    <m:e>
                      <m:r>
                        <m:t>θ</m:t>
                        <w:rPr>
                          <w:rFonts w:ascii="Cambria Math" w:hAnsi="Cambria Math"/>
                        </w:rPr>
                      </m:r>
                    </m:e>
                    <m:sub>
                      <m:r>
                        <m:t>f</m:t>
                        <w:rPr>
                          <w:rFonts w:ascii="Cambria Math" w:hAnsi="Cambria Math"/>
                        </w:rPr>
                      </m:r>
                    </m:sub>
                  </m:sSub>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sSup>
                <m:e>
                  <m:r>
                    <m:rPr>
                      <m:sty m:val="p"/>
                      <m:scr m:val="double-struck"/>
                    </m:rPr>
                    <m:t>R</m:t>
                    <w:rPr>
                      <w:rFonts w:ascii="Cambria Math" w:hAnsi="Cambria Math"/>
                    </w:rPr>
                  </m:r>
                </m:e>
                <m:sup>
                  <m:r>
                    <m:t>d</m:t>
                    <w:rPr>
                      <w:rFonts w:ascii="Cambria Math" w:hAnsi="Cambria Math"/>
                    </w:rPr>
                  </m:r>
                </m:sup>
              </m:sSup>
            </m:oMath>
          </w:p>
        </w:tc>
        <w:tc>
          <w:tcPr>
            <w:tcW w:type="dxa" w:w="3749"/>
            <w:vAlign w:val="center"/>
            <w:shd w:fill="FFFFFF"/>
          </w:tcPr>
          <w:p>
            <w:pPr>
              <w:pStyle w:val="Compact"/>
              <w:keepNext w:val="0"/>
              <w:spacing w:after="40" w:before="40" w:line="264" w:lineRule="auto"/>
              <w:jc w:val="left"/>
            </w:pPr>
            <w:r>
              <w:rPr>
                <w:color w:val="000000"/>
                <w:sz w:val="19"/>
              </w:rPr>
              <w:t xml:space="preserve">网络提取的描述；原始输入远不保证特征也远</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预测均值</w:t>
            </w:r>
          </w:p>
        </w:tc>
        <w:tc>
          <w:tcPr>
            <w:tcW w:type="dxa" w:w="3946"/>
            <w:vAlign w:val="center"/>
            <w:shd w:fill="F7F8FA"/>
          </w:tcPr>
          <w:p>
            <w:pPr>
              <w:pStyle w:val="Compact"/>
              <w:keepNext w:val="0"/>
              <w:spacing w:after="40" w:before="40" w:line="264" w:lineRule="auto"/>
              <w:jc w:val="left"/>
            </w:pPr>
            <m:oMath>
              <m:r>
                <m:t>μ</m:t>
                <w:rPr>
                  <w:rFonts w:ascii="Cambria Math" w:hAnsi="Cambria Math"/>
                </w:rPr>
              </m:r>
              <m:r>
                <m:rPr>
                  <m:sty m:val="p"/>
                </m:rPr>
                <m:t>=</m:t>
                <w:rPr>
                  <w:rFonts w:ascii="Cambria Math" w:hAnsi="Cambria Math"/>
                </w:rPr>
              </m:r>
              <m:r>
                <m:rPr>
                  <m:sty m:val="p"/>
                  <m:scr m:val="double-struck"/>
                </m:rPr>
                <m:t>E</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p>
        </w:tc>
        <w:tc>
          <w:tcPr>
            <w:tcW w:type="dxa" w:w="3749"/>
            <w:vAlign w:val="center"/>
            <w:shd w:fill="F7F8FA"/>
          </w:tcPr>
          <w:p>
            <w:pPr>
              <w:pStyle w:val="Compact"/>
              <w:keepNext w:val="0"/>
              <w:spacing w:after="40" w:before="40" w:line="264" w:lineRule="auto"/>
              <w:jc w:val="left"/>
            </w:pPr>
            <w:r>
              <w:rPr>
                <w:color w:val="000000"/>
                <w:sz w:val="19"/>
              </w:rPr>
              <w:t xml:space="preserve">预测中心；不能单凭中心值判断模型熟悉程度</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预测方差</w:t>
            </w:r>
          </w:p>
        </w:tc>
        <w:tc>
          <w:tcPr>
            <w:tcW w:type="dxa" w:w="3946"/>
            <w:vAlign w:val="center"/>
            <w:shd w:fill="FFFFFF"/>
          </w:tcPr>
          <w:p>
            <w:pPr>
              <w:pStyle w:val="Compact"/>
              <w:keepNext w:val="0"/>
              <w:spacing w:after="40" w:before="40" w:line="264" w:lineRule="auto"/>
              <w:jc w:val="left"/>
            </w:pPr>
            <m:oMath>
              <m:sSup>
                <m:e>
                  <m:r>
                    <m:t>σ</m:t>
                    <w:rPr>
                      <w:rFonts w:ascii="Cambria Math" w:hAnsi="Cambria Math"/>
                    </w:rPr>
                  </m:r>
                </m:e>
                <m:sup>
                  <m:r>
                    <m:t>2</m:t>
                    <w:rPr>
                      <w:rFonts w:ascii="Cambria Math" w:hAnsi="Cambria Math"/>
                    </w:rPr>
                  </m:r>
                </m:sup>
              </m:sSup>
              <m:r>
                <m:rPr>
                  <m:sty m:val="p"/>
                </m:rPr>
                <m:t>=</m:t>
                <w:rPr>
                  <w:rFonts w:ascii="Cambria Math" w:hAnsi="Cambria Math"/>
                </w:rPr>
              </m:r>
              <m:r>
                <m:rPr>
                  <m:sty m:val="p"/>
                  <m:scr m:val="double-struck"/>
                </m:rPr>
                <m:t>E</m:t>
                <w:rPr>
                  <w:rFonts w:ascii="Cambria Math" w:hAnsi="Cambria Math"/>
                </w:rPr>
              </m:r>
              <m:r>
                <m:rPr>
                  <m:sty m:val="p"/>
                </m:rPr>
                <m:t>[</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oMath>
          </w:p>
        </w:tc>
        <w:tc>
          <w:tcPr>
            <w:tcW w:type="dxa" w:w="3749"/>
            <w:vAlign w:val="center"/>
            <w:shd w:fill="FFFFFF"/>
          </w:tcPr>
          <w:p>
            <w:pPr>
              <w:pStyle w:val="Compact"/>
              <w:keepNext w:val="0"/>
              <w:spacing w:after="40" w:before="40" w:line="264" w:lineRule="auto"/>
              <w:jc w:val="left"/>
            </w:pPr>
            <w:r>
              <w:rPr>
                <w:color w:val="000000"/>
                <w:sz w:val="19"/>
              </w:rPr>
              <w:t xml:space="preserve">预测分布宽度；既可能包含噪声，也可能反映缺少知识</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偶然不确定性</w:t>
            </w:r>
          </w:p>
        </w:tc>
        <w:tc>
          <w:tcPr>
            <w:tcW w:type="dxa" w:w="3946"/>
            <w:vAlign w:val="center"/>
            <w:shd w:fill="F7F8FA"/>
          </w:tcPr>
          <w:p>
            <w:pPr>
              <w:pStyle w:val="Compact"/>
              <w:keepNext w:val="0"/>
              <w:spacing w:after="40" w:before="40" w:line="264" w:lineRule="auto"/>
              <w:jc w:val="left"/>
            </w:pPr>
            <w:r>
              <w:rPr>
                <w:color w:val="000000"/>
                <w:sz w:val="19"/>
              </w:rPr>
              <w:t xml:space="preserve">给定输入时目标仍有随机变化</w:t>
            </w:r>
          </w:p>
        </w:tc>
        <w:tc>
          <w:tcPr>
            <w:tcW w:type="dxa" w:w="3749"/>
            <w:vAlign w:val="center"/>
            <w:shd w:fill="F7F8FA"/>
          </w:tcPr>
          <w:p>
            <w:pPr>
              <w:pStyle w:val="Compact"/>
              <w:keepNext w:val="0"/>
              <w:spacing w:after="40" w:before="40" w:line="264" w:lineRule="auto"/>
              <w:jc w:val="left"/>
            </w:pPr>
            <w:r>
              <w:rPr>
                <w:color w:val="000000"/>
                <w:sz w:val="19"/>
              </w:rPr>
              <w:t xml:space="preserve">例如传感噪声；高值不必然是学习外</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认知不确定性</w:t>
            </w:r>
          </w:p>
        </w:tc>
        <w:tc>
          <w:tcPr>
            <w:tcW w:type="dxa" w:w="3946"/>
            <w:vAlign w:val="center"/>
            <w:shd w:fill="FFFFFF"/>
          </w:tcPr>
          <w:p>
            <w:pPr>
              <w:pStyle w:val="Compact"/>
              <w:keepNext w:val="0"/>
              <w:spacing w:after="40" w:before="40" w:line="264" w:lineRule="auto"/>
              <w:jc w:val="left"/>
            </w:pPr>
            <w:r>
              <w:rPr>
                <w:color w:val="000000"/>
                <w:sz w:val="19"/>
              </w:rPr>
              <w:t xml:space="preserve">参数或函数因训练信息不足而不确定</w:t>
            </w:r>
          </w:p>
        </w:tc>
        <w:tc>
          <w:tcPr>
            <w:tcW w:type="dxa" w:w="3749"/>
            <w:vAlign w:val="center"/>
            <w:shd w:fill="FFFFFF"/>
          </w:tcPr>
          <w:p>
            <w:pPr>
              <w:pStyle w:val="Compact"/>
              <w:keepNext w:val="0"/>
              <w:spacing w:after="40" w:before="40" w:line="264" w:lineRule="auto"/>
              <w:jc w:val="left"/>
            </w:pPr>
            <w:r>
              <w:rPr>
                <w:color w:val="000000"/>
                <w:sz w:val="19"/>
              </w:rPr>
              <w:t xml:space="preserve">与训练覆盖不足更接近，但本方法并未显式完整分离两类不确定性</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最大似然</w:t>
            </w:r>
          </w:p>
        </w:tc>
        <w:tc>
          <w:tcPr>
            <w:tcW w:type="dxa" w:w="3946"/>
            <w:vAlign w:val="center"/>
            <w:shd w:fill="F7F8FA"/>
          </w:tcPr>
          <w:p>
            <w:pPr>
              <w:pStyle w:val="Compact"/>
              <w:keepNext w:val="0"/>
              <w:spacing w:after="40" w:before="40" w:line="264" w:lineRule="auto"/>
              <w:jc w:val="left"/>
            </w:pPr>
            <w:r>
              <w:rPr>
                <w:color w:val="000000"/>
                <w:sz w:val="19"/>
              </w:rPr>
              <w:t xml:space="preserve">最大化训练目标的预测概率密度</w:t>
            </w:r>
          </w:p>
        </w:tc>
        <w:tc>
          <w:tcPr>
            <w:tcW w:type="dxa" w:w="3749"/>
            <w:vAlign w:val="center"/>
            <w:shd w:fill="F7F8FA"/>
          </w:tcPr>
          <w:p>
            <w:pPr>
              <w:pStyle w:val="Compact"/>
              <w:keepNext w:val="0"/>
              <w:spacing w:after="40" w:before="40" w:line="264" w:lineRule="auto"/>
              <w:jc w:val="left"/>
            </w:pPr>
            <w:r>
              <w:rPr>
                <w:color w:val="000000"/>
                <w:sz w:val="19"/>
              </w:rPr>
              <w:t xml:space="preserve">让真实观测在预测分布中尽可能合理</w:t>
            </w:r>
          </w:p>
        </w:tc>
      </w:tr>
    </w:tbl>
    <w:p>
      <w:pPr>
        <w:pStyle w:val="BodyText"/>
        <w:widowControl/>
      </w:pPr>
      <w:r>
        <w:rPr>
          <w:bCs/>
          <w:b/>
        </w:rPr>
        <w:t xml:space="preserve">D 必要公式。</w:t>
      </w:r>
      <w:r>
        <w:t xml:space="preserve"> </w:t>
      </w:r>
      <w:r>
        <w:t xml:space="preserve">原文式2对应单样本高斯负对数似然：</w:t>
      </w:r>
    </w:p>
    <w:p>
      <w:pPr>
        <w:pStyle w:val="BodyText"/>
        <w:widowControl/>
      </w:pPr>
      <m:oMathPara>
        <m:oMathParaPr>
          <m:jc m:val="center"/>
        </m:oMathParaPr>
        <m:oMath>
          <m:r>
            <m:rPr>
              <m:sty m:val="p"/>
            </m:rPr>
            <m:t>ℓ</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nor/>
              <m:sty m:val="p"/>
            </m:rPr>
            <m:t>log</m:t>
            <w:rPr>
              <w:rFonts w:ascii="Cambria Math" w:hAnsi="Cambria Math"/>
            </w:rPr>
          </m:r>
          <m:r>
            <m:rPr>
              <m:sty m:val="p"/>
            </m:rPr>
            <m:t>(</m:t>
            <w:rPr>
              <w:rFonts w:ascii="Cambria Math" w:hAnsi="Cambria Math"/>
            </w:rPr>
          </m:r>
          <m:r>
            <m:t>2</m:t>
            <w:rPr>
              <w:rFonts w:ascii="Cambria Math" w:hAnsi="Cambria Math"/>
            </w:rPr>
          </m:r>
          <m:r>
            <m:t>π</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f>
            <m:fPr>
              <m:type m:val="bar"/>
            </m:fPr>
            <m:num>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Sup>
                <m:e>
                  <m:r>
                    <m:rPr>
                      <m:sty m:val="p"/>
                    </m:rPr>
                    <m:t>)</m:t>
                    <w:rPr>
                      <w:rFonts w:ascii="Cambria Math" w:hAnsi="Cambria Math"/>
                    </w:rPr>
                  </m:r>
                </m:e>
                <m:sup>
                  <m:r>
                    <m:t>2</m:t>
                    <w:rPr>
                      <w:rFonts w:ascii="Cambria Math" w:hAnsi="Cambria Math"/>
                    </w:rPr>
                  </m:r>
                </m:sup>
              </m:sSup>
            </m:num>
            <m:den>
              <m:r>
                <m:t>2</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den>
          </m:f>
          <m:r>
            <m:rPr>
              <m:sty m:val="p"/>
            </m:rPr>
            <m:t>.</m:t>
            <w:rPr>
              <w:rFonts w:ascii="Cambria Math" w:hAnsi="Cambria Math"/>
            </w:rPr>
          </m:r>
        </m:oMath>
      </m:oMathPara>
    </w:p>
    <w:p>
      <w:pPr>
        <w:pStyle w:val="FirstParagraph"/>
        <w:widowControl/>
      </w:pPr>
      <m:oMath>
        <m:r>
          <m:t>x</m:t>
          <w:rPr>
            <w:rFonts w:ascii="Cambria Math" w:hAnsi="Cambria Math"/>
          </w:rPr>
        </m:r>
      </m:oMath>
      <w:r>
        <w:t xml:space="preserve">为输入，</w:t>
      </w:r>
      <m:oMath>
        <m:r>
          <m:t>y</m:t>
          <w:rPr>
            <w:rFonts w:ascii="Cambria Math" w:hAnsi="Cambria Math"/>
          </w:rPr>
        </m:r>
      </m:oMath>
      <w:r>
        <w:t xml:space="preserve">为真实目标，</w:t>
      </w:r>
      <m:oMath>
        <m:r>
          <m:t>μ</m:t>
          <w:rPr>
            <w:rFonts w:ascii="Cambria Math" w:hAnsi="Cambria Math"/>
          </w:rPr>
        </m:r>
      </m:oMath>
      <w:r>
        <w:t xml:space="preserve">为均值，</w:t>
      </w:r>
      <m:oMath>
        <m:sSup>
          <m:e>
            <m:r>
              <m:t>σ</m:t>
              <w:rPr>
                <w:rFonts w:ascii="Cambria Math" w:hAnsi="Cambria Math"/>
              </w:rPr>
            </m:r>
          </m:e>
          <m:sup>
            <m:r>
              <m:t>2</m:t>
              <w:rPr>
                <w:rFonts w:ascii="Cambria Math" w:hAnsi="Cambria Math"/>
              </w:rPr>
            </m:r>
          </m:sup>
        </m:sSup>
      </m:oMath>
      <w:r>
        <w:t xml:space="preserve">为方差。第二项惩罚</w:t>
      </w:r>
      <w:r>
        <w:t xml:space="preserve">“</w:t>
      </w:r>
      <w:r>
        <w:t xml:space="preserve">大误差却声称很确定</w:t>
      </w:r>
      <w:r>
        <w:t xml:space="preserve">”</w:t>
      </w:r>
      <w:r>
        <w:t xml:space="preserve">，第一项防止模型把方差无限放大来逃避误差。连续密度可以大于1，所以NLL为负不代表计算错误。目标归一化会影响NLL和RMSE数值，不能把表中的归一化误差直接当摄氏度或米。</w:t>
      </w:r>
    </w:p>
    <w:p>
      <w:pPr>
        <w:pStyle w:val="BodyText"/>
        <w:widowControl/>
      </w:pPr>
      <w:r>
        <w:t xml:space="preserve">二维输入示例【教学例，非原文实验】：输入</w:t>
      </w:r>
      <w:r>
        <w:t xml:space="preserve"> </w:t>
      </w:r>
      <m:oMath>
        <m:r>
          <m:t>x</m:t>
          <w:rPr>
            <w:rFonts w:ascii="Cambria Math" w:hAnsi="Cambria Math"/>
          </w:rPr>
        </m:r>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oMath>
      <w:r>
        <w:t xml:space="preserve">，两个分量分别代表标准化后的流量和入口压力；目标</w:t>
      </w:r>
      <w:r>
        <w:t xml:space="preserve"> </w:t>
      </w:r>
      <m:oMath>
        <m:r>
          <m:t>y</m:t>
          <w:rPr>
            <w:rFonts w:ascii="Cambria Math" w:hAnsi="Cambria Math"/>
          </w:rPr>
        </m:r>
        <m:r>
          <m:rPr>
            <m:sty m:val="p"/>
          </m:rPr>
          <m:t>=</m:t>
          <w:rPr>
            <w:rFonts w:ascii="Cambria Math" w:hAnsi="Cambria Math"/>
          </w:rPr>
        </m:r>
        <m:r>
          <m:t>3</m:t>
          <w:rPr>
            <w:rFonts w:ascii="Cambria Math" w:hAnsi="Cambria Math"/>
          </w:rPr>
        </m:r>
      </m:oMath>
      <w:r>
        <w:t xml:space="preserve">，模型预测</w:t>
      </w:r>
      <w:r>
        <w:t xml:space="preserve"> </w:t>
      </w:r>
      <m:oMath>
        <m:r>
          <m:t>μ</m:t>
          <w:rPr>
            <w:rFonts w:ascii="Cambria Math" w:hAnsi="Cambria Math"/>
          </w:rPr>
        </m:r>
        <m:r>
          <m:rPr>
            <m:sty m:val="p"/>
          </m:rPr>
          <m:t>=</m:t>
          <w:rPr>
            <w:rFonts w:ascii="Cambria Math" w:hAnsi="Cambria Math"/>
          </w:rPr>
        </m:r>
        <m:r>
          <m:t>2</m:t>
          <w:rPr>
            <w:rFonts w:ascii="Cambria Math" w:hAnsi="Cambria Math"/>
          </w:rPr>
        </m:r>
      </m:oMath>
      <w:r>
        <w:t xml:space="preserve">。若</w:t>
      </w:r>
      <w:r>
        <w:t xml:space="preserve"> </w:t>
      </w:r>
      <m:oMath>
        <m:sSup>
          <m:e>
            <m:r>
              <m:t>σ</m:t>
              <w:rPr>
                <w:rFonts w:ascii="Cambria Math" w:hAnsi="Cambria Math"/>
              </w:rPr>
            </m:r>
          </m:e>
          <m:sup>
            <m:r>
              <m:t>2</m:t>
              <w:rPr>
                <w:rFonts w:ascii="Cambria Math" w:hAnsi="Cambria Math"/>
              </w:rPr>
            </m:r>
          </m:sup>
        </m:sSup>
        <m:r>
          <m:rPr>
            <m:sty m:val="p"/>
          </m:rPr>
          <m:t>=</m:t>
          <w:rPr>
            <w:rFonts w:ascii="Cambria Math" w:hAnsi="Cambria Math"/>
          </w:rPr>
        </m:r>
        <m:r>
          <m:t>1</m:t>
          <w:rPr>
            <w:rFonts w:ascii="Cambria Math" w:hAnsi="Cambria Math"/>
          </w:rPr>
        </m:r>
      </m:oMath>
      <w:r>
        <w:t xml:space="preserve">，NLL约1.419；若方差降为0.01，NLL约48.616。相同预测误差下，过度自信受到更大惩罚。若方差为100，NLL约3.227，又说明无限宽也不是最优。</w:t>
      </w:r>
    </w:p>
    <w:p>
      <w:pPr>
        <w:pStyle w:val="BodyText"/>
        <w:widowControl/>
      </w:pPr>
      <w:r>
        <w:t xml:space="preserve">原文式3–4将</w:t>
      </w:r>
      <w:r>
        <w:t xml:space="preserve"> </w:t>
      </w:r>
      <m:oMath>
        <m:r>
          <m:t>M</m:t>
          <w:rPr>
            <w:rFonts w:ascii="Cambria Math" w:hAnsi="Cambria Math"/>
          </w:rPr>
        </m:r>
      </m:oMath>
      <w:r>
        <w:t xml:space="preserve"> </w:t>
      </w:r>
      <w:r>
        <w:t xml:space="preserve">个模型汇总：</w:t>
      </w:r>
    </w:p>
    <w:p>
      <w:pPr>
        <w:pStyle w:val="BodyText"/>
        <w:widowControl/>
      </w:pPr>
      <m:oMathPara>
        <m:oMathParaPr>
          <m:jc m:val="center"/>
        </m:oMathParaPr>
        <m:oMath>
          <m:acc>
            <m:accPr>
              <m:chr m:val="‾"/>
            </m:accPr>
            <m:e>
              <m:r>
                <m:t>μ</m:t>
                <w:rPr>
                  <w:rFonts w:ascii="Cambria Math" w:hAnsi="Cambria Math"/>
                </w:rPr>
              </m:r>
            </m:e>
          </m:acc>
          <m:r>
            <m:rPr>
              <m:sty m:val="p"/>
            </m:rPr>
            <m:t>=</m:t>
            <w:rPr>
              <w:rFonts w:ascii="Cambria Math" w:hAnsi="Cambria Math"/>
            </w:rPr>
          </m:r>
          <m:f>
            <m:fPr>
              <m:type m:val="bar"/>
            </m:fPr>
            <m:num>
              <m:r>
                <m:t>1</m:t>
                <w:rPr>
                  <w:rFonts w:ascii="Cambria Math" w:hAnsi="Cambria Math"/>
                </w:rPr>
              </m:r>
            </m:num>
            <m:den>
              <m:r>
                <m:t>M</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sSub>
                <m:e>
                  <m:r>
                    <m:t>μ</m:t>
                    <w:rPr>
                      <w:rFonts w:ascii="Cambria Math" w:hAnsi="Cambria Math"/>
                    </w:rPr>
                  </m:r>
                </m:e>
                <m:sub>
                  <m:r>
                    <m:t>i</m:t>
                    <w:rPr>
                      <w:rFonts w:ascii="Cambria Math" w:hAnsi="Cambria Math"/>
                    </w:rPr>
                  </m:r>
                </m:sub>
              </m:sSub>
            </m:e>
          </m:nary>
          <m:r>
            <m:rPr>
              <m:sty m:val="p"/>
            </m:rPr>
            <m:t>,</m:t>
            <w:rPr>
              <w:rFonts w:ascii="Cambria Math" w:hAnsi="Cambria Math"/>
            </w:rPr>
          </m:r>
          <m:r>
            <m:t>  </m:t>
            <w:rPr>
              <w:rFonts w:ascii="Cambria Math" w:hAnsi="Cambria Math"/>
            </w:rPr>
          </m:r>
          <m:sSup>
            <m:e>
              <m:acc>
                <m:accPr>
                  <m:chr m:val="‾"/>
                </m:accPr>
                <m:e>
                  <m:r>
                    <m:t>σ</m:t>
                    <w:rPr>
                      <w:rFonts w:ascii="Cambria Math" w:hAnsi="Cambria Math"/>
                    </w:rPr>
                  </m:r>
                </m:e>
              </m:acc>
            </m:e>
            <m:sup>
              <m:r>
                <m:t>2</m:t>
                <w:rPr>
                  <w:rFonts w:ascii="Cambria Math" w:hAnsi="Cambria Math"/>
                </w:rPr>
              </m:r>
            </m:sup>
          </m:sSup>
          <m:r>
            <m:rPr>
              <m:sty m:val="p"/>
            </m:rPr>
            <m:t>=</m:t>
            <w:rPr>
              <w:rFonts w:ascii="Cambria Math" w:hAnsi="Cambria Math"/>
            </w:rPr>
          </m:r>
          <m:f>
            <m:fPr>
              <m:type m:val="bar"/>
            </m:fPr>
            <m:num>
              <m:r>
                <m:t>1</m:t>
                <w:rPr>
                  <w:rFonts w:ascii="Cambria Math" w:hAnsi="Cambria Math"/>
                </w:rPr>
              </m:r>
            </m:num>
            <m:den>
              <m:r>
                <m:t>M</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r>
                <m:rPr>
                  <m:sty m:val="p"/>
                </m:rPr>
                <m:t>[</m:t>
                <w:rPr>
                  <w:rFonts w:ascii="Cambria Math" w:hAnsi="Cambria Math"/>
                </w:rPr>
              </m:r>
            </m:e>
          </m:nary>
          <m:sSubSup>
            <m:e>
              <m:r>
                <m:t>σ</m:t>
                <w:rPr>
                  <w:rFonts w:ascii="Cambria Math" w:hAnsi="Cambria Math"/>
                </w:rPr>
              </m:r>
            </m:e>
            <m:sub>
              <m:r>
                <m:t>i</m:t>
                <w:rPr>
                  <w:rFonts w:ascii="Cambria Math" w:hAnsi="Cambria Math"/>
                </w:rPr>
              </m:r>
            </m:sub>
            <m:sup>
              <m:r>
                <m:t>2</m:t>
                <w:rPr>
                  <w:rFonts w:ascii="Cambria Math" w:hAnsi="Cambria Math"/>
                </w:rPr>
              </m:r>
            </m:sup>
          </m:sSubSup>
          <m:r>
            <m:rPr>
              <m:sty m:val="p"/>
            </m:rPr>
            <m:t>+</m:t>
            <w:rPr>
              <w:rFonts w:ascii="Cambria Math" w:hAnsi="Cambria Math"/>
            </w:rPr>
          </m:r>
          <m:r>
            <m:rPr>
              <m:sty m:val="p"/>
            </m:rPr>
            <m:t>(</m:t>
            <w:rPr>
              <w:rFonts w:ascii="Cambria Math" w:hAnsi="Cambria Math"/>
            </w:rPr>
          </m:r>
          <m:sSub>
            <m:e>
              <m:r>
                <m:t>μ</m:t>
                <w:rPr>
                  <w:rFonts w:ascii="Cambria Math" w:hAnsi="Cambria Math"/>
                </w:rPr>
              </m:r>
            </m:e>
            <m:sub>
              <m:r>
                <m:t>i</m:t>
                <w:rPr>
                  <w:rFonts w:ascii="Cambria Math" w:hAnsi="Cambria Math"/>
                </w:rPr>
              </m:r>
            </m:sub>
          </m:sSub>
          <m:r>
            <m:rPr>
              <m:sty m:val="p"/>
            </m:rPr>
            <m:t>−</m:t>
            <w:rPr>
              <w:rFonts w:ascii="Cambria Math" w:hAnsi="Cambria Math"/>
            </w:rPr>
          </m:r>
          <m:acc>
            <m:accPr>
              <m:chr m:val="‾"/>
            </m:accPr>
            <m:e>
              <m:r>
                <m:t>μ</m:t>
                <w:rPr>
                  <w:rFonts w:ascii="Cambria Math" w:hAnsi="Cambria Math"/>
                </w:rPr>
              </m:r>
            </m:e>
          </m:acc>
          <m:sSup>
            <m:e>
              <m:r>
                <m:rPr>
                  <m:sty m:val="p"/>
                </m:rPr>
                <m:t>)</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oMath>
      </m:oMathPara>
    </w:p>
    <w:p>
      <w:pPr>
        <w:pStyle w:val="FirstParagraph"/>
        <w:widowControl/>
      </w:pPr>
      <m:oMath>
        <m:r>
          <m:t>M</m:t>
          <w:rPr>
            <w:rFonts w:ascii="Cambria Math" w:hAnsi="Cambria Math"/>
          </w:rPr>
        </m:r>
      </m:oMath>
      <w:r>
        <w:t xml:space="preserve">是模型数；</w:t>
      </w:r>
      <m:oMath>
        <m:sSub>
          <m:e>
            <m:r>
              <m:t>μ</m:t>
              <w:rPr>
                <w:rFonts w:ascii="Cambria Math" w:hAnsi="Cambria Math"/>
              </w:rPr>
            </m:r>
          </m:e>
          <m:sub>
            <m:r>
              <m:t>i</m:t>
              <w:rPr>
                <w:rFonts w:ascii="Cambria Math" w:hAnsi="Cambria Math"/>
              </w:rPr>
            </m:r>
          </m:sub>
        </m:sSub>
        <m:r>
          <m:rPr>
            <m:sty m:val="p"/>
          </m:rPr>
          <m:t>,</m:t>
          <w:rPr>
            <w:rFonts w:ascii="Cambria Math" w:hAnsi="Cambria Math"/>
          </w:rPr>
        </m:r>
        <m:sSubSup>
          <m:e>
            <m:r>
              <m:t>σ</m:t>
              <w:rPr>
                <w:rFonts w:ascii="Cambria Math" w:hAnsi="Cambria Math"/>
              </w:rPr>
            </m:r>
          </m:e>
          <m:sub>
            <m:r>
              <m:t>i</m:t>
              <w:rPr>
                <w:rFonts w:ascii="Cambria Math" w:hAnsi="Cambria Math"/>
              </w:rPr>
            </m:r>
          </m:sub>
          <m:sup>
            <m:r>
              <m:t>2</m:t>
              <w:rPr>
                <w:rFonts w:ascii="Cambria Math" w:hAnsi="Cambria Math"/>
              </w:rPr>
            </m:r>
          </m:sup>
        </m:sSubSup>
      </m:oMath>
      <w:r>
        <w:t xml:space="preserve">为第</w:t>
      </w:r>
      <w:r>
        <w:t xml:space="preserve"> </w:t>
      </w:r>
      <m:oMath>
        <m:r>
          <m:t>i</m:t>
          <w:rPr>
            <w:rFonts w:ascii="Cambria Math" w:hAnsi="Cambria Math"/>
          </w:rPr>
        </m:r>
      </m:oMath>
      <w:r>
        <w:t xml:space="preserve"> </w:t>
      </w:r>
      <w:r>
        <w:t xml:space="preserve">个模型输出。总方差包含每个模型自己的方差及模型之间的均值分歧。例：两个模型均值2、4，各方差1，则汇总均值3、方差2。后文追求在不存储和运行多个完整模型的情况下获得可用的不确定性。</w:t>
      </w:r>
    </w:p>
    <w:p>
      <w:pPr>
        <w:pStyle w:val="BodyText"/>
        <w:widowControl/>
      </w:pPr>
      <w:r>
        <w:rPr>
          <w:bCs/>
          <w:b/>
        </w:rPr>
        <w:t xml:space="preserve">E 真正重要的结论。</w:t>
      </w:r>
    </w:p>
    <w:p>
      <w:pPr>
        <w:widowControl/>
        <w:numPr>
          <w:ilvl w:val="0"/>
          <w:numId w:val="1003"/>
        </w:numPr>
        <w:pStyle w:val="Compact"/>
      </w:pPr>
      <w:r>
        <w:t xml:space="preserve">小误差不等于不确定性可信。</w:t>
      </w:r>
    </w:p>
    <w:p>
      <w:pPr>
        <w:widowControl/>
        <w:numPr>
          <w:ilvl w:val="0"/>
          <w:numId w:val="1003"/>
        </w:numPr>
        <w:pStyle w:val="Compact"/>
      </w:pPr>
      <w:r>
        <w:t xml:space="preserve">NLL同时检验预测中心与宽度。</w:t>
      </w:r>
    </w:p>
    <w:p>
      <w:pPr>
        <w:widowControl/>
        <w:numPr>
          <w:ilvl w:val="0"/>
          <w:numId w:val="1003"/>
        </w:numPr>
        <w:pStyle w:val="Compact"/>
      </w:pPr>
      <w:r>
        <w:t xml:space="preserve">单模型输出方差与严格分解的认知不确定性不是同一概念。</w:t>
      </w:r>
    </w:p>
    <w:bookmarkEnd w:id="27"/>
    <w:bookmarkStart w:id="28" w:name="background中的校准-锐度与距离感知"/>
    <w:p>
      <w:pPr>
        <w:pStyle w:val="Heading3"/>
        <w:widowControl/>
      </w:pPr>
      <w:r>
        <w:rPr>
          <w:color w:val="000000"/>
        </w:rPr>
        <w:t xml:space="preserve">3 3 Background中的校准 锐度与距离感知</w:t>
      </w:r>
    </w:p>
    <w:p>
      <w:pPr>
        <w:pStyle w:val="FirstParagraph"/>
        <w:widowControl/>
      </w:pPr>
      <w:r>
        <w:rPr>
          <w:bCs/>
          <w:b/>
        </w:rPr>
        <w:t xml:space="preserve">A 这一节在讲什么。</w:t>
      </w:r>
      <w:r>
        <w:t xml:space="preserve"> </w:t>
      </w:r>
      <w:r>
        <w:t xml:space="preserve">作者用校准衡量</w:t>
      </w:r>
      <w:r>
        <w:t xml:space="preserve">“</w:t>
      </w:r>
      <w:r>
        <w:t xml:space="preserve">模型声称的覆盖概率是否符合实际</w:t>
      </w:r>
      <w:r>
        <w:t xml:space="preserve">”</w:t>
      </w:r>
      <w:r>
        <w:t xml:space="preserve">，用锐度衡量预测分布宽度，并希望不确定性随训练特征距离增大。</w:t>
      </w:r>
    </w:p>
    <w:p>
      <w:pPr>
        <w:pStyle w:val="BodyText"/>
        <w:widowControl/>
      </w:pPr>
      <w:r>
        <w:rPr>
          <w:bCs/>
          <w:b/>
        </w:rPr>
        <w:t xml:space="preserve">B 为什么要讲。</w:t>
      </w:r>
      <w:r>
        <w:t xml:space="preserve"> </w:t>
      </w:r>
      <w:r>
        <w:t xml:space="preserve">这三个概念构成后文理论和实验的评价语言。</w:t>
      </w:r>
    </w:p>
    <w:p>
      <w:pPr>
        <w:pStyle w:val="BodyText"/>
        <w:widowControl/>
      </w:pPr>
      <w:r>
        <w:rPr>
          <w:bCs/>
          <w:b/>
        </w:rPr>
        <w:t xml:space="preserve">C 关键概念。</w:t>
      </w:r>
      <w:r>
        <w:t xml:space="preserve"> </w:t>
      </w:r>
      <m:oMath>
        <m:sSub>
          <m:e>
            <m:r>
              <m:t>F</m:t>
              <w:rPr>
                <w:rFonts w:ascii="Cambria Math" w:hAnsi="Cambria Math"/>
              </w:rPr>
            </m:r>
          </m:e>
          <m:sub>
            <m:r>
              <m:t>i</m:t>
              <w:rPr>
                <w:rFonts w:ascii="Cambria Math" w:hAnsi="Cambria Math"/>
              </w:rPr>
            </m:r>
          </m:sub>
        </m:sSub>
        <m:r>
          <m:rPr>
            <m:sty m:val="p"/>
          </m:rPr>
          <m:t>(</m:t>
          <w:rPr>
            <w:rFonts w:ascii="Cambria Math" w:hAnsi="Cambria Math"/>
          </w:rPr>
        </m:r>
        <m:r>
          <m:t>y</m:t>
          <w:rPr>
            <w:rFonts w:ascii="Cambria Math" w:hAnsi="Cambria Math"/>
          </w:rPr>
        </m:r>
        <m:r>
          <m:rPr>
            <m:sty m:val="p"/>
          </m:rPr>
          <m:t>)</m:t>
          <w:rPr>
            <w:rFonts w:ascii="Cambria Math" w:hAnsi="Cambria Math"/>
          </w:rPr>
        </m:r>
      </m:oMath>
      <w:r>
        <w:t xml:space="preserve">为第</w:t>
      </w:r>
      <w:r>
        <w:t xml:space="preserve"> </w:t>
      </w:r>
      <m:oMath>
        <m:r>
          <m:t>i</m:t>
          <w:rPr>
            <w:rFonts w:ascii="Cambria Math" w:hAnsi="Cambria Math"/>
          </w:rPr>
        </m:r>
      </m:oMath>
      <w:r>
        <w:t xml:space="preserve"> </w:t>
      </w:r>
      <w:r>
        <w:t xml:space="preserve">个输入的预测累积分布函数；分位数</w:t>
      </w:r>
      <w:r>
        <w:t xml:space="preserve"> </w:t>
      </w:r>
      <m:oMath>
        <m:sSubSup>
          <m:e>
            <m:r>
              <m:t>F</m:t>
              <w:rPr>
                <w:rFonts w:ascii="Cambria Math" w:hAnsi="Cambria Math"/>
              </w:rPr>
            </m:r>
          </m:e>
          <m:sub>
            <m:r>
              <m:t>i</m:t>
              <w:rPr>
                <w:rFonts w:ascii="Cambria Math" w:hAnsi="Cambria Math"/>
              </w:rPr>
            </m:r>
          </m:sub>
          <m:sup>
            <m:r>
              <m:rPr>
                <m:sty m:val="p"/>
              </m:rPr>
              <m:t>−</m:t>
              <w:rPr>
                <w:rFonts w:ascii="Cambria Math" w:hAnsi="Cambria Math"/>
              </w:rPr>
            </m:r>
            <m:r>
              <m:t>1</m:t>
              <w:rPr>
                <w:rFonts w:ascii="Cambria Math" w:hAnsi="Cambria Math"/>
              </w:rPr>
            </m:r>
          </m:sup>
        </m:sSubSup>
        <m:r>
          <m:rPr>
            <m:sty m:val="p"/>
          </m:rPr>
          <m:t>(</m:t>
          <w:rPr>
            <w:rFonts w:ascii="Cambria Math" w:hAnsi="Cambria Math"/>
          </w:rPr>
        </m:r>
        <m:r>
          <m:t>p</m:t>
          <w:rPr>
            <w:rFonts w:ascii="Cambria Math" w:hAnsi="Cambria Math"/>
          </w:rPr>
        </m:r>
        <m:r>
          <m:rPr>
            <m:sty m:val="p"/>
          </m:rPr>
          <m:t>)</m:t>
          <w:rPr>
            <w:rFonts w:ascii="Cambria Math" w:hAnsi="Cambria Math"/>
          </w:rPr>
        </m:r>
      </m:oMath>
      <w:r>
        <w:t xml:space="preserve">是累计概率达到</w:t>
      </w:r>
      <w:r>
        <w:t xml:space="preserve"> </w:t>
      </w:r>
      <m:oMath>
        <m:r>
          <m:t>p</m:t>
          <w:rPr>
            <w:rFonts w:ascii="Cambria Math" w:hAnsi="Cambria Math"/>
          </w:rPr>
        </m:r>
      </m:oMath>
      <w:r>
        <w:t xml:space="preserve"> </w:t>
      </w:r>
      <w:r>
        <w:t xml:space="preserve">的目标值。校准是概率声明与长期频率的一致性；锐度是分布集中程度；距离感知是指定距离增大时不确定性不减。密度是每单位特征体积的概率质量，不是样本属于学习内的概率，数值受尺度与坐标变换影响。</w:t>
      </w:r>
    </w:p>
    <w:p>
      <w:pPr>
        <w:pStyle w:val="BodyText"/>
        <w:widowControl/>
      </w:pPr>
      <w:r>
        <w:rPr>
          <w:bCs/>
          <w:b/>
        </w:rPr>
        <w:t xml:space="preserve">D 必要公式。</w:t>
      </w:r>
      <w:r>
        <w:t xml:space="preserve"> </w:t>
      </w:r>
      <w:r>
        <w:t xml:space="preserve">原文式5–7及定义2.2：</w:t>
      </w:r>
    </w:p>
    <w:p>
      <w:pPr>
        <w:pStyle w:val="BodyText"/>
        <w:widowControl/>
      </w:pPr>
      <m:oMathPara>
        <m:oMathParaPr>
          <m:jc m:val="center"/>
        </m:oMathPara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sSubSup>
            <m:e>
              <m:r>
                <m:t>F</m:t>
                <w:rPr>
                  <w:rFonts w:ascii="Cambria Math" w:hAnsi="Cambria Math"/>
                </w:rPr>
              </m:r>
            </m:e>
            <m:sub>
              <m:r>
                <m:t>X</m:t>
                <w:rPr>
                  <w:rFonts w:ascii="Cambria Math" w:hAnsi="Cambria Math"/>
                </w:rPr>
              </m:r>
            </m:sub>
            <m:sup>
              <m:r>
                <m:rPr>
                  <m:sty m:val="p"/>
                </m:rPr>
                <m:t>−</m:t>
                <w:rPr>
                  <w:rFonts w:ascii="Cambria Math" w:hAnsi="Cambria Math"/>
                </w:rPr>
              </m:r>
              <m:r>
                <m:t>1</m:t>
                <w:rPr>
                  <w:rFonts w:ascii="Cambria Math" w:hAnsi="Cambria Math"/>
                </w:rPr>
              </m:r>
            </m:sup>
          </m:sSubSup>
          <m:r>
            <m:rPr>
              <m:sty m:val="p"/>
            </m:rPr>
            <m: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p</m:t>
            <w:rPr>
              <w:rFonts w:ascii="Cambria Math" w:hAnsi="Cambria Math"/>
            </w:rPr>
          </m:r>
          <m:r>
            <m:rPr>
              <m:sty m:val="p"/>
            </m:rPr>
            <m:t>,</m:t>
            <w:rPr>
              <w:rFonts w:ascii="Cambria Math" w:hAnsi="Cambria Math"/>
            </w:rPr>
          </m:r>
          <m:r>
            <m:t>  </m:t>
            <w:rPr>
              <w:rFonts w:ascii="Cambria Math" w:hAnsi="Cambria Math"/>
            </w:rPr>
          </m:r>
          <m:r>
            <m:t>0</m:t>
            <w:rPr>
              <w:rFonts w:ascii="Cambria Math" w:hAnsi="Cambria Math"/>
            </w:rPr>
          </m:r>
          <m:r>
            <m:rPr>
              <m:sty m:val="p"/>
            </m:rPr>
            <m:t>≤</m:t>
            <w:rPr>
              <w:rFonts w:ascii="Cambria Math" w:hAnsi="Cambria Math"/>
            </w:rPr>
          </m:r>
          <m:r>
            <m:t>p</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sSub>
            <m:e>
              <m:acc>
                <m:accPr>
                  <m:chr m:val="̂"/>
                </m:accPr>
                <m:e>
                  <m:r>
                    <m:t>p</m:t>
                    <w:rPr>
                      <w:rFonts w:ascii="Cambria Math" w:hAnsi="Cambria Math"/>
                    </w:rPr>
                  </m:r>
                </m:e>
              </m:acc>
            </m:e>
            <m:sub>
              <m:r>
                <m:t>j</m:t>
                <w:rPr>
                  <w:rFonts w:ascii="Cambria Math" w:hAnsi="Cambria Math"/>
                </w:rPr>
              </m:r>
            </m:sub>
          </m:sSub>
          <m:r>
            <m:rPr>
              <m:sty m:val="p"/>
            </m:rPr>
            <m:t>=</m:t>
            <w:rPr>
              <w:rFonts w:ascii="Cambria Math" w:hAnsi="Cambria Math"/>
            </w:rPr>
          </m:r>
          <m:f>
            <m:fPr>
              <m:type m:val="bar"/>
            </m:fPr>
            <m:num>
              <m:r>
                <m:t>1</m:t>
                <w:rPr>
                  <w:rFonts w:ascii="Cambria Math" w:hAnsi="Cambria Math"/>
                </w:rPr>
              </m:r>
            </m:num>
            <m:den>
              <m:r>
                <m:t>n</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r>
                <m:rPr>
                  <m:sty m:val="b"/>
                </m:rPr>
                <m:t>1</m:t>
                <w:rPr>
                  <w:rFonts w:ascii="Cambria Math" w:hAnsi="Cambria Math"/>
                </w:rPr>
              </m:r>
            </m:e>
          </m:nary>
          <m:r>
            <m:rPr>
              <m:sty m:val="p"/>
            </m:rPr>
            <m:t>{</m:t>
            <w:rPr>
              <w:rFonts w:ascii="Cambria Math" w:hAnsi="Cambria Math"/>
            </w:rPr>
          </m:r>
          <m:sSub>
            <m:e>
              <m:r>
                <m:t>F</m:t>
                <w:rPr>
                  <w:rFonts w:ascii="Cambria Math" w:hAnsi="Cambria Math"/>
                </w:rPr>
              </m:r>
            </m:e>
            <m:sub>
              <m:r>
                <m:t>i</m:t>
                <w:rPr>
                  <w:rFonts w:ascii="Cambria Math" w:hAnsi="Cambria Math"/>
                </w:rPr>
              </m:r>
            </m:sub>
          </m:sSub>
          <m:r>
            <m:rPr>
              <m:sty m:val="p"/>
            </m:rPr>
            <m:t>(</m:t>
            <w:rPr>
              <w:rFonts w:ascii="Cambria Math" w:hAnsi="Cambria Math"/>
            </w:rPr>
          </m:r>
          <m:sSub>
            <m:e>
              <m:r>
                <m:t>y</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sSub>
            <m:e>
              <m:r>
                <m:t>p</m:t>
                <w:rPr>
                  <w:rFonts w:ascii="Cambria Math" w:hAnsi="Cambria Math"/>
                </w:rPr>
              </m:r>
            </m:e>
            <m:sub>
              <m:r>
                <m:t>j</m:t>
                <w:rPr>
                  <w:rFonts w:ascii="Cambria Math" w:hAnsi="Cambria Math"/>
                </w:rPr>
              </m:r>
            </m:sub>
          </m:sSub>
          <m:r>
            <m:rPr>
              <m:sty m:val="p"/>
            </m:rPr>
            <m:t>}</m:t>
            <w:rPr>
              <w:rFonts w:ascii="Cambria Math" w:hAnsi="Cambria Math"/>
            </w:rPr>
          </m:r>
          <m:r>
            <m:rPr>
              <m:sty m:val="p"/>
            </m:rPr>
            <m:t>,</m:t>
            <w:rPr>
              <w:rFonts w:ascii="Cambria Math" w:hAnsi="Cambria Math"/>
            </w:rPr>
          </m:r>
          <m:r>
            <m:t>  </m:t>
            <w:rPr>
              <w:rFonts w:ascii="Cambria Math" w:hAnsi="Cambria Math"/>
            </w:rPr>
          </m:r>
          <m:r>
            <m:rPr>
              <m:sty m:val="p"/>
            </m:rPr>
            <m:t>C</m:t>
            <w:rPr>
              <w:rFonts w:ascii="Cambria Math" w:hAnsi="Cambria Math"/>
            </w:rPr>
          </m:r>
          <m:r>
            <m:rPr>
              <m:sty m:val="p"/>
            </m:rPr>
            <m:t>a</m:t>
            <w:rPr>
              <w:rFonts w:ascii="Cambria Math" w:hAnsi="Cambria Math"/>
            </w:rPr>
          </m:r>
          <m:r>
            <m:rPr>
              <m:sty m:val="p"/>
            </m:rPr>
            <m:t>l</m:t>
            <w:rPr>
              <w:rFonts w:ascii="Cambria Math" w:hAnsi="Cambria Math"/>
            </w:rPr>
          </m:r>
          <m:r>
            <m:rPr>
              <m:sty m:val="p"/>
            </m:rPr>
            <m:t>=</m:t>
            <w:rPr>
              <w:rFonts w:ascii="Cambria Math" w:hAnsi="Cambria Math"/>
            </w:rPr>
          </m:r>
          <m:nary>
            <m:naryPr>
              <m:chr m:val="∑"/>
              <m:limLoc m:val="undOvr"/>
              <m:subHide m:val="0"/>
              <m:supHide m:val="0"/>
            </m:naryPr>
            <m:sub>
              <m:r>
                <m:t>j</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r>
                <m:rPr>
                  <m:sty m:val="p"/>
                </m:rPr>
                <m:t>(</m:t>
                <w:rPr>
                  <w:rFonts w:ascii="Cambria Math" w:hAnsi="Cambria Math"/>
                </w:rPr>
              </m:r>
            </m:e>
          </m:nary>
          <m:sSub>
            <m:e>
              <m:r>
                <m:t>p</m:t>
                <w:rPr>
                  <w:rFonts w:ascii="Cambria Math" w:hAnsi="Cambria Math"/>
                </w:rPr>
              </m:r>
            </m:e>
            <m:sub>
              <m:r>
                <m:t>j</m:t>
                <w:rPr>
                  <w:rFonts w:ascii="Cambria Math" w:hAnsi="Cambria Math"/>
                </w:rPr>
              </m:r>
            </m:sub>
          </m:sSub>
          <m:r>
            <m:rPr>
              <m:sty m:val="p"/>
            </m:rPr>
            <m:t>−</m:t>
            <w:rPr>
              <w:rFonts w:ascii="Cambria Math" w:hAnsi="Cambria Math"/>
            </w:rPr>
          </m:r>
          <m:sSub>
            <m:e>
              <m:acc>
                <m:accPr>
                  <m:chr m:val="̂"/>
                </m:accPr>
                <m:e>
                  <m:r>
                    <m:t>p</m:t>
                    <w:rPr>
                      <w:rFonts w:ascii="Cambria Math" w:hAnsi="Cambria Math"/>
                    </w:rPr>
                  </m:r>
                </m:e>
              </m:acc>
            </m:e>
            <m:sub>
              <m:r>
                <m:t>j</m:t>
                <w:rPr>
                  <w:rFonts w:ascii="Cambria Math" w:hAnsi="Cambria Math"/>
                </w:rPr>
              </m:r>
            </m:sub>
          </m:sSub>
          <m:sSup>
            <m:e>
              <m:r>
                <m:rPr>
                  <m:sty m:val="p"/>
                </m:rPr>
                <m:t>)</m:t>
                <w:rPr>
                  <w:rFonts w:ascii="Cambria Math" w:hAnsi="Cambria Math"/>
                </w:rPr>
              </m:r>
            </m:e>
            <m:sup>
              <m:r>
                <m:t>2</m:t>
                <w:rPr>
                  <w:rFonts w:ascii="Cambria Math" w:hAnsi="Cambria Math"/>
                </w:rPr>
              </m:r>
            </m:sup>
          </m:sSup>
          <m:r>
            <m:rPr>
              <m:sty m:val="p"/>
            </m:rPr>
            <m:t>.</m:t>
            <w:rPr>
              <w:rFonts w:ascii="Cambria Math" w:hAnsi="Cambria Math"/>
            </w:rPr>
          </m:r>
        </m:oMath>
      </m:oMathPara>
    </w:p>
    <w:p>
      <w:pPr>
        <w:pStyle w:val="FirstParagraph"/>
        <w:widowControl/>
      </w:pPr>
      <m:oMathPara>
        <m:oMathParaPr>
          <m:jc m:val="center"/>
        </m:oMathParaPr>
        <m:oMath>
          <m:r>
            <m:rPr>
              <m:sty m:val="p"/>
            </m:rPr>
            <m:t>S</m:t>
            <w:rPr>
              <w:rFonts w:ascii="Cambria Math" w:hAnsi="Cambria Math"/>
            </w:rPr>
          </m:r>
          <m:r>
            <m:rPr>
              <m:sty m:val="p"/>
            </m:rPr>
            <m:t>h</m:t>
            <w:rPr>
              <w:rFonts w:ascii="Cambria Math" w:hAnsi="Cambria Math"/>
            </w:rPr>
          </m:r>
          <m:r>
            <m:rPr>
              <m:sty m:val="p"/>
            </m:rPr>
            <m:t>a</m:t>
            <w:rPr>
              <w:rFonts w:ascii="Cambria Math" w:hAnsi="Cambria Math"/>
            </w:rPr>
          </m:r>
          <m:r>
            <m:rPr>
              <m:sty m:val="p"/>
            </m:rPr>
            <m:t>r</m:t>
            <w:rPr>
              <w:rFonts w:ascii="Cambria Math" w:hAnsi="Cambria Math"/>
            </w:rPr>
          </m:r>
          <m:r>
            <m:rPr>
              <m:sty m:val="p"/>
            </m:rPr>
            <m:t>p</m:t>
            <w:rPr>
              <w:rFonts w:ascii="Cambria Math" w:hAnsi="Cambria Math"/>
            </w:rPr>
          </m:r>
          <m:r>
            <m:rPr>
              <m:sty m:val="p"/>
            </m:rPr>
            <m:t>=</m:t>
            <w:rPr>
              <w:rFonts w:ascii="Cambria Math" w:hAnsi="Cambria Math"/>
            </w:rPr>
          </m:r>
          <m:rad>
            <m:radPr>
              <m:degHide m:val="1"/>
            </m:radPr>
            <m:deg/>
            <m:e>
              <m:f>
                <m:fPr>
                  <m:type m:val="bar"/>
                </m:fPr>
                <m:num>
                  <m:r>
                    <m:t>1</m:t>
                    <w:rPr>
                      <w:rFonts w:ascii="Cambria Math" w:hAnsi="Cambria Math"/>
                    </w:rPr>
                  </m:r>
                </m:num>
                <m:den>
                  <m:r>
                    <m:t>n</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r>
                    <m:rPr>
                      <m:sty m:val="p"/>
                    </m:rPr>
                    <m:t>V</m:t>
                    <w:rPr>
                      <w:rFonts w:ascii="Cambria Math" w:hAnsi="Cambria Math"/>
                    </w:rPr>
                  </m:r>
                  <m:r>
                    <m:rPr>
                      <m:sty m:val="p"/>
                    </m:rPr>
                    <m:t>a</m:t>
                    <w:rPr>
                      <w:rFonts w:ascii="Cambria Math" w:hAnsi="Cambria Math"/>
                    </w:rPr>
                  </m:r>
                  <m:r>
                    <m:rPr>
                      <m:sty m:val="p"/>
                    </m:rPr>
                    <m:t>r</m:t>
                    <w:rPr>
                      <w:rFonts w:ascii="Cambria Math" w:hAnsi="Cambria Math"/>
                    </w:rPr>
                  </m:r>
                </m:e>
              </m:nary>
              <m:r>
                <m:rPr>
                  <m:sty m:val="p"/>
                </m:rPr>
                <m:t>(</m:t>
                <w:rPr>
                  <w:rFonts w:ascii="Cambria Math" w:hAnsi="Cambria Math"/>
                </w:rPr>
              </m:r>
              <m:sSub>
                <m:e>
                  <m:r>
                    <m:t>F</m:t>
                    <w:rPr>
                      <w:rFonts w:ascii="Cambria Math" w:hAnsi="Cambria Math"/>
                    </w:rPr>
                  </m:r>
                </m:e>
                <m:sub>
                  <m:r>
                    <m:t>i</m:t>
                    <w:rPr>
                      <w:rFonts w:ascii="Cambria Math" w:hAnsi="Cambria Math"/>
                    </w:rPr>
                  </m:r>
                </m:sub>
              </m:sSub>
              <m:r>
                <m:rPr>
                  <m:sty m:val="p"/>
                </m:rPr>
                <m:t>)</m:t>
                <w:rPr>
                  <w:rFonts w:ascii="Cambria Math" w:hAnsi="Cambria Math"/>
                </w:rPr>
              </m:r>
            </m:e>
          </m:rad>
          <m:r>
            <m:rPr>
              <m:sty m:val="p"/>
            </m:rPr>
            <m:t>,</m:t>
            <w:rPr>
              <w:rFonts w:ascii="Cambria Math" w:hAnsi="Cambria Math"/>
            </w:rPr>
          </m:r>
          <m:r>
            <m:t>  </m:t>
            <w:rPr>
              <w:rFonts w:ascii="Cambria Math" w:hAnsi="Cambria Math"/>
            </w:rPr>
          </m:r>
          <m:r>
            <m:t>u</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t>v</m:t>
            <w:rPr>
              <w:rFonts w:ascii="Cambria Math" w:hAnsi="Cambria Math"/>
            </w:rPr>
          </m:r>
          <m:r>
            <m:rPr>
              <m:sty m:val="p"/>
            </m:rPr>
            <m:t>(</m:t>
            <w:rPr>
              <w:rFonts w:ascii="Cambria Math" w:hAnsi="Cambria Math"/>
            </w:rPr>
          </m:r>
          <m:r>
            <m:t>d</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d</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sSub>
            <m:e>
              <m:r>
                <m:rPr>
                  <m:sty m:val="p"/>
                  <m:scr m:val="double-struck"/>
                </m:rPr>
                <m:t>E</m:t>
                <w:rPr>
                  <w:rFonts w:ascii="Cambria Math" w:hAnsi="Cambria Math"/>
                </w:rPr>
              </m:r>
            </m:e>
            <m:sub>
              <m:sSub>
                <m:e>
                  <m:r>
                    <m:t>Z</m:t>
                    <w:rPr>
                      <w:rFonts w:ascii="Cambria Math" w:hAnsi="Cambria Math"/>
                    </w:rPr>
                  </m:r>
                </m:e>
                <m:sub>
                  <m:r>
                    <m:t>s</m:t>
                    <w:rPr>
                      <w:rFonts w:ascii="Cambria Math" w:hAnsi="Cambria Math"/>
                    </w:rPr>
                  </m:r>
                </m:sub>
              </m:sSub>
            </m:sub>
          </m:sSub>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oMath>
      </m:oMathPara>
    </w:p>
    <w:p>
      <w:pPr>
        <w:pStyle w:val="FirstParagraph"/>
        <w:widowControl/>
      </w:pPr>
      <m:oMath>
        <m:r>
          <m:t>n</m:t>
          <w:rPr>
            <w:rFonts w:ascii="Cambria Math" w:hAnsi="Cambria Math"/>
          </w:rPr>
        </m:r>
      </m:oMath>
      <w:r>
        <w:t xml:space="preserve">为评价样本数，</w:t>
      </w:r>
      <m:oMath>
        <m:r>
          <m:t>m</m:t>
          <w:rPr>
            <w:rFonts w:ascii="Cambria Math" w:hAnsi="Cambria Math"/>
          </w:rPr>
        </m:r>
      </m:oMath>
      <w:r>
        <w:t xml:space="preserve">为概率网格数，</w:t>
      </w:r>
      <m:oMath>
        <m:sSub>
          <m:e>
            <m:r>
              <m:t>p</m:t>
              <w:rPr>
                <w:rFonts w:ascii="Cambria Math" w:hAnsi="Cambria Math"/>
              </w:rPr>
            </m:r>
          </m:e>
          <m:sub>
            <m:r>
              <m:t>j</m:t>
              <w:rPr>
                <w:rFonts w:ascii="Cambria Math" w:hAnsi="Cambria Math"/>
              </w:rPr>
            </m:r>
          </m:sub>
        </m:sSub>
      </m:oMath>
      <w:r>
        <w:t xml:space="preserve">为第</w:t>
      </w:r>
      <w:r>
        <w:t xml:space="preserve"> </w:t>
      </w:r>
      <m:oMath>
        <m:r>
          <m:t>j</m:t>
          <w:rPr>
            <w:rFonts w:ascii="Cambria Math" w:hAnsi="Cambria Math"/>
          </w:rPr>
        </m:r>
      </m:oMath>
      <w:r>
        <w:t xml:space="preserve"> </w:t>
      </w:r>
      <w:r>
        <w:t xml:space="preserve">个名义概率，</w:t>
      </w:r>
      <m:oMath>
        <m:r>
          <m:rPr>
            <m:sty m:val="b"/>
          </m:rPr>
          <m:t>1</m:t>
          <w:rPr>
            <w:rFonts w:ascii="Cambria Math" w:hAnsi="Cambria Math"/>
          </w:rPr>
        </m:r>
      </m:oMath>
      <w:r>
        <w:t xml:space="preserve">为指示函数，</w:t>
      </w:r>
      <m:oMath>
        <m:sSub>
          <m:e>
            <m:r>
              <m:t>Z</m:t>
              <w:rPr>
                <w:rFonts w:ascii="Cambria Math" w:hAnsi="Cambria Math"/>
              </w:rPr>
            </m:r>
          </m:e>
          <m:sub>
            <m:r>
              <m:t>s</m:t>
              <w:rPr>
                <w:rFonts w:ascii="Cambria Math" w:hAnsi="Cambria Math"/>
              </w:rPr>
            </m:r>
          </m:sub>
        </m:sSub>
      </m:oMath>
      <w:r>
        <w:t xml:space="preserve">为训练特征随机变量，</w:t>
      </w:r>
      <m:oMath>
        <m:r>
          <m:t>u</m:t>
          <w:rPr>
            <w:rFonts w:ascii="Cambria Math" w:hAnsi="Cambria Math"/>
          </w:rPr>
        </m:r>
      </m:oMath>
      <w:r>
        <w:t xml:space="preserve">为不确定性函数，</w:t>
      </w:r>
      <m:oMath>
        <m:r>
          <m:t>v</m:t>
          <w:rPr>
            <w:rFonts w:ascii="Cambria Math" w:hAnsi="Cambria Math"/>
          </w:rPr>
        </m:r>
      </m:oMath>
      <w:r>
        <w:t xml:space="preserve">要求随距离单调。原文Cal是求和而非平均，不能自动把表中20.7369解读为20.7%或非法概率。具体概率网格数量和所有任务的聚合细节没有在公式中给全，复现需核实。</w:t>
      </w:r>
    </w:p>
    <w:p>
      <w:pPr>
        <w:pStyle w:val="BodyText"/>
        <w:widowControl/>
      </w:pPr>
      <w:r>
        <w:t xml:space="preserve">直观例：100次预测的90%分位数若覆盖80个真实值，则这一网格项贡献</w:t>
      </w:r>
      <w:r>
        <w:t xml:space="preserve"> </w:t>
      </w:r>
      <m:oMath>
        <m:r>
          <m:rPr>
            <m:sty m:val="p"/>
          </m:rPr>
          <m:t>(</m:t>
          <w:rPr>
            <w:rFonts w:ascii="Cambria Math" w:hAnsi="Cambria Math"/>
          </w:rPr>
        </m:r>
        <m:r>
          <m:t>0.9</m:t>
          <w:rPr>
            <w:rFonts w:ascii="Cambria Math" w:hAnsi="Cambria Math"/>
          </w:rPr>
        </m:r>
        <m:r>
          <m:rPr>
            <m:sty m:val="p"/>
          </m:rPr>
          <m:t>−</m:t>
          <w:rPr>
            <w:rFonts w:ascii="Cambria Math" w:hAnsi="Cambria Math"/>
          </w:rPr>
        </m:r>
        <m:r>
          <m:t>0.8</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0.01</m:t>
          <w:rPr>
            <w:rFonts w:ascii="Cambria Math" w:hAnsi="Cambria Math"/>
          </w:rPr>
        </m:r>
      </m:oMath>
      <w:r>
        <w:t xml:space="preserve">。这是单侧分位数覆盖，不能直接等同于中心90%区间。总体校准好，也可能掩盖某个季节或某一工况严重失准。若两个输入方差为1和9，Sharp为</w:t>
      </w:r>
      <w:r>
        <w:t xml:space="preserve"> </w:t>
      </w:r>
      <m:oMath>
        <m:rad>
          <m:radPr>
            <m:degHide m:val="1"/>
          </m:radPr>
          <m:deg/>
          <m:e>
            <m:r>
              <m:t>5</m:t>
              <w:rPr>
                <w:rFonts w:ascii="Cambria Math" w:hAnsi="Cambria Math"/>
              </w:rPr>
            </m:r>
          </m:e>
        </m:rad>
        <m:r>
          <m:rPr>
            <m:sty m:val="p"/>
          </m:rPr>
          <m:t>≈</m:t>
          <w:rPr>
            <w:rFonts w:ascii="Cambria Math" w:hAnsi="Cambria Math"/>
          </w:rPr>
        </m:r>
        <m:r>
          <m:t>2.236</m:t>
          <w:rPr>
            <w:rFonts w:ascii="Cambria Math" w:hAnsi="Cambria Math"/>
          </w:rPr>
        </m:r>
      </m:oMath>
      <w:r>
        <w:t xml:space="preserve">，并非两个标准差的算术平均2。</w:t>
      </w:r>
    </w:p>
    <w:p>
      <w:pPr>
        <w:pStyle w:val="BodyText"/>
        <w:widowControl/>
      </w:pPr>
      <w:r>
        <w:rPr>
          <w:bCs/>
          <w:b/>
        </w:rPr>
        <w:t xml:space="preserve">E 真正重要的结论。</w:t>
      </w:r>
    </w:p>
    <w:p>
      <w:pPr>
        <w:widowControl/>
        <w:numPr>
          <w:ilvl w:val="0"/>
          <w:numId w:val="1004"/>
        </w:numPr>
        <w:pStyle w:val="Compact"/>
      </w:pPr>
      <w:r>
        <w:t xml:space="preserve">锐度越小只有在校准和误差合理时才值得肯定。</w:t>
      </w:r>
    </w:p>
    <w:p>
      <w:pPr>
        <w:widowControl/>
        <w:numPr>
          <w:ilvl w:val="0"/>
          <w:numId w:val="1004"/>
        </w:numPr>
        <w:pStyle w:val="Compact"/>
      </w:pPr>
      <w:r>
        <w:t xml:space="preserve">Cal不等于OOD检出率。</w:t>
      </w:r>
    </w:p>
    <w:p>
      <w:pPr>
        <w:widowControl/>
        <w:numPr>
          <w:ilvl w:val="0"/>
          <w:numId w:val="1004"/>
        </w:numPr>
        <w:pStyle w:val="Compact"/>
      </w:pPr>
      <w:r>
        <w:t xml:space="preserve">原文距离是到训练随机特征的期望距离，不是默认的最近邻距离。</w:t>
      </w:r>
    </w:p>
    <w:bookmarkEnd w:id="28"/>
    <w:bookmarkStart w:id="29" w:name="method中的概率模型"/>
    <w:p>
      <w:pPr>
        <w:pStyle w:val="Heading3"/>
        <w:widowControl/>
      </w:pPr>
      <w:r>
        <w:rPr>
          <w:color w:val="000000"/>
        </w:rPr>
        <w:t xml:space="preserve">3 4 Method中的概率模型</w:t>
      </w:r>
    </w:p>
    <w:p>
      <w:pPr>
        <w:pStyle w:val="FirstParagraph"/>
        <w:widowControl/>
      </w:pPr>
      <w:r>
        <w:rPr>
          <w:bCs/>
          <w:b/>
        </w:rPr>
        <w:t xml:space="preserve">A 这一节在讲什么。</w:t>
      </w:r>
      <w:r>
        <w:t xml:space="preserve"> </w:t>
      </w:r>
      <w:r>
        <w:t xml:space="preserve">把特征密度</w:t>
      </w:r>
      <w:r>
        <w:t xml:space="preserve"> </w:t>
      </w:r>
      <m:oMath>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oMath>
      <w:r>
        <w:t xml:space="preserve">放进指数族预测分布，低密度使分布更平坦。</w:t>
      </w:r>
    </w:p>
    <w:p>
      <w:pPr>
        <w:pStyle w:val="BodyText"/>
        <w:widowControl/>
      </w:pPr>
      <w:r>
        <w:rPr>
          <w:bCs/>
          <w:b/>
        </w:rPr>
        <w:t xml:space="preserve">B 为什么要讲。</w:t>
      </w:r>
      <w:r>
        <w:t xml:space="preserve"> </w:t>
      </w:r>
      <w:r>
        <w:t xml:space="preserve">这是本篇最核心的机制；三阶段训练与理论性质都由此导出。</w:t>
      </w:r>
    </w:p>
    <w:p>
      <w:pPr>
        <w:pStyle w:val="BodyText"/>
        <w:widowControl/>
      </w:pPr>
      <w:r>
        <w:rPr>
          <w:bCs/>
          <w:b/>
        </w:rPr>
        <w:t xml:space="preserve">C 关键概念。</w:t>
      </w:r>
      <w:r>
        <w:t xml:space="preserve"> </w:t>
      </w:r>
      <w:r>
        <w:t xml:space="preserve">指数族用指数形式与归一化常数表达概率分布；充分统计量</w:t>
      </w:r>
      <w:r>
        <w:t xml:space="preserve"> </w:t>
      </w:r>
      <m:oMath>
        <m:r>
          <m:t>Φ</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oMath>
      <w:r>
        <w:t xml:space="preserve">组织</w:t>
      </w:r>
      <w:r>
        <w:t xml:space="preserve"> </w:t>
      </w:r>
      <m:oMath>
        <m:r>
          <m:t>y</m:t>
          <w:rPr>
            <w:rFonts w:ascii="Cambria Math" w:hAnsi="Cambria Math"/>
          </w:rPr>
        </m:r>
      </m:oMath>
      <w:r>
        <w:t xml:space="preserve"> </w:t>
      </w:r>
      <w:r>
        <w:t xml:space="preserve">的线性项和二次项。连续高斯可由二次指数配方得到。</w:t>
      </w:r>
      <m:oMath>
        <m:r>
          <m:t>α</m:t>
          <w:rPr>
            <w:rFonts w:ascii="Cambria Math" w:hAnsi="Cambria Math"/>
          </w:rPr>
        </m:r>
      </m:oMath>
      <w:r>
        <w:t xml:space="preserve">为密度模型参数，</w:t>
      </w:r>
      <m:oMath>
        <m:sSub>
          <m:e>
            <m:r>
              <m:t>θ</m:t>
              <w:rPr>
                <w:rFonts w:ascii="Cambria Math" w:hAnsi="Cambria Math"/>
              </w:rPr>
            </m:r>
          </m:e>
          <m:sub>
            <m:r>
              <m:t>g</m:t>
              <w:rPr>
                <w:rFonts w:ascii="Cambria Math" w:hAnsi="Cambria Math"/>
              </w:rPr>
            </m:r>
          </m:sub>
        </m:sSub>
      </m:oMath>
      <w:r>
        <w:t xml:space="preserve">为回归头参数，二者不是同一组参数。</w:t>
      </w:r>
    </w:p>
    <w:p>
      <w:pPr>
        <w:pStyle w:val="BodyText"/>
        <w:widowControl/>
      </w:pPr>
      <w:r>
        <w:rPr>
          <w:bCs/>
          <w:b/>
        </w:rPr>
        <w:t xml:space="preserve">D 必要公式。</w:t>
      </w:r>
      <w:r>
        <w:t xml:space="preserve"> </w:t>
      </w:r>
      <w:r>
        <w:t xml:space="preserve">原文式10、定理3.1、推论3.2：</w:t>
      </w:r>
    </w:p>
    <w:p>
      <w:pPr>
        <w:pStyle w:val="BodyText"/>
        <w:widowControl/>
      </w:pPr>
      <m:oMathPara>
        <m:oMathParaPr>
          <m:jc m:val="center"/>
        </m:oMathPara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nor/>
              <m:sty m:val="p"/>
            </m:rPr>
            <m:t>exp</m:t>
            <w:rPr>
              <w:rFonts w:ascii="Cambria Math" w:hAnsi="Cambria Math"/>
            </w:rPr>
          </m:r>
          <m:r>
            <m:rPr>
              <m:sty m:val="p"/>
            </m:rPr>
            <m:t>[</m:t>
            <w:rPr>
              <w:rFonts w:ascii="Cambria Math" w:hAnsi="Cambria Math"/>
            </w:rPr>
          </m:r>
          <m:r>
            <m:rPr>
              <m:sty m:val="p"/>
            </m:rPr>
            <m:t>−</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t> </m:t>
            <w:rPr>
              <w:rFonts w:ascii="Cambria Math" w:hAnsi="Cambria Math"/>
            </w:rPr>
          </m:r>
          <m:sSubSup>
            <m:e>
              <m:r>
                <m:t>θ</m:t>
                <w:rPr>
                  <w:rFonts w:ascii="Cambria Math" w:hAnsi="Cambria Math"/>
                </w:rPr>
              </m:r>
            </m:e>
            <m:sub>
              <m:r>
                <m:t>g</m:t>
                <w:rPr>
                  <w:rFonts w:ascii="Cambria Math" w:hAnsi="Cambria Math"/>
                </w:rPr>
              </m:r>
            </m:sub>
            <m:sup>
              <m:r>
                <m:rPr>
                  <m:sty m:val="p"/>
                </m:rPr>
                <m:t>⊤</m:t>
                <w:rPr>
                  <w:rFonts w:ascii="Cambria Math" w:hAnsi="Cambria Math"/>
                </w:rPr>
              </m:r>
            </m:sup>
          </m:sSubSup>
          <m:r>
            <m:t>Φ</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z</m:t>
            <w:rPr>
              <w:rFonts w:ascii="Cambria Math" w:hAnsi="Cambria Math"/>
            </w:rPr>
          </m:r>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将与</w:t>
      </w:r>
      <w:r>
        <w:t xml:space="preserve"> </w:t>
      </w:r>
      <m:oMath>
        <m:r>
          <m:t>y</m:t>
          <w:rPr>
            <w:rFonts w:ascii="Cambria Math" w:hAnsi="Cambria Math"/>
          </w:rPr>
        </m:r>
      </m:oMath>
      <w:r>
        <w:t xml:space="preserve"> </w:t>
      </w:r>
      <w:r>
        <w:t xml:space="preserve">有关的项写为</w:t>
      </w:r>
      <w:r>
        <w:t xml:space="preserve"> </w:t>
      </w:r>
      <m:oMath>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p>
          <m:e>
            <m:r>
              <m:t>y</m:t>
              <w:rPr>
                <w:rFonts w:ascii="Cambria Math" w:hAnsi="Cambria Math"/>
              </w:rPr>
            </m:r>
          </m:e>
          <m:sup>
            <m:r>
              <m:t>2</m:t>
              <w:rPr>
                <w:rFonts w:ascii="Cambria Math" w:hAnsi="Cambria Math"/>
              </w:rPr>
            </m:r>
          </m:sup>
        </m:sSup>
        <m:r>
          <m:rPr>
            <m:sty m:val="p"/>
          </m:rPr>
          <m:t>+</m:t>
          <w:rPr>
            <w:rFonts w:ascii="Cambria Math" w:hAnsi="Cambria Math"/>
          </w:rPr>
        </m:r>
        <m:r>
          <m:t>2</m:t>
          <w:rPr>
            <w:rFonts w:ascii="Cambria Math" w:hAnsi="Cambria Math"/>
          </w:rPr>
        </m:r>
        <m:r>
          <m:t>b</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c</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oMath>
      <w:r>
        <w:t xml:space="preserve">，要求</w:t>
      </w:r>
      <w:r>
        <w:t xml:space="preserve"> </w:t>
      </w:r>
      <m:oMath>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&gt;</m:t>
          <w:rPr>
            <w:rFonts w:ascii="Cambria Math" w:hAnsi="Cambria Math"/>
          </w:rPr>
        </m:r>
        <m:r>
          <m:t>0</m:t>
          <w:rPr>
            <w:rFonts w:ascii="Cambria Math" w:hAnsi="Cambria Math"/>
          </w:rPr>
        </m:r>
      </m:oMath>
      <w:r>
        <w:t xml:space="preserve">，则</w:t>
      </w:r>
    </w:p>
    <w:p>
      <w:pPr>
        <w:pStyle w:val="BodyText"/>
        <w:widowControl/>
      </w:pPr>
      <m:oMathPara>
        <m:oMathParaPr>
          <m:jc m:val="center"/>
        </m:oMathParaPr>
        <m:oMath>
          <m:r>
            <m:t>μ</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f>
            <m:fPr>
              <m:type m:val="bar"/>
            </m:fPr>
            <m:num>
              <m:r>
                <m:t>b</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num>
            <m:den>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den>
          </m:f>
          <m:r>
            <m:rPr>
              <m:sty m:val="p"/>
            </m:rPr>
            <m:t>,</m:t>
            <w:rPr>
              <w:rFonts w:ascii="Cambria Math" w:hAnsi="Cambria Math"/>
            </w:rPr>
          </m:r>
          <m:r>
            <m:t>  </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den>
          </m:f>
          <m:r>
            <m:rPr>
              <m:sty m:val="p"/>
            </m:rPr>
            <m:t>.</m:t>
            <w:rPr>
              <w:rFonts w:ascii="Cambria Math" w:hAnsi="Cambria Math"/>
            </w:rPr>
          </m:r>
        </m:oMath>
      </m:oMathPara>
    </w:p>
    <w:p>
      <w:pPr>
        <w:pStyle w:val="FirstParagraph"/>
        <w:widowControl/>
      </w:pPr>
      <w:r>
        <w:t xml:space="preserve">其中</w:t>
      </w:r>
      <w:r>
        <w:t xml:space="preserve"> </w:t>
      </w:r>
      <m:oMath>
        <m:r>
          <m:t>a</m:t>
          <w:rPr>
            <w:rFonts w:ascii="Cambria Math" w:hAnsi="Cambria Math"/>
          </w:rPr>
        </m:r>
      </m:oMath>
      <w:r>
        <w:t xml:space="preserve">控制二次项曲率，</w:t>
      </w:r>
      <m:oMath>
        <m:r>
          <m:t>b</m:t>
          <w:rPr>
            <w:rFonts w:ascii="Cambria Math" w:hAnsi="Cambria Math"/>
          </w:rPr>
        </m:r>
      </m:oMath>
      <w:r>
        <w:t xml:space="preserve">控制中心，</w:t>
      </w:r>
      <m:oMath>
        <m:r>
          <m:t>c</m:t>
          <w:rPr>
            <w:rFonts w:ascii="Cambria Math" w:hAnsi="Cambria Math"/>
          </w:rPr>
        </m:r>
      </m:oMath>
      <w:r>
        <w:t xml:space="preserve">不依赖</w:t>
      </w:r>
      <w:r>
        <w:t xml:space="preserve"> </w:t>
      </w:r>
      <m:oMath>
        <m:r>
          <m:t>y</m:t>
          <w:rPr>
            <w:rFonts w:ascii="Cambria Math" w:hAnsi="Cambria Math"/>
          </w:rPr>
        </m:r>
      </m:oMath>
      <w:r>
        <w:t xml:space="preserve">，归一化后消去。正确配方是</w:t>
      </w:r>
      <w:r>
        <w:t xml:space="preserve"> </w:t>
      </w:r>
      <m:oMath>
        <m:r>
          <m:t>a</m:t>
          <w:rPr>
            <w:rFonts w:ascii="Cambria Math" w:hAnsi="Cambria Math"/>
          </w:rPr>
        </m:r>
        <m:sSup>
          <m:e>
            <m:r>
              <m:t>y</m:t>
              <w:rPr>
                <w:rFonts w:ascii="Cambria Math" w:hAnsi="Cambria Math"/>
              </w:rPr>
            </m:r>
          </m:e>
          <m:sup>
            <m:r>
              <m:t>2</m:t>
              <w:rPr>
                <w:rFonts w:ascii="Cambria Math" w:hAnsi="Cambria Math"/>
              </w:rPr>
            </m:r>
          </m:sup>
        </m:sSup>
        <m:r>
          <m:rPr>
            <m:sty m:val="p"/>
          </m:rPr>
          <m:t>+</m:t>
          <w:rPr>
            <w:rFonts w:ascii="Cambria Math" w:hAnsi="Cambria Math"/>
          </w:rPr>
        </m:r>
        <m:r>
          <m:t>2</m:t>
          <w:rPr>
            <w:rFonts w:ascii="Cambria Math" w:hAnsi="Cambria Math"/>
          </w:rPr>
        </m:r>
        <m:r>
          <m:t>b</m:t>
          <w:rPr>
            <w:rFonts w:ascii="Cambria Math" w:hAnsi="Cambria Math"/>
          </w:rPr>
        </m:r>
        <m:r>
          <m:t>y</m:t>
          <w:rPr>
            <w:rFonts w:ascii="Cambria Math" w:hAnsi="Cambria Math"/>
          </w:rPr>
        </m:r>
        <m:r>
          <m:rPr>
            <m:sty m:val="p"/>
          </m:rPr>
          <m:t>+</m:t>
          <w:rPr>
            <w:rFonts w:ascii="Cambria Math" w:hAnsi="Cambria Math"/>
          </w:rPr>
        </m:r>
        <m:r>
          <m:t>c</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b</m:t>
          <w:rPr>
            <w:rFonts w:ascii="Cambria Math" w:hAnsi="Cambria Math"/>
          </w:rPr>
        </m:r>
        <m:r>
          <m:rPr>
            <m:sty m:val="p"/>
          </m:rPr>
          <m:t>/</m:t>
          <w:rPr>
            <w:rFonts w:ascii="Cambria Math" w:hAnsi="Cambria Math"/>
          </w:rPr>
        </m:r>
        <m:r>
          <m:t>a</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c</m:t>
          <w:rPr>
            <w:rFonts w:ascii="Cambria Math" w:hAnsi="Cambria Math"/>
          </w:rPr>
        </m:r>
        <m:r>
          <m:rPr>
            <m:sty m:val="p"/>
          </m:rPr>
          <m:t>−</m:t>
          <w:rPr>
            <w:rFonts w:ascii="Cambria Math" w:hAnsi="Cambria Math"/>
          </w:rPr>
        </m:r>
        <m:sSup>
          <m:e>
            <m:r>
              <m:t>b</m:t>
              <w:rPr>
                <w:rFonts w:ascii="Cambria Math" w:hAnsi="Cambria Math"/>
              </w:rPr>
            </m:r>
          </m:e>
          <m:sup>
            <m:r>
              <m:t>2</m:t>
              <w:rPr>
                <w:rFonts w:ascii="Cambria Math" w:hAnsi="Cambria Math"/>
              </w:rPr>
            </m:r>
          </m:sup>
        </m:sSup>
        <m:r>
          <m:rPr>
            <m:sty m:val="p"/>
          </m:rPr>
          <m:t>/</m:t>
          <w:rPr>
            <w:rFonts w:ascii="Cambria Math" w:hAnsi="Cambria Math"/>
          </w:rPr>
        </m:r>
        <m:r>
          <m:t>a</m:t>
          <w:rPr>
            <w:rFonts w:ascii="Cambria Math" w:hAnsi="Cambria Math"/>
          </w:rPr>
        </m:r>
      </m:oMath>
      <w:r>
        <w:t xml:space="preserve">；不需要额外假设</w:t>
      </w:r>
      <w:r>
        <w:t xml:space="preserve"> </w:t>
      </w:r>
      <m:oMath>
        <m:r>
          <m:t>c</m:t>
          <w:rPr>
            <w:rFonts w:ascii="Cambria Math" w:hAnsi="Cambria Math"/>
          </w:rPr>
        </m:r>
        <m:r>
          <m:rPr>
            <m:sty m:val="p"/>
          </m:rPr>
          <m:t>=</m:t>
          <w:rPr>
            <w:rFonts w:ascii="Cambria Math" w:hAnsi="Cambria Math"/>
          </w:rPr>
        </m:r>
        <m:sSup>
          <m:e>
            <m:r>
              <m:t>b</m:t>
              <w:rPr>
                <w:rFonts w:ascii="Cambria Math" w:hAnsi="Cambria Math"/>
              </w:rPr>
            </m:r>
          </m:e>
          <m:sup>
            <m:r>
              <m:t>2</m:t>
              <w:rPr>
                <w:rFonts w:ascii="Cambria Math" w:hAnsi="Cambria Math"/>
              </w:rPr>
            </m:r>
          </m:sup>
        </m:sSup>
        <m:r>
          <m:rPr>
            <m:sty m:val="p"/>
          </m:rPr>
          <m:t>/</m:t>
          <w:rPr>
            <w:rFonts w:ascii="Cambria Math" w:hAnsi="Cambria Math"/>
          </w:rPr>
        </m:r>
        <m:r>
          <m:t>a</m:t>
          <w:rPr>
            <w:rFonts w:ascii="Cambria Math" w:hAnsi="Cambria Math"/>
          </w:rPr>
        </m:r>
      </m:oMath>
      <w:r>
        <w:t xml:space="preserve">。</w:t>
      </w:r>
    </w:p>
    <w:p>
      <w:pPr>
        <w:pStyle w:val="BodyText"/>
        <w:widowControl/>
      </w:pPr>
      <w:r>
        <w:t xml:space="preserve">为保证方差为正，推论以指数形式参数化。记</w:t>
      </w:r>
      <w:r>
        <w:t xml:space="preserve"> </w:t>
      </w:r>
      <m:oMath>
        <m:acc>
          <m:accPr>
            <m:chr m:val="̃"/>
          </m:accPr>
          <m:e>
            <m:r>
              <m:t>z</m:t>
              <w:rPr>
                <w:rFonts w:ascii="Cambria Math" w:hAnsi="Cambria Math"/>
              </w:rPr>
            </m:r>
          </m:e>
        </m:acc>
        <m:r>
          <m:rPr>
            <m:sty m:val="p"/>
          </m:rPr>
          <m:t>=</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w:t>
      </w:r>
      <m:oMath>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sSubSup>
          <m:e>
            <m:r>
              <m:t>θ</m:t>
              <w:rPr>
                <w:rFonts w:ascii="Cambria Math" w:hAnsi="Cambria Math"/>
              </w:rPr>
            </m:r>
          </m:e>
          <m:sub>
            <m:r>
              <m:t>g</m:t>
              <w:rPr>
                <w:rFonts w:ascii="Cambria Math" w:hAnsi="Cambria Math"/>
              </w:rPr>
            </m:r>
          </m:sub>
          <m:sup>
            <m:r>
              <m:t>σ</m:t>
              <w:rPr>
                <w:rFonts w:ascii="Cambria Math" w:hAnsi="Cambria Math"/>
              </w:rPr>
            </m:r>
          </m:sup>
        </m:sSubSup>
        <m:acc>
          <m:accPr>
            <m:chr m:val="̃"/>
          </m:accPr>
          <m:e>
            <m:r>
              <m:t>z</m:t>
              <w:rPr>
                <w:rFonts w:ascii="Cambria Math" w:hAnsi="Cambria Math"/>
              </w:rPr>
            </m:r>
          </m:e>
        </m:acc>
      </m:oMath>
      <w:r>
        <w:t xml:space="preserve">，</w:t>
      </w:r>
      <m:oMath>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sSubSup>
          <m:e>
            <m:r>
              <m:t>θ</m:t>
              <w:rPr>
                <w:rFonts w:ascii="Cambria Math" w:hAnsi="Cambria Math"/>
              </w:rPr>
            </m:r>
          </m:e>
          <m:sub>
            <m:r>
              <m:t>g</m:t>
              <w:rPr>
                <w:rFonts w:ascii="Cambria Math" w:hAnsi="Cambria Math"/>
              </w:rPr>
            </m:r>
          </m:sub>
          <m:sup>
            <m:r>
              <m:t>μ</m:t>
              <w:rPr>
                <w:rFonts w:ascii="Cambria Math" w:hAnsi="Cambria Math"/>
              </w:rPr>
            </m:r>
          </m:sup>
        </m:sSubSup>
        <m:acc>
          <m:accPr>
            <m:chr m:val="̃"/>
          </m:accPr>
          <m:e>
            <m:r>
              <m:t>z</m:t>
              <w:rPr>
                <w:rFonts w:ascii="Cambria Math" w:hAnsi="Cambria Math"/>
              </w:rPr>
            </m:r>
          </m:e>
        </m:acc>
      </m:oMath>
      <w:r>
        <w:t xml:space="preserve">，则</w:t>
      </w:r>
    </w:p>
    <w:p>
      <w:pPr>
        <w:pStyle w:val="BodyText"/>
        <w:widowControl/>
      </w:pPr>
      <m:oMathPara>
        <m:oMathParaPr>
          <m:jc m:val="center"/>
        </m:oMathParaPr>
        <m:oMath>
          <m:r>
            <m:rPr>
              <m:nor/>
              <m:sty m:val="p"/>
            </m:rPr>
            <m:t>log</m:t>
            <w:rPr>
              <w:rFonts w:ascii="Cambria Math" w:hAnsi="Cambria Math"/>
            </w:rPr>
          </m:r>
          <m:r>
            <m:t>σ</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sty m:val="p"/>
            </m:rPr>
            <m:t>[</m:t>
            <w:rPr>
              <w:rFonts w:ascii="Cambria Math" w:hAnsi="Cambria Math"/>
            </w:rPr>
          </m:r>
          <m:r>
            <m:rPr>
              <m:nor/>
              <m:sty m:val="p"/>
            </m:rPr>
            <m:t>log</m:t>
            <w:rPr>
              <w:rFonts w:ascii="Cambria Math" w:hAnsi="Cambria Math"/>
            </w:rPr>
          </m:r>
          <m:r>
            <m:t>2</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sSup>
            <m:e>
              <m:r>
                <m:t>σ</m:t>
                <w:rPr>
                  <w:rFonts w:ascii="Cambria Math" w:hAnsi="Cambria Math"/>
                </w:rPr>
              </m:r>
            </m:e>
            <m:sup>
              <m:r>
                <m:t>2</m:t>
                <w:rPr>
                  <w:rFonts w:ascii="Cambria Math" w:hAnsi="Cambria Math"/>
                </w:rPr>
              </m:r>
            </m:sup>
          </m:sSup>
          <m:r>
            <m:rPr>
              <m:sty m:val="p"/>
            </m:rPr>
            <m:t>=</m:t>
            <w:rPr>
              <w:rFonts w:ascii="Cambria Math" w:hAnsi="Cambria Math"/>
            </w:rPr>
          </m:r>
          <m:f>
            <m:fPr>
              <m:type m:val="bar"/>
            </m:fPr>
            <m:num>
              <m:sSup>
                <m:e>
                  <m:r>
                    <m:t>e</m:t>
                    <w:rPr>
                      <w:rFonts w:ascii="Cambria Math" w:hAnsi="Cambria Math"/>
                    </w:rPr>
                  </m:r>
                </m:e>
                <m:sup>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den>
          </m:f>
          <m:r>
            <m:rPr>
              <m:sty m:val="p"/>
            </m:rPr>
            <m:t>,</m:t>
            <w:rPr>
              <w:rFonts w:ascii="Cambria Math" w:hAnsi="Cambria Math"/>
            </w:rPr>
          </m:r>
          <m:r>
            <m:t>  </m:t>
            <w:rPr>
              <w:rFonts w:ascii="Cambria Math" w:hAnsi="Cambria Math"/>
            </w:rPr>
          </m:r>
          <m:r>
            <m:t>μ</m:t>
            <w:rPr>
              <w:rFonts w:ascii="Cambria Math" w:hAnsi="Cambria Math"/>
            </w:rPr>
          </m:r>
          <m:r>
            <m:rPr>
              <m:sty m:val="p"/>
            </m:rPr>
            <m:t>=</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p>
            <m:e>
              <m:r>
                <m:t>e</m:t>
                <w:rPr>
                  <w:rFonts w:ascii="Cambria Math" w:hAnsi="Cambria Math"/>
                </w:rPr>
              </m:r>
            </m:e>
            <m:sup>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r>
            <m:rPr>
              <m:sty m:val="p"/>
            </m:rPr>
            <m:t>.</m:t>
            <w:rPr>
              <w:rFonts w:ascii="Cambria Math" w:hAnsi="Cambria Math"/>
            </w:rPr>
          </m:r>
        </m:oMath>
      </m:oMathPara>
    </w:p>
    <w:p>
      <w:pPr>
        <w:pStyle w:val="FirstParagraph"/>
        <w:widowControl/>
      </w:pPr>
      <m:oMath>
        <m:r>
          <m:t>s</m:t>
          <w:rPr>
            <w:rFonts w:ascii="Cambria Math" w:hAnsi="Cambria Math"/>
          </w:rPr>
        </m:r>
        <m:r>
          <m:rPr>
            <m:sty m:val="p"/>
          </m:rPr>
          <m:t>,</m:t>
          <w:rPr>
            <w:rFonts w:ascii="Cambria Math" w:hAnsi="Cambria Math"/>
          </w:rPr>
        </m:r>
        <m:r>
          <m:t>m</m:t>
          <w:rPr>
            <w:rFonts w:ascii="Cambria Math" w:hAnsi="Cambria Math"/>
          </w:rPr>
        </m:r>
      </m:oMath>
      <w:r>
        <w:t xml:space="preserve">是两个标量线性头的输出，常数1用于偏置。请注意原文排版中的平方是</w:t>
      </w:r>
      <w:r>
        <w:t xml:space="preserve">“</w:t>
      </w:r>
      <w:r>
        <w:t xml:space="preserve">指数结果的平方</w:t>
      </w:r>
      <w:r>
        <w:t xml:space="preserve">”</w:t>
      </w:r>
      <w:r>
        <w:t xml:space="preserve">，不是把指数内部平方。PDF21页代码中的log_std与std平方支持上述解释。</w:t>
      </w:r>
    </w:p>
    <w:p>
      <w:pPr>
        <w:pStyle w:val="BodyText"/>
        <w:widowControl/>
      </w:pPr>
      <w:r>
        <w:t xml:space="preserve">二维特征示例【教学例】：取</w:t>
      </w:r>
      <w:r>
        <w:t xml:space="preserve"> </w:t>
      </w:r>
      <m:oMath>
        <m:sSub>
          <m:e>
            <m:r>
              <m:t>z</m:t>
              <w:rPr>
                <w:rFonts w:ascii="Cambria Math" w:hAnsi="Cambria Math"/>
              </w:rPr>
            </m:r>
          </m:e>
          <m:sub>
            <m:r>
              <m:t>A</m:t>
              <w:rPr>
                <w:rFonts w:ascii="Cambria Math" w:hAnsi="Cambria Math"/>
              </w:rPr>
            </m:r>
          </m:sub>
        </m:sSub>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oMath>
      <w:r>
        <w:t xml:space="preserve">与</w:t>
      </w:r>
      <w:r>
        <w:t xml:space="preserve"> </w:t>
      </w:r>
      <m:oMath>
        <m:sSub>
          <m:e>
            <m:r>
              <m:t>z</m:t>
              <w:rPr>
                <w:rFonts w:ascii="Cambria Math" w:hAnsi="Cambria Math"/>
              </w:rPr>
            </m:r>
          </m:e>
          <m:sub>
            <m:r>
              <m:t>B</m:t>
              <w:rPr>
                <w:rFonts w:ascii="Cambria Math" w:hAnsi="Cambria Math"/>
              </w:rPr>
            </m:r>
          </m:sub>
        </m:sSub>
        <m:r>
          <m:rPr>
            <m:sty m:val="p"/>
          </m:rPr>
          <m:t>=</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oMath>
      <w:r>
        <w:t xml:space="preserve">；为了单独观察密度作用，令两点</w:t>
      </w:r>
      <w:r>
        <w:t xml:space="preserve"> </w:t>
      </w:r>
      <m:oMath>
        <m:r>
          <m:t>s</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rPr>
            <m:sty m:val="p"/>
          </m:rPr>
          <m:t>−</m:t>
          <w:rPr>
            <w:rFonts w:ascii="Cambria Math" w:hAnsi="Cambria Math"/>
          </w:rPr>
        </m:r>
        <m:r>
          <m:t>2</m:t>
          <w:rPr>
            <w:rFonts w:ascii="Cambria Math" w:hAnsi="Cambria Math"/>
          </w:rPr>
        </m:r>
      </m:oMath>
      <w:r>
        <w:t xml:space="preserve">。若密度分别为0.5、0.05，则两点均值都为2，方差分别为1、10，标准差分别为1、3.162。约95%的高斯中心区间从</w:t>
      </w:r>
      <w:r>
        <w:t xml:space="preserve"> </w:t>
      </w:r>
      <m:oMath>
        <m:r>
          <m:t>2</m:t>
          <w:rPr>
            <w:rFonts w:ascii="Cambria Math" w:hAnsi="Cambria Math"/>
          </w:rPr>
        </m:r>
        <m:r>
          <m:rPr>
            <m:sty m:val="p"/>
          </m:rPr>
          <m:t>±</m:t>
          <w:rPr>
            <w:rFonts w:ascii="Cambria Math" w:hAnsi="Cambria Math"/>
          </w:rPr>
        </m:r>
        <m:r>
          <m:t>1.96</m:t>
          <w:rPr>
            <w:rFonts w:ascii="Cambria Math" w:hAnsi="Cambria Math"/>
          </w:rPr>
        </m:r>
      </m:oMath>
      <w:r>
        <w:t xml:space="preserve">扩大到</w:t>
      </w:r>
      <w:r>
        <w:t xml:space="preserve"> </w:t>
      </w:r>
      <m:oMath>
        <m:r>
          <m:t>2</m:t>
          <w:rPr>
            <w:rFonts w:ascii="Cambria Math" w:hAnsi="Cambria Math"/>
          </w:rPr>
        </m:r>
        <m:r>
          <m:rPr>
            <m:sty m:val="p"/>
          </m:rPr>
          <m:t>±</m:t>
          <w:rPr>
            <w:rFonts w:ascii="Cambria Math" w:hAnsi="Cambria Math"/>
          </w:rPr>
        </m:r>
        <m:r>
          <m:t>6.198</m:t>
          <w:rPr>
            <w:rFonts w:ascii="Cambria Math" w:hAnsi="Cambria Math"/>
          </w:rPr>
        </m:r>
      </m:oMath>
      <w:r>
        <w:t xml:space="preserve">。密度降低10倍，方差放大10倍，标准差只放大</w:t>
      </w:r>
      <w:r>
        <w:t xml:space="preserve"> </w:t>
      </w:r>
      <m:oMath>
        <m:rad>
          <m:radPr>
            <m:degHide m:val="1"/>
          </m:radPr>
          <m:deg/>
          <m:e>
            <m:r>
              <m:t>10</m:t>
              <w:rPr>
                <w:rFonts w:ascii="Cambria Math" w:hAnsi="Cambria Math"/>
              </w:rPr>
            </m:r>
          </m:e>
        </m:rad>
      </m:oMath>
      <w:r>
        <w:t xml:space="preserve">倍。</w:t>
      </w:r>
    </w:p>
    <w:p>
      <w:pPr>
        <w:pStyle w:val="BodyText"/>
        <w:widowControl/>
      </w:pPr>
      <w:r>
        <w:t xml:space="preserve">这里</w:t>
      </w:r>
      <w:r>
        <w:t xml:space="preserve">“</w:t>
      </w:r>
      <w:r>
        <w:t xml:space="preserve">均值不变</w:t>
      </w:r>
      <w:r>
        <w:t xml:space="preserve">”</w:t>
      </w:r>
      <w:r>
        <w:t xml:space="preserve">只针对固定的头输出。阶段3重新训练回归头后，均值函数也可能改变。若输入变化同时让</w:t>
      </w:r>
      <w:r>
        <w:t xml:space="preserve"> </w:t>
      </w:r>
      <m:oMath>
        <m:r>
          <m:t>s</m:t>
          <w:rPr>
            <w:rFonts w:ascii="Cambria Math" w:hAnsi="Cambria Math"/>
          </w:rPr>
        </m:r>
      </m:oMath>
      <w:r>
        <w:t xml:space="preserve">显著增大，密度下降未必使最终方差上升，理论讨论必须考虑这一项。</w:t>
      </w:r>
    </w:p>
    <w:p>
      <w:pPr>
        <w:pStyle w:val="BodyText"/>
        <w:widowControl/>
      </w:pPr>
      <w:r>
        <w:rPr>
          <w:bCs/>
          <w:b/>
        </w:rPr>
        <w:t xml:space="preserve">E 真正重要的结论。</w:t>
      </w:r>
    </w:p>
    <w:p>
      <w:pPr>
        <w:widowControl/>
        <w:numPr>
          <w:ilvl w:val="0"/>
          <w:numId w:val="1005"/>
        </w:numPr>
        <w:pStyle w:val="Compact"/>
      </w:pPr>
      <w:r>
        <w:t xml:space="preserve">方法把密度直接嵌入方差，而非单纯附加一个距离分数。</w:t>
      </w:r>
    </w:p>
    <w:p>
      <w:pPr>
        <w:widowControl/>
        <w:numPr>
          <w:ilvl w:val="0"/>
          <w:numId w:val="1005"/>
        </w:numPr>
        <w:pStyle w:val="Compact"/>
      </w:pPr>
      <w:r>
        <w:t xml:space="preserve">均值表达式中密度可以代数消去。</w:t>
      </w:r>
    </w:p>
    <w:p>
      <w:pPr>
        <w:widowControl/>
        <w:numPr>
          <w:ilvl w:val="0"/>
          <w:numId w:val="1005"/>
        </w:numPr>
        <w:pStyle w:val="Compact"/>
      </w:pPr>
      <w:r>
        <w:t xml:space="preserve">方差与密度的反比关系有</w:t>
      </w:r>
      <w:r>
        <w:t xml:space="preserve">“</w:t>
      </w:r>
      <w:r>
        <w:t xml:space="preserve">其他因子固定</w:t>
      </w:r>
      <w:r>
        <w:t xml:space="preserve">”</w:t>
      </w:r>
      <w:r>
        <w:t xml:space="preserve">的条件。</w:t>
      </w:r>
    </w:p>
    <w:bookmarkEnd w:id="29"/>
    <w:bookmarkStart w:id="30" w:name="method中的训练与推理"/>
    <w:p>
      <w:pPr>
        <w:pStyle w:val="Heading3"/>
        <w:widowControl/>
      </w:pPr>
      <w:r>
        <w:rPr>
          <w:color w:val="000000"/>
        </w:rPr>
        <w:t xml:space="preserve">3 5 Method中的训练与推理</w:t>
      </w:r>
    </w:p>
    <w:p>
      <w:pPr>
        <w:pStyle w:val="FirstParagraph"/>
        <w:widowControl/>
      </w:pPr>
      <w:r>
        <w:rPr>
          <w:bCs/>
          <w:b/>
        </w:rPr>
        <w:t xml:space="preserve">A 这一节在讲什么。</w:t>
      </w:r>
      <w:r>
        <w:t xml:space="preserve"> </w:t>
      </w:r>
      <w:r>
        <w:t xml:space="preserve">先学预测特征，再学这些特征的密度，最后让预测头适应密度调节。</w:t>
      </w:r>
    </w:p>
    <w:p>
      <w:pPr>
        <w:pStyle w:val="BodyText"/>
        <w:widowControl/>
      </w:pPr>
      <w:r>
        <w:rPr>
          <w:bCs/>
          <w:b/>
        </w:rPr>
        <w:t xml:space="preserve">B 为什么要讲。</w:t>
      </w:r>
      <w:r>
        <w:t xml:space="preserve"> </w:t>
      </w:r>
      <w:r>
        <w:t xml:space="preserve">如果编码器持续改变，已拟合的特征密度就可能过时；冻结步骤用于保持二者一致。</w:t>
      </w:r>
    </w:p>
    <w:p>
      <w:pPr>
        <w:pStyle w:val="BodyText"/>
        <w:widowControl/>
      </w:pPr>
      <w:r>
        <w:rPr>
          <w:bCs/>
          <w:b/>
        </w:rPr>
        <w:t xml:space="preserve">C 关键概念。</w:t>
      </w:r>
      <w:r>
        <w:t xml:space="preserve"> </w:t>
      </w:r>
      <w:r>
        <w:t xml:space="preserve">冻结表示不再更新该模块参数；Normalizing Flow通过可逆可微变换计算密度；KDE用核函数在训练点周围平滑估计密度。二者都需要训练特征，但计算量和存储方式不同。</w:t>
      </w:r>
    </w:p>
    <w:p>
      <w:pPr>
        <w:pStyle w:val="BodyText"/>
        <w:widowControl/>
      </w:pPr>
      <w:r>
        <w:rPr>
          <w:bCs/>
          <w:b/>
        </w:rPr>
        <w:t xml:space="preserve">D 算法与公式。</w:t>
      </w:r>
      <w:r>
        <w:t xml:space="preserve"> </w:t>
      </w:r>
      <w:r>
        <w:t xml:space="preserve">原文算法1、式11–15：</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阶段</w:t>
            </w:r>
          </w:p>
        </w:tc>
        <w:tc>
          <w:tcPr>
            <w:tcW w:type="dxa" w:w="2762"/>
            <w:vAlign w:val="center"/>
            <w:shd w:fill="E7EDF3"/>
          </w:tcPr>
          <w:p>
            <w:pPr>
              <w:pStyle w:val="Compact"/>
              <w:keepNext w:val="0"/>
              <w:spacing w:after="40" w:before="40" w:line="264" w:lineRule="auto"/>
              <w:jc w:val="left"/>
            </w:pPr>
            <w:r>
              <w:rPr>
                <w:b/>
                <w:color w:val="000000"/>
                <w:sz w:val="19"/>
              </w:rPr>
              <w:t xml:space="preserve">更新对象</w:t>
            </w:r>
          </w:p>
        </w:tc>
        <w:tc>
          <w:tcPr>
            <w:tcW w:type="dxa" w:w="2466"/>
            <w:vAlign w:val="center"/>
            <w:shd w:fill="E7EDF3"/>
          </w:tcPr>
          <w:p>
            <w:pPr>
              <w:pStyle w:val="Compact"/>
              <w:keepNext w:val="0"/>
              <w:spacing w:after="40" w:before="40" w:line="264" w:lineRule="auto"/>
              <w:jc w:val="left"/>
            </w:pPr>
            <w:r>
              <w:rPr>
                <w:b/>
                <w:color w:val="000000"/>
                <w:sz w:val="19"/>
              </w:rPr>
              <w:t xml:space="preserve">所需信息</w:t>
            </w:r>
          </w:p>
        </w:tc>
        <w:tc>
          <w:tcPr>
            <w:tcW w:type="dxa" w:w="2762"/>
            <w:vAlign w:val="center"/>
            <w:shd w:fill="E7EDF3"/>
          </w:tcPr>
          <w:p>
            <w:pPr>
              <w:pStyle w:val="Compact"/>
              <w:keepNext w:val="0"/>
              <w:spacing w:after="40" w:before="40" w:line="264" w:lineRule="auto"/>
              <w:jc w:val="left"/>
            </w:pPr>
            <w:r>
              <w:rPr>
                <w:b/>
                <w:color w:val="000000"/>
                <w:sz w:val="19"/>
              </w:rPr>
              <w:t xml:space="preserve">目标与输出</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1 监督预训练</w:t>
            </w:r>
          </w:p>
        </w:tc>
        <w:tc>
          <w:tcPr>
            <w:tcW w:type="dxa" w:w="2762"/>
            <w:vAlign w:val="center"/>
            <w:shd w:fill="FFFFFF"/>
          </w:tcPr>
          <w:p>
            <w:pPr>
              <w:pStyle w:val="Compact"/>
              <w:keepNext w:val="0"/>
              <w:spacing w:after="40" w:before="40" w:line="264" w:lineRule="auto"/>
              <w:jc w:val="left"/>
            </w:pPr>
            <w:r>
              <w:rPr>
                <w:color w:val="000000"/>
                <w:sz w:val="19"/>
              </w:rPr>
              <w:t xml:space="preserve">编码器</w:t>
            </w:r>
            <w:r>
              <w:rPr>
                <w:color w:val="000000"/>
                <w:sz w:val="19"/>
              </w:rPr>
              <w:t xml:space="preserve"> </w:t>
            </w:r>
            <m:oMath>
              <m:r>
                <m:t>f</m:t>
                <w:rPr>
                  <w:rFonts w:ascii="Cambria Math" w:hAnsi="Cambria Math"/>
                </w:rPr>
              </m:r>
            </m:oMath>
            <w:r>
              <w:rPr>
                <w:color w:val="000000"/>
                <w:sz w:val="19"/>
              </w:rPr>
              <w:t xml:space="preserve">与回归头</w:t>
            </w:r>
            <w:r>
              <w:rPr>
                <w:color w:val="000000"/>
                <w:sz w:val="19"/>
              </w:rPr>
              <w:t xml:space="preserve"> </w:t>
            </w:r>
            <m:oMath>
              <m:r>
                <m:t>g</m:t>
                <w:rPr>
                  <w:rFonts w:ascii="Cambria Math" w:hAnsi="Cambria Math"/>
                </w:rPr>
              </m:r>
            </m:oMath>
          </w:p>
        </w:tc>
        <w:tc>
          <w:tcPr>
            <w:tcW w:type="dxa" w:w="2466"/>
            <w:vAlign w:val="center"/>
            <w:shd w:fill="FFFFFF"/>
          </w:tcPr>
          <w:p>
            <w:pPr>
              <w:pStyle w:val="Compact"/>
              <w:keepNext w:val="0"/>
              <w:spacing w:after="40" w:before="40" w:line="264" w:lineRule="auto"/>
              <w:jc w:val="left"/>
            </w:pPr>
            <w:r>
              <w:rPr>
                <w:color w:val="000000"/>
                <w:sz w:val="19"/>
              </w:rPr>
              <w:t xml:space="preserve">学习内输入</w:t>
            </w:r>
            <w:r>
              <w:rPr>
                <w:color w:val="000000"/>
                <w:sz w:val="19"/>
              </w:rPr>
              <w:t xml:space="preserve"> </w:t>
            </w:r>
            <m:oMath>
              <m:r>
                <m:t>x</m:t>
                <w:rPr>
                  <w:rFonts w:ascii="Cambria Math" w:hAnsi="Cambria Math"/>
                </w:rPr>
              </m:r>
            </m:oMath>
            <w:r>
              <w:rPr>
                <w:color w:val="000000"/>
                <w:sz w:val="19"/>
              </w:rPr>
              <w:t xml:space="preserve">及回归目标</w:t>
            </w:r>
            <w:r>
              <w:rPr>
                <w:color w:val="000000"/>
                <w:sz w:val="19"/>
              </w:rPr>
              <w:t xml:space="preserve"> </w:t>
            </w:r>
            <m:oMath>
              <m:r>
                <m:t>y</m:t>
                <w:rPr>
                  <w:rFonts w:ascii="Cambria Math" w:hAnsi="Cambria Math"/>
                </w:rPr>
              </m:r>
            </m:oMath>
          </w:p>
        </w:tc>
        <w:tc>
          <w:tcPr>
            <w:tcW w:type="dxa" w:w="2762"/>
            <w:vAlign w:val="center"/>
            <w:shd w:fill="FFFFFF"/>
          </w:tcPr>
          <w:p>
            <w:pPr>
              <w:pStyle w:val="Compact"/>
              <w:keepNext w:val="0"/>
              <w:spacing w:after="40" w:before="40" w:line="264" w:lineRule="auto"/>
              <w:jc w:val="left"/>
            </w:pPr>
            <w:r>
              <w:rPr>
                <w:color w:val="000000"/>
                <w:sz w:val="19"/>
              </w:rPr>
              <w:t xml:space="preserve">暂设密度因子为1，最小化高斯NLL</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2 特征密度训练</w:t>
            </w:r>
          </w:p>
        </w:tc>
        <w:tc>
          <w:tcPr>
            <w:tcW w:type="dxa" w:w="2762"/>
            <w:vAlign w:val="center"/>
            <w:shd w:fill="F7F8FA"/>
          </w:tcPr>
          <w:p>
            <w:pPr>
              <w:pStyle w:val="Compact"/>
              <w:keepNext w:val="0"/>
              <w:spacing w:after="40" w:before="40" w:line="264" w:lineRule="auto"/>
              <w:jc w:val="left"/>
            </w:pPr>
            <w:r>
              <w:rPr>
                <w:color w:val="000000"/>
                <w:sz w:val="19"/>
              </w:rPr>
              <w:t xml:space="preserve">密度参数</w:t>
            </w:r>
            <w:r>
              <w:rPr>
                <w:color w:val="000000"/>
                <w:sz w:val="19"/>
              </w:rPr>
              <w:t xml:space="preserve"> </w:t>
            </w:r>
            <m:oMath>
              <m:r>
                <m:t>α</m:t>
                <w:rPr>
                  <w:rFonts w:ascii="Cambria Math" w:hAnsi="Cambria Math"/>
                </w:rPr>
              </m:r>
            </m:oMath>
            <w:r>
              <w:rPr>
                <w:color w:val="000000"/>
                <w:sz w:val="19"/>
              </w:rPr>
              <w:t xml:space="preserve">；冻结</w:t>
            </w:r>
            <w:r>
              <w:rPr>
                <w:color w:val="000000"/>
                <w:sz w:val="19"/>
              </w:rPr>
              <w:t xml:space="preserve"> </w:t>
            </w:r>
            <m:oMath>
              <m:r>
                <m:t>f</m:t>
                <w:rPr>
                  <w:rFonts w:ascii="Cambria Math" w:hAnsi="Cambria Math"/>
                </w:rPr>
              </m:r>
            </m:oMath>
          </w:p>
        </w:tc>
        <w:tc>
          <w:tcPr>
            <w:tcW w:type="dxa" w:w="2466"/>
            <w:vAlign w:val="center"/>
            <w:shd w:fill="F7F8FA"/>
          </w:tcPr>
          <w:p>
            <w:pPr>
              <w:pStyle w:val="Compact"/>
              <w:keepNext w:val="0"/>
              <w:spacing w:after="40" w:before="40" w:line="264" w:lineRule="auto"/>
              <w:jc w:val="left"/>
            </w:pPr>
            <w:r>
              <w:rPr>
                <w:color w:val="000000"/>
                <w:sz w:val="19"/>
              </w:rPr>
              <w:t xml:space="preserve">训练输入经</w:t>
            </w:r>
            <w:r>
              <w:rPr>
                <w:color w:val="000000"/>
                <w:sz w:val="19"/>
              </w:rPr>
              <w:t xml:space="preserve"> </w:t>
            </w:r>
            <m:oMath>
              <m:r>
                <m:t>f</m:t>
                <w:rPr>
                  <w:rFonts w:ascii="Cambria Math" w:hAnsi="Cambria Math"/>
                </w:rPr>
              </m:r>
            </m:oMath>
            <w:r>
              <w:rPr>
                <w:color w:val="000000"/>
                <w:sz w:val="19"/>
              </w:rPr>
              <w:t xml:space="preserve">得到的</w:t>
            </w:r>
            <w:r>
              <w:rPr>
                <w:color w:val="000000"/>
                <w:sz w:val="19"/>
              </w:rPr>
              <w:t xml:space="preserve"> </w:t>
            </w:r>
            <m:oMath>
              <m:r>
                <m:t>z</m:t>
                <w:rPr>
                  <w:rFonts w:ascii="Cambria Math" w:hAnsi="Cambria Math"/>
                </w:rPr>
              </m:r>
            </m:oMath>
            <w:r>
              <w:rPr>
                <w:color w:val="000000"/>
                <w:sz w:val="19"/>
              </w:rPr>
              <w:t xml:space="preserve">；此阶段不需</w:t>
            </w:r>
            <w:r>
              <w:rPr>
                <w:color w:val="000000"/>
                <w:sz w:val="19"/>
              </w:rPr>
              <w:t xml:space="preserve"> </w:t>
            </w:r>
            <m:oMath>
              <m:r>
                <m:t>y</m:t>
                <w:rPr>
                  <w:rFonts w:ascii="Cambria Math" w:hAnsi="Cambria Math"/>
                </w:rPr>
              </m:r>
            </m:oMath>
          </w:p>
        </w:tc>
        <w:tc>
          <w:tcPr>
            <w:tcW w:type="dxa" w:w="2762"/>
            <w:vAlign w:val="center"/>
            <w:shd w:fill="F7F8FA"/>
          </w:tcPr>
          <w:p>
            <w:pPr>
              <w:pStyle w:val="Compact"/>
              <w:keepNext w:val="0"/>
              <w:spacing w:after="40" w:before="40" w:line="264" w:lineRule="auto"/>
              <w:jc w:val="left"/>
            </w:pPr>
            <w:r>
              <w:rPr>
                <w:color w:val="000000"/>
                <w:sz w:val="19"/>
              </w:rPr>
              <w:t xml:space="preserve">最大化训练特征对数密度</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3 重新拟合回归头</w:t>
            </w:r>
          </w:p>
        </w:tc>
        <w:tc>
          <w:tcPr>
            <w:tcW w:type="dxa" w:w="2762"/>
            <w:vAlign w:val="center"/>
            <w:shd w:fill="FFFFFF"/>
          </w:tcPr>
          <w:p>
            <w:pPr>
              <w:pStyle w:val="Compact"/>
              <w:keepNext w:val="0"/>
              <w:spacing w:after="40" w:before="40" w:line="264" w:lineRule="auto"/>
              <w:jc w:val="left"/>
            </w:pPr>
            <w:r>
              <w:rPr>
                <w:color w:val="000000"/>
                <w:sz w:val="19"/>
              </w:rPr>
              <w:t xml:space="preserve">只更新</w:t>
            </w:r>
            <w:r>
              <w:rPr>
                <w:color w:val="000000"/>
                <w:sz w:val="19"/>
              </w:rPr>
              <w:t xml:space="preserve"> </w:t>
            </w:r>
            <m:oMath>
              <m:r>
                <m:t>g</m:t>
                <w:rPr>
                  <w:rFonts w:ascii="Cambria Math" w:hAnsi="Cambria Math"/>
                </w:rPr>
              </m:r>
            </m:oMath>
            <w:r>
              <w:rPr>
                <w:color w:val="000000"/>
                <w:sz w:val="19"/>
              </w:rPr>
              <w:t xml:space="preserve">；冻结</w:t>
            </w:r>
            <w:r>
              <w:rPr>
                <w:color w:val="000000"/>
                <w:sz w:val="19"/>
              </w:rPr>
              <w:t xml:space="preserve"> </w:t>
            </w:r>
            <m:oMath>
              <m:r>
                <m:t>f</m:t>
                <w:rPr>
                  <w:rFonts w:ascii="Cambria Math" w:hAnsi="Cambria Math"/>
                </w:rPr>
              </m:r>
            </m:oMath>
            <w:r>
              <w:rPr>
                <w:color w:val="000000"/>
                <w:sz w:val="19"/>
              </w:rPr>
              <w:t xml:space="preserve">和密度模型</w:t>
            </w:r>
          </w:p>
        </w:tc>
        <w:tc>
          <w:tcPr>
            <w:tcW w:type="dxa" w:w="2466"/>
            <w:vAlign w:val="center"/>
            <w:shd w:fill="FFFFFF"/>
          </w:tcPr>
          <w:p>
            <w:pPr>
              <w:pStyle w:val="Compact"/>
              <w:keepNext w:val="0"/>
              <w:spacing w:after="40" w:before="40" w:line="264" w:lineRule="auto"/>
              <w:jc w:val="left"/>
            </w:pPr>
            <w:r>
              <w:rPr>
                <w:color w:val="000000"/>
                <w:sz w:val="19"/>
              </w:rPr>
              <w:t xml:space="preserve">原训练</w:t>
            </w:r>
            <w:r>
              <w:rPr>
                <w:color w:val="000000"/>
                <w:sz w:val="19"/>
              </w:rPr>
              <w:t xml:space="preserve"> </w:t>
            </w:r>
            <m:oMath>
              <m:r>
                <m:t>x</m:t>
                <w:rPr>
                  <w:rFonts w:ascii="Cambria Math" w:hAnsi="Cambria Math"/>
                </w:rPr>
              </m:r>
              <m:r>
                <m:rPr>
                  <m:sty m:val="p"/>
                </m:rPr>
                <m:t>,</m:t>
                <w:rPr>
                  <w:rFonts w:ascii="Cambria Math" w:hAnsi="Cambria Math"/>
                </w:rPr>
              </m:r>
              <m:r>
                <m:t>y</m:t>
                <w:rPr>
                  <w:rFonts w:ascii="Cambria Math" w:hAnsi="Cambria Math"/>
                </w:rPr>
              </m:r>
            </m:oMath>
            <w:r>
              <w:rPr>
                <w:color w:val="000000"/>
                <w:sz w:val="19"/>
              </w:rPr>
              <w:t xml:space="preserve">及固定密度</w:t>
            </w:r>
          </w:p>
        </w:tc>
        <w:tc>
          <w:tcPr>
            <w:tcW w:type="dxa" w:w="2762"/>
            <w:vAlign w:val="center"/>
            <w:shd w:fill="FFFFFF"/>
          </w:tcPr>
          <w:p>
            <w:pPr>
              <w:pStyle w:val="Compact"/>
              <w:keepNext w:val="0"/>
              <w:spacing w:after="40" w:before="40" w:line="264" w:lineRule="auto"/>
              <w:jc w:val="left"/>
            </w:pPr>
            <w:r>
              <w:rPr>
                <w:color w:val="000000"/>
                <w:sz w:val="19"/>
              </w:rPr>
              <w:t xml:space="preserve">用加入密度后的均值和方差最小化NLL</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实际运行</w:t>
            </w:r>
          </w:p>
        </w:tc>
        <w:tc>
          <w:tcPr>
            <w:tcW w:type="dxa" w:w="2762"/>
            <w:vAlign w:val="center"/>
            <w:shd w:fill="F7F8FA"/>
          </w:tcPr>
          <w:p>
            <w:pPr>
              <w:pStyle w:val="Compact"/>
              <w:keepNext w:val="0"/>
              <w:spacing w:after="40" w:before="40" w:line="264" w:lineRule="auto"/>
              <w:jc w:val="left"/>
            </w:pPr>
            <w:r>
              <w:rPr>
                <w:color w:val="000000"/>
                <w:sz w:val="19"/>
              </w:rPr>
              <w:t xml:space="preserve">参数均固定</w:t>
            </w:r>
          </w:p>
        </w:tc>
        <w:tc>
          <w:tcPr>
            <w:tcW w:type="dxa" w:w="2466"/>
            <w:vAlign w:val="center"/>
            <w:shd w:fill="F7F8FA"/>
          </w:tcPr>
          <w:p>
            <w:pPr>
              <w:pStyle w:val="Compact"/>
              <w:keepNext w:val="0"/>
              <w:spacing w:after="40" w:before="40" w:line="264" w:lineRule="auto"/>
              <w:jc w:val="left"/>
            </w:pPr>
            <w:r>
              <w:rPr>
                <w:color w:val="000000"/>
                <w:sz w:val="19"/>
              </w:rPr>
              <w:t xml:space="preserve">新输入</w:t>
            </w:r>
            <w:r>
              <w:rPr>
                <w:color w:val="000000"/>
                <w:sz w:val="19"/>
              </w:rPr>
              <w:t xml:space="preserve"> </w:t>
            </w:r>
            <m:oMath>
              <m:sSub>
                <m:e>
                  <m:r>
                    <m:t>x</m:t>
                    <w:rPr>
                      <w:rFonts w:ascii="Cambria Math" w:hAnsi="Cambria Math"/>
                    </w:rPr>
                  </m:r>
                </m:e>
                <m:sub>
                  <m:r>
                    <m:t>t</m:t>
                    <w:rPr>
                      <w:rFonts w:ascii="Cambria Math" w:hAnsi="Cambria Math"/>
                    </w:rPr>
                  </m:r>
                </m:sub>
              </m:sSub>
            </m:oMath>
            <w:r>
              <w:rPr>
                <w:color w:val="000000"/>
                <w:sz w:val="19"/>
              </w:rPr>
              <w:t xml:space="preserve">及已训练三个模块</w:t>
            </w:r>
          </w:p>
        </w:tc>
        <w:tc>
          <w:tcPr>
            <w:tcW w:type="dxa" w:w="2762"/>
            <w:vAlign w:val="center"/>
            <w:shd w:fill="F7F8FA"/>
          </w:tcPr>
          <w:p>
            <w:pPr>
              <w:pStyle w:val="Compact"/>
              <w:keepNext w:val="0"/>
              <w:spacing w:after="40" w:before="40" w:line="264" w:lineRule="auto"/>
              <w:jc w:val="left"/>
            </w:pPr>
            <w:r>
              <w:rPr>
                <w:color w:val="000000"/>
                <w:sz w:val="19"/>
              </w:rPr>
              <w:t xml:space="preserve">输出</w:t>
            </w:r>
            <w:r>
              <w:rPr>
                <w:color w:val="000000"/>
                <w:sz w:val="19"/>
              </w:rPr>
              <w:t xml:space="preserve"> </w:t>
            </w:r>
            <m:oMath>
              <m:r>
                <m:t>μ</m:t>
                <w:rPr>
                  <w:rFonts w:ascii="Cambria Math" w:hAnsi="Cambria Math"/>
                </w:rPr>
              </m:r>
              <m:r>
                <m:rPr>
                  <m:sty m:val="p"/>
                </m:rPr>
                <m:t>(</m:t>
                <w:rPr>
                  <w:rFonts w:ascii="Cambria Math" w:hAnsi="Cambria Math"/>
                </w:rPr>
              </m:r>
              <m:sSub>
                <m:e>
                  <m:r>
                    <m:t>x</m:t>
                    <w:rPr>
                      <w:rFonts w:ascii="Cambria Math" w:hAnsi="Cambria Math"/>
                    </w:rPr>
                  </m:r>
                </m:e>
                <m:sub>
                  <m:r>
                    <m:t>t</m:t>
                    <w:rPr>
                      <w:rFonts w:ascii="Cambria Math" w:hAnsi="Cambria Math"/>
                    </w:rPr>
                  </m:r>
                </m:sub>
              </m:sSub>
              <m:r>
                <m:rPr>
                  <m:sty m:val="p"/>
                </m:rPr>
                <m:t>)</m:t>
                <w:rPr>
                  <w:rFonts w:ascii="Cambria Math" w:hAnsi="Cambria Math"/>
                </w:rPr>
              </m:r>
              <m:r>
                <m:rPr>
                  <m:sty m:val="p"/>
                </m:rPr>
                <m:t>,</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sSub>
                <m:e>
                  <m:r>
                    <m:t>x</m:t>
                    <w:rPr>
                      <w:rFonts w:ascii="Cambria Math" w:hAnsi="Cambria Math"/>
                    </w:rPr>
                  </m:r>
                </m:e>
                <m:sub>
                  <m:r>
                    <m:t>t</m:t>
                    <w:rPr>
                      <w:rFonts w:ascii="Cambria Math" w:hAnsi="Cambria Math"/>
                    </w:rPr>
                  </m:r>
                </m:sub>
              </m:sSub>
              <m:r>
                <m:rPr>
                  <m:sty m:val="p"/>
                </m:rPr>
                <m:t>)</m:t>
                <w:rPr>
                  <w:rFonts w:ascii="Cambria Math" w:hAnsi="Cambria Math"/>
                </w:rPr>
              </m:r>
            </m:oMath>
            <w:r>
              <w:rPr>
                <w:color w:val="000000"/>
                <w:sz w:val="19"/>
              </w:rPr>
              <w:t xml:space="preserve">；无需实时真实目标</w:t>
            </w:r>
          </w:p>
        </w:tc>
      </w:tr>
    </w:tbl>
    <w:p>
      <w:pPr>
        <w:pStyle w:val="BodyText"/>
        <w:widowControl/>
      </w:pPr>
      <w:r>
        <w:t xml:space="preserve">Flow密度公式：</w:t>
      </w:r>
    </w:p>
    <w:p>
      <w:pPr>
        <w:pStyle w:val="BodyText"/>
        <w:widowControl/>
      </w:pPr>
      <m:oMathPara>
        <m:oMathParaPr>
          <m:jc m:val="center"/>
        </m:oMathParaPr>
        <m:oMath>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T</m:t>
                <w:rPr>
                  <w:rFonts w:ascii="Cambria Math" w:hAnsi="Cambria Math"/>
                </w:rPr>
              </m:r>
            </m:sub>
          </m:sSub>
          <m:r>
            <m:rPr>
              <m:sty m:val="p"/>
            </m:rPr>
            <m:t>(</m:t>
            <w:rPr>
              <w:rFonts w:ascii="Cambria Math" w:hAnsi="Cambria Math"/>
            </w:rPr>
          </m:r>
          <m:sSub>
            <m:e>
              <m:r>
                <m:t>s</m:t>
                <w:rPr>
                  <w:rFonts w:ascii="Cambria Math" w:hAnsi="Cambria Math"/>
                </w:rPr>
              </m:r>
            </m:e>
            <m:sub>
              <m:r>
                <m:t>α</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d>
            <m:dPr>
              <m:begChr m:val="|"/>
              <m:endChr m:val="|"/>
              <m:grow/>
            </m:dPr>
            <m:e>
              <m:r>
                <m:rPr>
                  <m:nor/>
                  <m:sty m:val="p"/>
                </m:rPr>
                <m:t>det</m:t>
                <w:rPr>
                  <w:rFonts w:ascii="Cambria Math" w:hAnsi="Cambria Math"/>
                </w:rPr>
              </m:r>
              <m:f>
                <m:fPr>
                  <m:type m:val="bar"/>
                </m:fPr>
                <m:num>
                  <m:r>
                    <m:rPr>
                      <m:sty m:val="p"/>
                    </m:rPr>
                    <m:t>∂</m:t>
                    <w:rPr>
                      <w:rFonts w:ascii="Cambria Math" w:hAnsi="Cambria Math"/>
                    </w:rPr>
                  </m:r>
                  <m:sSub>
                    <m:e>
                      <m:r>
                        <m:t>s</m:t>
                        <w:rPr>
                          <w:rFonts w:ascii="Cambria Math" w:hAnsi="Cambria Math"/>
                        </w:rPr>
                      </m:r>
                    </m:e>
                    <m:sub>
                      <m:r>
                        <m:t>α</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num>
                <m:den>
                  <m:r>
                    <m:rPr>
                      <m:sty m:val="p"/>
                    </m:rPr>
                    <m:t>∂</m:t>
                    <w:rPr>
                      <w:rFonts w:ascii="Cambria Math" w:hAnsi="Cambria Math"/>
                    </w:rPr>
                  </m:r>
                  <m:r>
                    <m:t>z</m:t>
                    <w:rPr>
                      <w:rFonts w:ascii="Cambria Math" w:hAnsi="Cambria Math"/>
                    </w:rPr>
                  </m:r>
                </m:den>
              </m:f>
            </m:e>
          </m:d>
          <m:r>
            <m:rPr>
              <m:sty m:val="p"/>
            </m:rPr>
            <m:t>.</m:t>
            <w:rPr>
              <w:rFonts w:ascii="Cambria Math" w:hAnsi="Cambria Math"/>
            </w:rPr>
          </m:r>
        </m:oMath>
      </m:oMathPara>
    </w:p>
    <w:p>
      <w:pPr>
        <w:pStyle w:val="FirstParagraph"/>
        <w:widowControl/>
      </w:pPr>
      <m:oMath>
        <m:sSub>
          <m:e>
            <m:r>
              <m:t>s</m:t>
              <w:rPr>
                <w:rFonts w:ascii="Cambria Math" w:hAnsi="Cambria Math"/>
              </w:rPr>
            </m:r>
          </m:e>
          <m:sub>
            <m:r>
              <m:t>α</m:t>
              <w:rPr>
                <w:rFonts w:ascii="Cambria Math" w:hAnsi="Cambria Math"/>
              </w:rPr>
            </m:r>
          </m:sub>
        </m:sSub>
      </m:oMath>
      <w:r>
        <w:t xml:space="preserve">是把特征变换到基分布变量</w:t>
      </w:r>
      <w:r>
        <w:t xml:space="preserve"> </w:t>
      </w:r>
      <m:oMath>
        <m:r>
          <m:t>t</m:t>
          <w:rPr>
            <w:rFonts w:ascii="Cambria Math" w:hAnsi="Cambria Math"/>
          </w:rPr>
        </m:r>
      </m:oMath>
      <w:r>
        <w:t xml:space="preserve">的可逆函数，</w:t>
      </w:r>
      <m:oMath>
        <m:sSub>
          <m:e>
            <m:r>
              <m:t>p</m:t>
              <w:rPr>
                <w:rFonts w:ascii="Cambria Math" w:hAnsi="Cambria Math"/>
              </w:rPr>
            </m:r>
          </m:e>
          <m:sub>
            <m:r>
              <m:t>T</m:t>
              <w:rPr>
                <w:rFonts w:ascii="Cambria Math" w:hAnsi="Cambria Math"/>
              </w:rPr>
            </m:r>
          </m:sub>
        </m:sSub>
      </m:oMath>
      <w:r>
        <w:t xml:space="preserve">为基分布密度，雅可比行列式修正体积变化。二维例：</w:t>
      </w:r>
      <m:oMath>
        <m:r>
          <m:t>t</m:t>
          <w:rPr>
            <w:rFonts w:ascii="Cambria Math" w:hAnsi="Cambria Math"/>
          </w:rPr>
        </m:r>
        <m:r>
          <m:rPr>
            <m:sty m:val="p"/>
          </m:rPr>
          <m:t>=</m:t>
          <w:rPr>
            <w:rFonts w:ascii="Cambria Math" w:hAnsi="Cambria Math"/>
          </w:rPr>
        </m:r>
        <m:r>
          <m:t>2</m:t>
          <w:rPr>
            <w:rFonts w:ascii="Cambria Math" w:hAnsi="Cambria Math"/>
          </w:rPr>
        </m:r>
        <m:r>
          <m:t>z</m:t>
          <w:rPr>
            <w:rFonts w:ascii="Cambria Math" w:hAnsi="Cambria Math"/>
          </w:rPr>
        </m:r>
      </m:oMath>
      <w:r>
        <w:t xml:space="preserve">，行列式为4；若</w:t>
      </w:r>
      <w:r>
        <w:t xml:space="preserve"> </w:t>
      </w:r>
      <m:oMath>
        <m:sSub>
          <m:e>
            <m:r>
              <m:t>p</m:t>
              <w:rPr>
                <w:rFonts w:ascii="Cambria Math" w:hAnsi="Cambria Math"/>
              </w:rPr>
            </m:r>
          </m:e>
          <m:sub>
            <m:r>
              <m:t>T</m:t>
              <w:rPr>
                <w:rFonts w:ascii="Cambria Math" w:hAnsi="Cambria Math"/>
              </w:rPr>
            </m:r>
          </m:sub>
        </m:sSub>
        <m:r>
          <m:rPr>
            <m:sty m:val="p"/>
          </m:rPr>
          <m:t>(</m:t>
          <w:rPr>
            <w:rFonts w:ascii="Cambria Math" w:hAnsi="Cambria Math"/>
          </w:rPr>
        </m:r>
        <m:r>
          <m:t>t</m:t>
          <w:rPr>
            <w:rFonts w:ascii="Cambria Math" w:hAnsi="Cambria Math"/>
          </w:rPr>
        </m:r>
        <m:r>
          <m:rPr>
            <m:sty m:val="p"/>
          </m:rPr>
          <m:t>)</m:t>
          <w:rPr>
            <w:rFonts w:ascii="Cambria Math" w:hAnsi="Cambria Math"/>
          </w:rPr>
        </m:r>
        <m:r>
          <m:rPr>
            <m:sty m:val="p"/>
          </m:rPr>
          <m:t>=</m:t>
          <w:rPr>
            <w:rFonts w:ascii="Cambria Math" w:hAnsi="Cambria Math"/>
          </w:rPr>
        </m:r>
        <m:r>
          <m:t>0.1</m:t>
          <w:rPr>
            <w:rFonts w:ascii="Cambria Math" w:hAnsi="Cambria Math"/>
          </w:rPr>
        </m:r>
      </m:oMath>
      <w:r>
        <w:t xml:space="preserve">，则</w:t>
      </w:r>
      <w:r>
        <w:t xml:space="preserve"> </w:t>
      </w:r>
      <m:oMath>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t>0.4</m:t>
          <w:rPr>
            <w:rFonts w:ascii="Cambria Math" w:hAnsi="Cambria Math"/>
          </w:rPr>
        </m:r>
      </m:oMath>
      <w:r>
        <w:t xml:space="preserve">。没有体积修正就不是正确的变量变换密度。</w:t>
      </w:r>
    </w:p>
    <w:p>
      <w:pPr>
        <w:pStyle w:val="BodyText"/>
        <w:widowControl/>
      </w:pPr>
      <w:r>
        <w:t xml:space="preserve">原文20页：玩具实验使用指数核、L1距离KDE，其他实验采用Normalizing Flow。正文不是规定所有实现都必须用同一种密度估计器。原文</w:t>
      </w:r>
      <w:r>
        <w:t xml:space="preserve">“</w:t>
      </w:r>
      <w:r>
        <w:t xml:space="preserve">单次前向</w:t>
      </w:r>
      <w:r>
        <w:t xml:space="preserve">”</w:t>
      </w:r>
      <w:r>
        <w:t xml:space="preserve">意味着不做</w:t>
      </w:r>
      <w:r>
        <w:t xml:space="preserve"> </w:t>
      </w:r>
      <m:oMath>
        <m:r>
          <m:t>M</m:t>
          <w:rPr>
            <w:rFonts w:ascii="Cambria Math" w:hAnsi="Cambria Math"/>
          </w:rPr>
        </m:r>
      </m:oMath>
      <w:r>
        <w:t xml:space="preserve">次随机采样；算法可以直接返回分布参数，不必真的从高斯分布抽样一个输出值。</w:t>
      </w:r>
    </w:p>
    <w:p>
      <w:pPr>
        <w:pStyle w:val="BodyText"/>
        <w:widowControl/>
      </w:pPr>
      <w:r>
        <w:rPr>
          <w:bCs/>
          <w:b/>
        </w:rPr>
        <w:t xml:space="preserve">E 真正重要的结论。</w:t>
      </w:r>
    </w:p>
    <w:p>
      <w:pPr>
        <w:widowControl/>
        <w:numPr>
          <w:ilvl w:val="0"/>
          <w:numId w:val="1006"/>
        </w:numPr>
        <w:pStyle w:val="Compact"/>
      </w:pPr>
      <w:r>
        <w:t xml:space="preserve">整体训练仍需要回归标签，不能称为完全无监督方法。</w:t>
      </w:r>
    </w:p>
    <w:p>
      <w:pPr>
        <w:widowControl/>
        <w:numPr>
          <w:ilvl w:val="0"/>
          <w:numId w:val="1006"/>
        </w:numPr>
        <w:pStyle w:val="Compact"/>
      </w:pPr>
      <w:r>
        <w:t xml:space="preserve">在线评分不需要真实</w:t>
      </w:r>
      <w:r>
        <w:t xml:space="preserve"> </w:t>
      </w:r>
      <m:oMath>
        <m:r>
          <m:t>y</m:t>
          <w:rPr>
            <w:rFonts w:ascii="Cambria Math" w:hAnsi="Cambria Math"/>
          </w:rPr>
        </m:r>
      </m:oMath>
      <w:r>
        <w:t xml:space="preserve">，但需要目标模型的特征和专用输出头。</w:t>
      </w:r>
    </w:p>
    <w:p>
      <w:pPr>
        <w:widowControl/>
        <w:numPr>
          <w:ilvl w:val="0"/>
          <w:numId w:val="1006"/>
        </w:numPr>
        <w:pStyle w:val="Compact"/>
      </w:pPr>
      <w:r>
        <w:t xml:space="preserve">三阶段训练增加离线成本，推理还包含密度模型计算。</w:t>
      </w:r>
    </w:p>
    <w:bookmarkEnd w:id="30"/>
    <w:bookmarkStart w:id="31" w:name="theory与补充证明"/>
    <w:p>
      <w:pPr>
        <w:pStyle w:val="Heading3"/>
        <w:widowControl/>
      </w:pPr>
      <w:r>
        <w:rPr>
          <w:color w:val="000000"/>
        </w:rPr>
        <w:t xml:space="preserve">3 6 Theory与补充证明</w:t>
      </w:r>
    </w:p>
    <w:p>
      <w:pPr>
        <w:pStyle w:val="FirstParagraph"/>
        <w:widowControl/>
      </w:pPr>
      <w:r>
        <w:rPr>
          <w:bCs/>
          <w:b/>
        </w:rPr>
        <w:t xml:space="preserve">A 这一节在讲什么。</w:t>
      </w:r>
      <w:r>
        <w:t xml:space="preserve"> </w:t>
      </w:r>
      <w:r>
        <w:t xml:space="preserve">作者尝试用密度在远处衰减的性质，证明预测方差会随远离训练特征而增大，并进而得到距离感知。</w:t>
      </w:r>
    </w:p>
    <w:p>
      <w:pPr>
        <w:pStyle w:val="BodyText"/>
        <w:widowControl/>
      </w:pPr>
      <w:r>
        <w:rPr>
          <w:bCs/>
          <w:b/>
        </w:rPr>
        <w:t xml:space="preserve">B 为什么要讲。</w:t>
      </w:r>
      <w:r>
        <w:t xml:space="preserve"> </w:t>
      </w:r>
      <w:r>
        <w:t xml:space="preserve">它为机制提供理论动机，但必须核查</w:t>
      </w:r>
      <w:r>
        <w:t xml:space="preserve">“</w:t>
      </w:r>
      <w:r>
        <w:t xml:space="preserve">尾部趋势</w:t>
      </w:r>
      <w:r>
        <w:t xml:space="preserve">”</w:t>
      </w:r>
      <w:r>
        <w:t xml:space="preserve">“</w:t>
      </w:r>
      <w:r>
        <w:t xml:space="preserve">全局单调</w:t>
      </w:r>
      <w:r>
        <w:t xml:space="preserve">”</w:t>
      </w:r>
      <w:r>
        <w:t xml:space="preserve">“</w:t>
      </w:r>
      <w:r>
        <w:t xml:space="preserve">实际训练网络</w:t>
      </w:r>
      <w:r>
        <w:t xml:space="preserve">”</w:t>
      </w:r>
      <w:r>
        <w:t xml:space="preserve">之间是否有充分条件连接。</w:t>
      </w:r>
    </w:p>
    <w:p>
      <w:pPr>
        <w:pStyle w:val="BodyText"/>
        <w:widowControl/>
      </w:pPr>
      <w:r>
        <w:rPr>
          <w:bCs/>
          <w:b/>
        </w:rPr>
        <w:t xml:space="preserve">C 关键概念。</w:t>
      </w:r>
      <w:r>
        <w:t xml:space="preserve"> </w:t>
      </w:r>
      <w:r>
        <w:t xml:space="preserve">尾部极限是距离趋于无穷时的行为；全局单调要求任意两点均满足排序。两者不同。Flow的基分布为高斯，也不意味着变换前特征的密度就是单个高斯。</w:t>
      </w:r>
    </w:p>
    <w:p>
      <w:pPr>
        <w:pStyle w:val="BodyText"/>
        <w:widowControl/>
      </w:pPr>
      <w:r>
        <w:rPr>
          <w:bCs/>
          <w:b/>
        </w:rPr>
        <w:t xml:space="preserve">D 关键关系及审读。</w:t>
      </w:r>
      <w:r>
        <w:t xml:space="preserve"> </w:t>
      </w:r>
      <w:r>
        <w:t xml:space="preserve">原文引理3.4、定理3.5–3.6、附录A4–A5：</w:t>
      </w:r>
    </w:p>
    <w:p>
      <w:pPr>
        <w:pStyle w:val="BodyText"/>
        <w:widowControl/>
      </w:pPr>
      <m:oMathPara>
        <m:oMathParaPr>
          <m:jc m:val="center"/>
        </m:oMathParaPr>
        <m:oMath>
          <m:sSup>
            <m:e>
              <m:r>
                <m:t>σ</m:t>
                <w:rPr>
                  <w:rFonts w:ascii="Cambria Math" w:hAnsi="Cambria Math"/>
                </w:rPr>
              </m:r>
            </m:e>
            <m:sup>
              <m:r>
                <m:t>2</m:t>
                <w:rPr>
                  <w:rFonts w:ascii="Cambria Math" w:hAnsi="Cambria Math"/>
                </w:rPr>
              </m:r>
            </m:sup>
          </m:sSup>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sSup>
                <m:e>
                  <m:r>
                    <m:t>e</m:t>
                    <w:rPr>
                      <w:rFonts w:ascii="Cambria Math" w:hAnsi="Cambria Math"/>
                    </w:rPr>
                  </m:r>
                </m:e>
                <m:sup>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den>
          </m:f>
          <m:r>
            <m:rPr>
              <m:sty m:val="p"/>
            </m:rPr>
            <m:t>,</m:t>
            <w:rPr>
              <w:rFonts w:ascii="Cambria Math" w:hAnsi="Cambria Math"/>
            </w:rPr>
          </m:r>
          <m:r>
            <m:t>  </m:t>
            <w:rPr>
              <w:rFonts w:ascii="Cambria Math" w:hAnsi="Cambria Math"/>
            </w:rPr>
          </m:r>
          <m:r>
            <m:t>H</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nor/>
              <m:sty m:val="p"/>
            </m:rPr>
            <m:t>log</m:t>
            <w:rPr>
              <w:rFonts w:ascii="Cambria Math" w:hAnsi="Cambria Math"/>
            </w:rPr>
          </m:r>
          <m:r>
            <m:rPr>
              <m:sty m:val="p"/>
            </m:rPr>
            <m:t>(</m:t>
            <w:rPr>
              <w:rFonts w:ascii="Cambria Math" w:hAnsi="Cambria Math"/>
            </w:rPr>
          </m:r>
          <m:r>
            <m:t>2</m:t>
            <w:rPr>
              <w:rFonts w:ascii="Cambria Math" w:hAnsi="Cambria Math"/>
            </w:rPr>
          </m:r>
          <m:r>
            <m:t>π</m:t>
            <w:rPr>
              <w:rFonts w:ascii="Cambria Math" w:hAnsi="Cambria Math"/>
            </w:rPr>
          </m:r>
          <m:r>
            <m:t>e</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r>
          <m:t>H</m:t>
          <w:rPr>
            <w:rFonts w:ascii="Cambria Math" w:hAnsi="Cambria Math"/>
          </w:rPr>
        </m:r>
      </m:oMath>
      <w:r>
        <w:t xml:space="preserve">是高斯微分熵，方差越大熵越大。若要从</w:t>
      </w:r>
      <w:r>
        <w:t xml:space="preserve"> </w:t>
      </w:r>
      <m:oMath>
        <m:sSub>
          <m:e>
            <m:r>
              <m:t>p</m:t>
              <w:rPr>
                <w:rFonts w:ascii="Cambria Math" w:hAnsi="Cambria Math"/>
              </w:rPr>
            </m:r>
          </m:e>
          <m:sub>
            <m:r>
              <m:t>Z</m:t>
              <w:rPr>
                <w:rFonts w:ascii="Cambria Math" w:hAnsi="Cambria Math"/>
              </w:rPr>
            </m:r>
          </m:sub>
        </m:sSub>
        <m:r>
          <m:rPr>
            <m:sty m:val="p"/>
          </m:rPr>
          <m:t>→</m:t>
          <w:rPr>
            <w:rFonts w:ascii="Cambria Math" w:hAnsi="Cambria Math"/>
          </w:rPr>
        </m:r>
        <m:r>
          <m:t>0</m:t>
          <w:rPr>
            <w:rFonts w:ascii="Cambria Math" w:hAnsi="Cambria Math"/>
          </w:rPr>
        </m:r>
      </m:oMath>
      <w:r>
        <w:t xml:space="preserve">推出方差趋于无穷，实际需要乘积</w:t>
      </w:r>
      <w:r>
        <w:t xml:space="preserve"> </w:t>
      </w:r>
      <m:oMath>
        <m:sSub>
          <m:e>
            <m:r>
              <m:t>p</m:t>
              <w:rPr>
                <w:rFonts w:ascii="Cambria Math" w:hAnsi="Cambria Math"/>
              </w:rPr>
            </m:r>
          </m:e>
          <m:sub>
            <m:r>
              <m:t>Z</m:t>
              <w:rPr>
                <w:rFonts w:ascii="Cambria Math" w:hAnsi="Cambria Math"/>
              </w:rPr>
            </m:r>
          </m:sub>
        </m:sSub>
        <m:sSup>
          <m:e>
            <m:r>
              <m:t>e</m:t>
              <w:rPr>
                <w:rFonts w:ascii="Cambria Math" w:hAnsi="Cambria Math"/>
              </w:rPr>
            </m:r>
          </m:e>
          <m:sup>
            <m:r>
              <m:t>s</m:t>
              <w:rPr>
                <w:rFonts w:ascii="Cambria Math" w:hAnsi="Cambria Math"/>
              </w:rPr>
            </m:r>
          </m:sup>
        </m:sSup>
        <m:r>
          <m:rPr>
            <m:sty m:val="p"/>
          </m:rPr>
          <m:t>→</m:t>
          <w:rPr>
            <w:rFonts w:ascii="Cambria Math" w:hAnsi="Cambria Math"/>
          </w:rPr>
        </m:r>
        <m:r>
          <m:t>0</m:t>
          <w:rPr>
            <w:rFonts w:ascii="Cambria Math" w:hAnsi="Cambria Math"/>
          </w:rPr>
        </m:r>
      </m:oMath>
      <w:r>
        <w:t xml:space="preserve">，仅有密度衰减尚不充分。</w:t>
      </w:r>
    </w:p>
    <w:p>
      <w:pPr>
        <w:pStyle w:val="BodyText"/>
        <w:widowControl/>
      </w:pPr>
      <w:r>
        <w:t xml:space="preserve">【研究分析】以下属于证明边界核查，不能冒充作者承认的结论：</w:t>
      </w:r>
    </w:p>
    <w:p>
      <w:pPr>
        <w:widowControl/>
        <w:numPr>
          <w:ilvl w:val="0"/>
          <w:numId w:val="1007"/>
        </w:numPr>
        <w:pStyle w:val="Compact"/>
      </w:pPr>
      <w:r>
        <w:t xml:space="preserve">引理主要讨论特定密度族的远处衰减，不能单独推出一般多峰分布的密度与期望距离全局反向排序。</w:t>
      </w:r>
    </w:p>
    <w:p>
      <w:pPr>
        <w:widowControl/>
        <w:numPr>
          <w:ilvl w:val="0"/>
          <w:numId w:val="1007"/>
        </w:numPr>
        <w:pStyle w:val="Compact"/>
      </w:pPr>
      <w:r>
        <w:t xml:space="preserve">附录A4把</w:t>
      </w:r>
      <w:r>
        <w:t xml:space="preserve">“</w:t>
      </w:r>
      <w:r>
        <w:t xml:space="preserve">距离趋于0</w:t>
      </w:r>
      <w:r>
        <w:t xml:space="preserve">”</w:t>
      </w:r>
      <w:r>
        <w:t xml:space="preserve">与</w:t>
      </w:r>
      <w:r>
        <w:t xml:space="preserve">“</w:t>
      </w:r>
      <w:r>
        <w:t xml:space="preserve">密度趋于无穷</w:t>
      </w:r>
      <w:r>
        <w:t xml:space="preserve">”</w:t>
      </w:r>
      <w:r>
        <w:t xml:space="preserve">联系起来，但非退化高斯在中心的密度有限。标准正态在中心密度约0.399，而到训练随机变量的期望绝对距离约0.798；这里的距离并非中心处必为0。</w:t>
      </w:r>
    </w:p>
    <w:p>
      <w:pPr>
        <w:widowControl/>
        <w:numPr>
          <w:ilvl w:val="0"/>
          <w:numId w:val="1007"/>
        </w:numPr>
        <w:pStyle w:val="Compact"/>
      </w:pPr>
      <w:r>
        <w:t xml:space="preserve">附录A5涉及把密度写为高斯形式的论证，不能直接覆盖任意Flow输出分布；雅可比和多峰结构不能忽略。</w:t>
      </w:r>
    </w:p>
    <w:p>
      <w:pPr>
        <w:widowControl/>
        <w:numPr>
          <w:ilvl w:val="0"/>
          <w:numId w:val="1007"/>
        </w:numPr>
        <w:pStyle w:val="Compact"/>
      </w:pPr>
      <w:r>
        <w:t xml:space="preserve">对密度求偏导时固定回归头相关项，只说明局部机制。输入变化时回归头也变，不能直接当作沿输入的总导数结论。</w:t>
      </w:r>
    </w:p>
    <w:p>
      <w:pPr>
        <w:widowControl/>
        <w:numPr>
          <w:ilvl w:val="0"/>
          <w:numId w:val="1007"/>
        </w:numPr>
        <w:pStyle w:val="Compact"/>
      </w:pPr>
      <w:r>
        <w:t xml:space="preserve">附录19页熵推导的积分书写省略了概率密度权重；正确二阶矩积分是</w:t>
      </w:r>
      <w:r>
        <w:t xml:space="preserve"> </w:t>
      </w:r>
      <m:oMath>
        <m:r>
          <m:rPr>
            <m:sty m:val="p"/>
          </m:rPr>
          <m:t>∫</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sSup>
          <m:e>
            <m:r>
              <m:rPr>
                <m:sty m:val="p"/>
              </m:rPr>
              <m:t>)</m:t>
              <w:rPr>
                <w:rFonts w:ascii="Cambria Math" w:hAnsi="Cambria Math"/>
              </w:rPr>
            </m:r>
          </m:e>
          <m:sup>
            <m:r>
              <m:t>2</m:t>
              <w:rPr>
                <w:rFonts w:ascii="Cambria Math" w:hAnsi="Cambria Math"/>
              </w:rPr>
            </m:r>
          </m:sup>
        </m:sSup>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 </m:t>
          <w:rPr>
            <w:rFonts w:ascii="Cambria Math" w:hAnsi="Cambria Math"/>
          </w:rPr>
        </m:r>
        <m:r>
          <m:t>d</m:t>
          <w:rPr>
            <w:rFonts w:ascii="Cambria Math" w:hAnsi="Cambria Math"/>
          </w:rPr>
        </m:r>
        <m:r>
          <m:t>y</m:t>
          <w:rPr>
            <w:rFonts w:ascii="Cambria Math" w:hAnsi="Cambria Math"/>
          </w:rPr>
        </m:r>
        <m:r>
          <m:rPr>
            <m:sty m:val="p"/>
          </m:rPr>
          <m:t>=</m:t>
          <w:rPr>
            <w:rFonts w:ascii="Cambria Math" w:hAnsi="Cambria Math"/>
          </w:rPr>
        </m:r>
        <m:sSup>
          <m:e>
            <m:r>
              <m:t>σ</m:t>
              <w:rPr>
                <w:rFonts w:ascii="Cambria Math" w:hAnsi="Cambria Math"/>
              </w:rPr>
            </m:r>
          </m:e>
          <m:sup>
            <m:r>
              <m:t>2</m:t>
              <w:rPr>
                <w:rFonts w:ascii="Cambria Math" w:hAnsi="Cambria Math"/>
              </w:rPr>
            </m:r>
          </m:sup>
        </m:sSup>
      </m:oMath>
      <w:r>
        <w:t xml:space="preserve">。最终高斯熵公式本身成立。</w:t>
      </w:r>
    </w:p>
    <w:p>
      <w:pPr>
        <w:pStyle w:val="FirstParagraph"/>
        <w:widowControl/>
      </w:pPr>
      <w:r>
        <w:t xml:space="preserve">因此可准确汇报</w:t>
      </w:r>
      <w:r>
        <w:t xml:space="preserve">“</w:t>
      </w:r>
      <w:r>
        <w:t xml:space="preserve">作者给出距离感知理论分析</w:t>
      </w:r>
      <w:r>
        <w:t xml:space="preserve">”</w:t>
      </w:r>
      <w:r>
        <w:t xml:space="preserve">，但在本研究中应把全局保证视为需检查分布、距离和回归头条件的主张。上述问题不自动否定实验结果，也不影响已推导出的固定因子反比机制。</w:t>
      </w:r>
    </w:p>
    <w:p>
      <w:pPr>
        <w:pStyle w:val="BodyText"/>
        <w:widowControl/>
      </w:pPr>
      <w:r>
        <w:rPr>
          <w:bCs/>
          <w:b/>
        </w:rPr>
        <w:t xml:space="preserve">E 真正重要的结论。</w:t>
      </w:r>
    </w:p>
    <w:p>
      <w:pPr>
        <w:widowControl/>
        <w:numPr>
          <w:ilvl w:val="0"/>
          <w:numId w:val="1008"/>
        </w:numPr>
        <w:pStyle w:val="Compact"/>
      </w:pPr>
      <w:r>
        <w:t xml:space="preserve">尾部衰减不等于所有输入的正确排序。</w:t>
      </w:r>
    </w:p>
    <w:p>
      <w:pPr>
        <w:widowControl/>
        <w:numPr>
          <w:ilvl w:val="0"/>
          <w:numId w:val="1008"/>
        </w:numPr>
        <w:pStyle w:val="Compact"/>
      </w:pPr>
      <w:r>
        <w:t xml:space="preserve">理论发生在特征空间，不能直接保证原始变量越界必检出。</w:t>
      </w:r>
    </w:p>
    <w:p>
      <w:pPr>
        <w:widowControl/>
        <w:numPr>
          <w:ilvl w:val="0"/>
          <w:numId w:val="1008"/>
        </w:numPr>
        <w:pStyle w:val="Compact"/>
      </w:pPr>
      <w:r>
        <w:t xml:space="preserve">工程采用前仍需独立检测实验。</w:t>
      </w:r>
    </w:p>
    <w:bookmarkEnd w:id="31"/>
    <w:bookmarkStart w:id="32" w:name="experiments"/>
    <w:p>
      <w:pPr>
        <w:pStyle w:val="Heading3"/>
        <w:widowControl/>
      </w:pPr>
      <w:r>
        <w:rPr>
          <w:color w:val="000000"/>
        </w:rPr>
        <w:t xml:space="preserve">3 7 Experiments</w:t>
      </w:r>
    </w:p>
    <w:p>
      <w:pPr>
        <w:pStyle w:val="FirstParagraph"/>
        <w:widowControl/>
      </w:pPr>
      <w:r>
        <w:rPr>
          <w:bCs/>
          <w:b/>
        </w:rPr>
        <w:t xml:space="preserve">A 这一节在讲什么。</w:t>
      </w:r>
      <w:r>
        <w:t xml:space="preserve"> </w:t>
      </w:r>
      <w:r>
        <w:t xml:space="preserve">用简单函数展示外推区间，再用天气、葡萄酒与图像验证分布变化，补充常规回归基准及效率。</w:t>
      </w:r>
    </w:p>
    <w:p>
      <w:pPr>
        <w:pStyle w:val="BodyText"/>
        <w:widowControl/>
      </w:pPr>
      <w:r>
        <w:rPr>
          <w:bCs/>
          <w:b/>
        </w:rPr>
        <w:t xml:space="preserve">B 为什么要讲。</w:t>
      </w:r>
      <w:r>
        <w:t xml:space="preserve"> </w:t>
      </w:r>
      <w:r>
        <w:t xml:space="preserve">回答模型是否准确、概率是否校准、推理是否更省资源，而不是只看一张置信区间图。</w:t>
      </w:r>
    </w:p>
    <w:p>
      <w:pPr>
        <w:pStyle w:val="BodyText"/>
        <w:widowControl/>
      </w:pPr>
      <w:r>
        <w:rPr>
          <w:bCs/>
          <w:b/>
        </w:rPr>
        <w:t xml:space="preserve">C 关键概念。</w:t>
      </w:r>
      <w:r>
        <w:t xml:space="preserve"> </w:t>
      </w:r>
      <w:r>
        <w:t xml:space="preserve">IID为同分布评价，OOD为不同域评价，cOOD为人为扰动评价。真实回归目标与</w:t>
      </w:r>
      <w:r>
        <w:t xml:space="preserve">“</w:t>
      </w:r>
      <w:r>
        <w:t xml:space="preserve">ID/OOD域标签</w:t>
      </w:r>
      <w:r>
        <w:t xml:space="preserve">”</w:t>
      </w:r>
      <w:r>
        <w:t xml:space="preserve">是两种标签。域标签说明来源差异，不代表每个样本必定超出所有训练变量的范围。</w:t>
      </w:r>
    </w:p>
    <w:p>
      <w:pPr>
        <w:pStyle w:val="BodyText"/>
        <w:widowControl/>
      </w:pPr>
      <w:r>
        <w:rPr>
          <w:bCs/>
          <w:b/>
        </w:rPr>
        <w:t xml:space="preserve">D 必要公式。</w:t>
      </w:r>
      <w:r>
        <w:t xml:space="preserve"> </w:t>
      </w:r>
      <w:r>
        <w:t xml:space="preserve">RMSE为</w:t>
      </w:r>
      <w:r>
        <w:t xml:space="preserve"> </w:t>
      </w:r>
      <m:oMath>
        <m:rad>
          <m:radPr>
            <m:degHide m:val="1"/>
          </m:radPr>
          <m:deg/>
          <m:e>
            <m:sSup>
              <m:e>
                <m:r>
                  <m:t>n</m:t>
                  <w:rPr>
                    <w:rFonts w:ascii="Cambria Math" w:hAnsi="Cambria Math"/>
                  </w:rPr>
                </m:r>
              </m:e>
              <m:sup>
                <m:r>
                  <m:rPr>
                    <m:sty m:val="p"/>
                  </m:rPr>
                  <m:t>−</m:t>
                  <w:rPr>
                    <w:rFonts w:ascii="Cambria Math" w:hAnsi="Cambria Math"/>
                  </w:rPr>
                </m:r>
                <m:r>
                  <m:t>1</m:t>
                  <w:rPr>
                    <w:rFonts w:ascii="Cambria Math" w:hAnsi="Cambria Math"/>
                  </w:rPr>
                </m:r>
              </m:sup>
            </m:sSup>
            <m:nary>
              <m:naryPr>
                <m:chr m:val="∑"/>
                <m:limLoc m:val="undOvr"/>
                <m:subHide m:val="0"/>
                <m:supHide m:val="1"/>
              </m:naryPr>
              <m:sub>
                <m:r>
                  <m:t>i</m:t>
                  <w:rPr>
                    <w:rFonts w:ascii="Cambria Math" w:hAnsi="Cambria Math"/>
                  </w:rPr>
                </m:r>
              </m:sub>
              <m:sup>
                <m:r>
                  <m:t>​</m:t>
                  <w:rPr>
                    <w:rFonts w:ascii="Cambria Math" w:hAnsi="Cambria Math"/>
                  </w:rPr>
                </m:r>
              </m:sup>
              <m:e>
                <m:r>
                  <m:rPr>
                    <m:sty m:val="p"/>
                  </m:rPr>
                  <m:t>(</m:t>
                  <w:rPr>
                    <w:rFonts w:ascii="Cambria Math" w:hAnsi="Cambria Math"/>
                  </w:rPr>
                </m:r>
              </m:e>
            </m:nary>
            <m:sSub>
              <m:e>
                <m:r>
                  <m:t>y</m:t>
                  <w:rPr>
                    <w:rFonts w:ascii="Cambria Math" w:hAnsi="Cambria Math"/>
                  </w:rPr>
                </m:r>
              </m:e>
              <m:sub>
                <m:r>
                  <m:t>i</m:t>
                  <w:rPr>
                    <w:rFonts w:ascii="Cambria Math" w:hAnsi="Cambria Math"/>
                  </w:rPr>
                </m:r>
              </m:sub>
            </m:sSub>
            <m:r>
              <m:rPr>
                <m:sty m:val="p"/>
              </m:rPr>
              <m:t>−</m:t>
              <w:rPr>
                <w:rFonts w:ascii="Cambria Math" w:hAnsi="Cambria Math"/>
              </w:rPr>
            </m:r>
            <m:sSub>
              <m:e>
                <m:r>
                  <m:t>μ</m:t>
                  <w:rPr>
                    <w:rFonts w:ascii="Cambria Math" w:hAnsi="Cambria Math"/>
                  </w:rPr>
                </m:r>
              </m:e>
              <m:sub>
                <m:r>
                  <m:t>i</m:t>
                  <w:rPr>
                    <w:rFonts w:ascii="Cambria Math" w:hAnsi="Cambria Math"/>
                  </w:rPr>
                </m:r>
              </m:sub>
            </m:sSub>
            <m:sSup>
              <m:e>
                <m:r>
                  <m:rPr>
                    <m:sty m:val="p"/>
                  </m:rPr>
                  <m:t>)</m:t>
                  <w:rPr>
                    <w:rFonts w:ascii="Cambria Math" w:hAnsi="Cambria Math"/>
                  </w:rPr>
                </m:r>
              </m:e>
              <m:sup>
                <m:r>
                  <m:t>2</m:t>
                  <w:rPr>
                    <w:rFonts w:ascii="Cambria Math" w:hAnsi="Cambria Math"/>
                  </w:rPr>
                </m:r>
              </m:sup>
            </m:sSup>
          </m:e>
        </m:rad>
      </m:oMath>
      <w:r>
        <w:t xml:space="preserve">；其他指标见3.2–3.3。FGSM可写为</w:t>
      </w:r>
      <w:r>
        <w:t xml:space="preserve"> </w:t>
      </w:r>
      <m:oMath>
        <m:r>
          <m:t>x</m:t>
          <w:rPr>
            <w:rFonts w:ascii="Cambria Math" w:hAnsi="Cambria Math"/>
          </w:rPr>
        </m:r>
        <m:r>
          <m:rPr>
            <m:sty m:val="p"/>
          </m:rPr>
          <m:t>′</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ϵ</m:t>
          <w:rPr>
            <w:rFonts w:ascii="Cambria Math" w:hAnsi="Cambria Math"/>
          </w:rPr>
        </m:r>
        <m:r>
          <m:rPr>
            <m:nor/>
            <m:sty m:val="p"/>
          </m:rPr>
          <m:t>sign</m:t>
          <w:rPr>
            <w:rFonts w:ascii="Cambria Math" w:hAnsi="Cambria Math"/>
          </w:rPr>
        </m:r>
        <m:r>
          <m:rPr>
            <m:sty m:val="p"/>
          </m:rPr>
          <m:t>(</m:t>
          <w:rPr>
            <w:rFonts w:ascii="Cambria Math" w:hAnsi="Cambria Math"/>
          </w:rPr>
        </m:r>
        <m:sSub>
          <m:e>
            <m:r>
              <m:rPr>
                <m:sty m:val="p"/>
              </m:rPr>
              <m:t>∇</m:t>
              <w:rPr>
                <w:rFonts w:ascii="Cambria Math" w:hAnsi="Cambria Math"/>
              </w:rPr>
            </m:r>
          </m:e>
          <m:sub>
            <m:r>
              <m:t>x</m:t>
              <w:rPr>
                <w:rFonts w:ascii="Cambria Math" w:hAnsi="Cambria Math"/>
              </w:rPr>
            </m:r>
          </m:sub>
        </m:sSub>
        <m:r>
          <m:rPr>
            <m:sty m:val="p"/>
          </m:rPr>
          <m:t>ℓ</m:t>
          <w:rPr>
            <w:rFonts w:ascii="Cambria Math" w:hAnsi="Cambria Math"/>
          </w:rPr>
        </m:r>
        <m:r>
          <m:rPr>
            <m:sty m:val="p"/>
          </m:rPr>
          <m:t>)</m:t>
          <w:rPr>
            <w:rFonts w:ascii="Cambria Math" w:hAnsi="Cambria Math"/>
          </w:rPr>
        </m:r>
      </m:oMath>
      <w:r>
        <w:t xml:space="preserve">，</w:t>
      </w:r>
      <m:oMath>
        <m:r>
          <m:t>ϵ</m:t>
          <w:rPr>
            <w:rFonts w:ascii="Cambria Math" w:hAnsi="Cambria Math"/>
          </w:rPr>
        </m:r>
      </m:oMath>
      <w:r>
        <w:t xml:space="preserve">为扰动幅度。该式用于构造攻击样本，不能误当本方法在线评分公式；攻击生成所需标签或梯度与实际检测时所需信息应分开。</w:t>
      </w:r>
    </w:p>
    <w:p>
      <w:pPr>
        <w:pStyle w:val="BodyText"/>
        <w:widowControl/>
      </w:pPr>
      <w:r>
        <w:rPr>
          <w:bCs/>
          <w:b/>
        </w:rPr>
        <w:t xml:space="preserve">E 真正重要的结论。</w:t>
      </w:r>
    </w:p>
    <w:p>
      <w:pPr>
        <w:widowControl/>
        <w:numPr>
          <w:ilvl w:val="0"/>
          <w:numId w:val="1009"/>
        </w:numPr>
        <w:pStyle w:val="Compact"/>
      </w:pPr>
      <w:r>
        <w:t xml:space="preserve">多个任务中校准指标有改善，结果需逐项比较。</w:t>
      </w:r>
    </w:p>
    <w:p>
      <w:pPr>
        <w:widowControl/>
        <w:numPr>
          <w:ilvl w:val="0"/>
          <w:numId w:val="1009"/>
        </w:numPr>
        <w:pStyle w:val="Compact"/>
      </w:pPr>
      <w:r>
        <w:t xml:space="preserve">本方法并非在每个任务每个指标上最佳。</w:t>
      </w:r>
    </w:p>
    <w:p>
      <w:pPr>
        <w:widowControl/>
        <w:numPr>
          <w:ilvl w:val="0"/>
          <w:numId w:val="1009"/>
        </w:numPr>
        <w:pStyle w:val="Compact"/>
      </w:pPr>
      <w:r>
        <w:t xml:space="preserve">原文没有提供AUROC、AUPR、FPR95或运行阈值。</w:t>
      </w:r>
    </w:p>
    <w:bookmarkEnd w:id="32"/>
    <w:bookmarkStart w:id="33" w:name="related-work与conclusion"/>
    <w:p>
      <w:pPr>
        <w:pStyle w:val="Heading3"/>
        <w:widowControl/>
      </w:pPr>
      <w:r>
        <w:rPr>
          <w:color w:val="000000"/>
        </w:rPr>
        <w:t xml:space="preserve">3 8 Related Work与Conclusion</w:t>
      </w:r>
    </w:p>
    <w:p>
      <w:pPr>
        <w:pStyle w:val="FirstParagraph"/>
        <w:widowControl/>
      </w:pPr>
      <w:r>
        <w:rPr>
          <w:bCs/>
          <w:b/>
        </w:rPr>
        <w:t xml:space="preserve">A 这一节在讲什么。</w:t>
      </w:r>
      <w:r>
        <w:t xml:space="preserve"> </w:t>
      </w:r>
      <w:r>
        <w:t xml:space="preserve">作者把方法放在采样式不确定性、单次预测不确定性、密度辅助方法的背景中，并总结效率和可靠性的贡献。</w:t>
      </w:r>
    </w:p>
    <w:p>
      <w:pPr>
        <w:pStyle w:val="BodyText"/>
        <w:widowControl/>
      </w:pPr>
      <w:r>
        <w:rPr>
          <w:bCs/>
          <w:b/>
        </w:rPr>
        <w:t xml:space="preserve">B 为什么要讲。</w:t>
      </w:r>
      <w:r>
        <w:t xml:space="preserve"> </w:t>
      </w:r>
      <w:r>
        <w:t xml:space="preserve">确认创新点是将密度纳入回归分布参数，并非</w:t>
      </w:r>
      <w:r>
        <w:t xml:space="preserve">“</w:t>
      </w:r>
      <w:r>
        <w:t xml:space="preserve">第一次计算密度</w:t>
      </w:r>
      <w:r>
        <w:t xml:space="preserve">”</w:t>
      </w:r>
      <w:r>
        <w:t xml:space="preserve">或</w:t>
      </w:r>
      <w:r>
        <w:t xml:space="preserve">“</w:t>
      </w:r>
      <w:r>
        <w:t xml:space="preserve">第一次做异常检测</w:t>
      </w:r>
      <w:r>
        <w:t xml:space="preserve">”</w:t>
      </w:r>
      <w:r>
        <w:t xml:space="preserve">。</w:t>
      </w:r>
    </w:p>
    <w:p>
      <w:pPr>
        <w:pStyle w:val="BodyText"/>
        <w:widowControl/>
      </w:pPr>
      <w:r>
        <w:rPr>
          <w:bCs/>
          <w:b/>
        </w:rPr>
        <w:t xml:space="preserve">C 关键概念。</w:t>
      </w:r>
      <w:r>
        <w:t xml:space="preserve"> </w:t>
      </w:r>
      <w:r>
        <w:t xml:space="preserve">后校准是在训练后调整概率输出；先验是概率模型预设的信息；采样式方法通过重复输出估计变化。作者主张其方法不依赖额外OOD训练样本或测试时预设先验调节，但仍有结构、优化器、密度模型等超参数。</w:t>
      </w:r>
    </w:p>
    <w:p>
      <w:pPr>
        <w:pStyle w:val="BodyText"/>
        <w:widowControl/>
      </w:pPr>
      <w:r>
        <w:rPr>
          <w:bCs/>
          <w:b/>
        </w:rPr>
        <w:t xml:space="preserve">D 关键公式。</w:t>
      </w:r>
      <w:r>
        <w:t xml:space="preserve"> </w:t>
      </w:r>
      <w:r>
        <w:t xml:space="preserve">无需增加新公式。集成比较使用3.2的方差分解；本篇机制使用3.4的密度调节式。</w:t>
      </w:r>
    </w:p>
    <w:p>
      <w:pPr>
        <w:pStyle w:val="BodyText"/>
        <w:widowControl/>
      </w:pPr>
      <w:r>
        <w:rPr>
          <w:bCs/>
          <w:b/>
        </w:rPr>
        <w:t xml:space="preserve">E 真正重要的结论。</w:t>
      </w:r>
    </w:p>
    <w:p>
      <w:pPr>
        <w:widowControl/>
        <w:numPr>
          <w:ilvl w:val="0"/>
          <w:numId w:val="1010"/>
        </w:numPr>
        <w:pStyle w:val="Compact"/>
      </w:pPr>
      <w:r>
        <w:t xml:space="preserve">本方法是面向回归的模型设计，不是任意黑箱预测器的即插即用外部检测器。</w:t>
      </w:r>
    </w:p>
    <w:p>
      <w:pPr>
        <w:widowControl/>
        <w:numPr>
          <w:ilvl w:val="0"/>
          <w:numId w:val="1010"/>
        </w:numPr>
        <w:pStyle w:val="Compact"/>
      </w:pPr>
      <w:r>
        <w:t xml:space="preserve">结论应限制在已经评估的任务与指标；基础设施闭环控制仍是外推应用。</w:t>
      </w:r>
    </w:p>
    <w:bookmarkEnd w:id="33"/>
    <w:bookmarkEnd w:id="34"/>
    <w:bookmarkStart w:id="37" w:name="四-学习外定义与方法分类"/>
    <w:p>
      <w:pPr>
        <w:pStyle w:val="Heading2"/>
        <w:widowControl/>
      </w:pPr>
      <w:r>
        <w:rPr>
          <w:color w:val="000000"/>
        </w:rPr>
        <w:t xml:space="preserve">四 学习外定义与方法分类</w:t>
      </w:r>
    </w:p>
    <w:bookmarkStart w:id="35" w:name="原文定义与本研究分类的对应"/>
    <w:p>
      <w:pPr>
        <w:pStyle w:val="Heading3"/>
        <w:widowControl/>
      </w:pPr>
      <w:r>
        <w:rPr>
          <w:color w:val="000000"/>
        </w:rPr>
        <w:t xml:space="preserve">4 1 原文定义与本研究分类的对应</w:t>
      </w:r>
    </w:p>
    <w:p>
      <w:pPr>
        <w:pStyle w:val="FirstParagraph"/>
        <w:widowControl/>
      </w:pPr>
      <w:r>
        <w:t xml:space="preserve">原文2页用训练联合分布与测试联合分布的相似或不同区分IID和OOD，没有给出统一的原始输入最小最大值边界，也未定义</w:t>
      </w:r>
      <w:r>
        <w:t xml:space="preserve">“</w:t>
      </w:r>
      <w:r>
        <w:t xml:space="preserve">训练不足区域</w:t>
      </w:r>
      <w:r>
        <w:t xml:space="preserve">”</w:t>
      </w:r>
      <w:r>
        <w:t xml:space="preserve">的最低样本数。【研究分析】本方法把低特征密度当作熟悉程度的代理，但低密度、距离远、输入越界和预测关系变化不能互换。</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本研究类别</w:t>
            </w:r>
          </w:p>
        </w:tc>
        <w:tc>
          <w:tcPr>
            <w:tcW w:type="dxa" w:w="3946"/>
            <w:vAlign w:val="center"/>
            <w:shd w:fill="E7EDF3"/>
          </w:tcPr>
          <w:p>
            <w:pPr>
              <w:pStyle w:val="Compact"/>
              <w:keepNext w:val="0"/>
              <w:spacing w:after="40" w:before="40" w:line="264" w:lineRule="auto"/>
              <w:jc w:val="left"/>
            </w:pPr>
            <w:r>
              <w:rPr>
                <w:b/>
                <w:color w:val="000000"/>
                <w:sz w:val="19"/>
              </w:rPr>
              <w:t xml:space="preserve">本篇对应情况</w:t>
            </w:r>
          </w:p>
        </w:tc>
        <w:tc>
          <w:tcPr>
            <w:tcW w:type="dxa" w:w="3749"/>
            <w:vAlign w:val="center"/>
            <w:shd w:fill="E7EDF3"/>
          </w:tcPr>
          <w:p>
            <w:pPr>
              <w:pStyle w:val="Compact"/>
              <w:keepNext w:val="0"/>
              <w:spacing w:after="40" w:before="40" w:line="264" w:lineRule="auto"/>
              <w:jc w:val="left"/>
            </w:pPr>
            <w:r>
              <w:rPr>
                <w:b/>
                <w:color w:val="000000"/>
                <w:sz w:val="19"/>
              </w:rPr>
              <w:t xml:space="preserve">能否由实验直接确认</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① 超出训练分布或范围</w:t>
            </w:r>
          </w:p>
        </w:tc>
        <w:tc>
          <w:tcPr>
            <w:tcW w:type="dxa" w:w="3946"/>
            <w:vAlign w:val="center"/>
            <w:shd w:fill="FFFFFF"/>
          </w:tcPr>
          <w:p>
            <w:pPr>
              <w:pStyle w:val="Compact"/>
              <w:keepNext w:val="0"/>
              <w:spacing w:after="40" w:before="40" w:line="264" w:lineRule="auto"/>
              <w:jc w:val="left"/>
            </w:pPr>
            <w:r>
              <w:rPr>
                <w:color w:val="000000"/>
                <w:sz w:val="19"/>
              </w:rPr>
              <w:t xml:space="preserve">玩具函数区间外；天气跨地点年份、红白葡萄酒、室内外图像属于域变化</w:t>
            </w:r>
          </w:p>
        </w:tc>
        <w:tc>
          <w:tcPr>
            <w:tcW w:type="dxa" w:w="3749"/>
            <w:vAlign w:val="center"/>
            <w:shd w:fill="FFFFFF"/>
          </w:tcPr>
          <w:p>
            <w:pPr>
              <w:pStyle w:val="Compact"/>
              <w:keepNext w:val="0"/>
              <w:spacing w:after="40" w:before="40" w:line="264" w:lineRule="auto"/>
              <w:jc w:val="left"/>
            </w:pPr>
            <w:r>
              <w:rPr>
                <w:color w:val="000000"/>
                <w:sz w:val="19"/>
              </w:rPr>
              <w:t xml:space="preserve">玩具范围外明确；其余是分布变化，不保证逐变量越界</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② 训练不足或低密度</w:t>
            </w:r>
          </w:p>
        </w:tc>
        <w:tc>
          <w:tcPr>
            <w:tcW w:type="dxa" w:w="3946"/>
            <w:vAlign w:val="center"/>
            <w:shd w:fill="F7F8FA"/>
          </w:tcPr>
          <w:p>
            <w:pPr>
              <w:pStyle w:val="Compact"/>
              <w:keepNext w:val="0"/>
              <w:spacing w:after="40" w:before="40" w:line="264" w:lineRule="auto"/>
              <w:jc w:val="left"/>
            </w:pPr>
            <w:r>
              <w:rPr>
                <w:color w:val="000000"/>
                <w:sz w:val="19"/>
              </w:rPr>
              <w:t xml:space="preserve">方法机制直接使用特征密度</w:t>
            </w:r>
          </w:p>
        </w:tc>
        <w:tc>
          <w:tcPr>
            <w:tcW w:type="dxa" w:w="3749"/>
            <w:vAlign w:val="center"/>
            <w:shd w:fill="F7F8FA"/>
          </w:tcPr>
          <w:p>
            <w:pPr>
              <w:pStyle w:val="Compact"/>
              <w:keepNext w:val="0"/>
              <w:spacing w:after="40" w:before="40" w:line="264" w:lineRule="auto"/>
              <w:jc w:val="left"/>
            </w:pPr>
            <w:r>
              <w:rPr>
                <w:color w:val="000000"/>
                <w:sz w:val="19"/>
              </w:rPr>
              <w:t xml:space="preserve">未单独构造可控的稀疏训练区并报告检出率</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③ 新变量组合或相关关系</w:t>
            </w:r>
          </w:p>
        </w:tc>
        <w:tc>
          <w:tcPr>
            <w:tcW w:type="dxa" w:w="3946"/>
            <w:vAlign w:val="center"/>
            <w:shd w:fill="FFFFFF"/>
          </w:tcPr>
          <w:p>
            <w:pPr>
              <w:pStyle w:val="Compact"/>
              <w:keepNext w:val="0"/>
              <w:spacing w:after="40" w:before="40" w:line="264" w:lineRule="auto"/>
              <w:jc w:val="left"/>
            </w:pPr>
            <w:r>
              <w:rPr>
                <w:color w:val="000000"/>
                <w:sz w:val="19"/>
              </w:rPr>
              <w:t xml:space="preserve">联合特征密度原则上可能感知</w:t>
            </w:r>
          </w:p>
        </w:tc>
        <w:tc>
          <w:tcPr>
            <w:tcW w:type="dxa" w:w="3749"/>
            <w:vAlign w:val="center"/>
            <w:shd w:fill="FFFFFF"/>
          </w:tcPr>
          <w:p>
            <w:pPr>
              <w:pStyle w:val="Compact"/>
              <w:keepNext w:val="0"/>
              <w:spacing w:after="40" w:before="40" w:line="264" w:lineRule="auto"/>
              <w:jc w:val="left"/>
            </w:pPr>
            <w:r>
              <w:rPr>
                <w:color w:val="000000"/>
                <w:sz w:val="19"/>
              </w:rPr>
              <w:t xml:space="preserve">未固定边缘分布、只改变相关关系做隔离实验</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仅</w:t>
            </w:r>
            <w:r>
              <w:rPr>
                <w:color w:val="000000"/>
                <w:sz w:val="19"/>
              </w:rPr>
              <w:t xml:space="preserve"> </w:t>
            </w: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rPr>
                <w:color w:val="000000"/>
                <w:sz w:val="19"/>
              </w:rPr>
              <w:t xml:space="preserve">改变</w:t>
            </w:r>
          </w:p>
        </w:tc>
        <w:tc>
          <w:tcPr>
            <w:tcW w:type="dxa" w:w="3946"/>
            <w:vAlign w:val="center"/>
            <w:shd w:fill="F7F8FA"/>
          </w:tcPr>
          <w:p>
            <w:pPr>
              <w:pStyle w:val="Compact"/>
              <w:keepNext w:val="0"/>
              <w:spacing w:after="40" w:before="40" w:line="264" w:lineRule="auto"/>
              <w:jc w:val="left"/>
            </w:pPr>
            <w:r>
              <w:rPr>
                <w:color w:val="000000"/>
                <w:sz w:val="19"/>
              </w:rPr>
              <w:t xml:space="preserve">固定输入分布下真实预测关系变化</w:t>
            </w:r>
          </w:p>
        </w:tc>
        <w:tc>
          <w:tcPr>
            <w:tcW w:type="dxa" w:w="3749"/>
            <w:vAlign w:val="center"/>
            <w:shd w:fill="F7F8FA"/>
          </w:tcPr>
          <w:p>
            <w:pPr>
              <w:pStyle w:val="Compact"/>
              <w:keepNext w:val="0"/>
              <w:spacing w:after="40" w:before="40" w:line="264" w:lineRule="auto"/>
              <w:jc w:val="left"/>
            </w:pPr>
            <w:r>
              <w:rPr>
                <w:color w:val="000000"/>
                <w:sz w:val="19"/>
              </w:rPr>
              <w:t xml:space="preserve">只看输入的密度无法保证发现，需要后续目标或其他信息</w:t>
            </w:r>
          </w:p>
        </w:tc>
      </w:tr>
    </w:tbl>
    <w:p>
      <w:pPr>
        <w:pStyle w:val="BodyText"/>
        <w:widowControl/>
      </w:pPr>
      <w:r>
        <w:t xml:space="preserve">Point Anomaly针对单个观测；Contextual Anomaly依赖季节、工况等上下文；Collective Anomaly依赖一段序列或一组观测。它们与①②③属于不同分类轴，可同时成立。白葡萄酒对红葡萄酒训练模型是OOD，但并不是现实中的</w:t>
      </w:r>
      <w:r>
        <w:t xml:space="preserve">“</w:t>
      </w:r>
      <w:r>
        <w:t xml:space="preserve">坏酒</w:t>
      </w:r>
      <w:r>
        <w:t xml:space="preserve">”</w:t>
      </w:r>
      <w:r>
        <w:t xml:space="preserve">或物理异常。</w:t>
      </w:r>
    </w:p>
    <w:p>
      <w:pPr>
        <w:pStyle w:val="BodyText"/>
        <w:widowControl/>
      </w:pPr>
      <w:r>
        <w:t xml:space="preserve">二维相关关系例【教学分析，非本篇实验】：设编码器为恒等映射，两变量的训练分布是均值为零、方差均为1、相关系数0.99的二维高斯。其协方差矩阵为</w:t>
      </w:r>
      <w:r>
        <w:t xml:space="preserve"> </w:t>
      </w:r>
      <m:oMath>
        <m:r>
          <m:t>Σ</m:t>
          <w:rPr>
            <w:rFonts w:ascii="Cambria Math" w:hAnsi="Cambria Math"/>
          </w:rPr>
        </m:r>
        <m:r>
          <m:rPr>
            <m:sty m:val="p"/>
          </m:rPr>
          <m:t>=</m:t>
          <w:rPr>
            <w:rFonts w:ascii="Cambria Math" w:hAnsi="Cambria Math"/>
          </w:rPr>
        </m:r>
        <m:d>
          <m:dPr>
            <m:begChr m:val="["/>
            <m:endChr m:val="]"/>
            <m:grow/>
          </m:dPr>
          <m:e>
            <m:m>
              <m:mPr>
                <m:baseJc m:val="center"/>
                <m:plcHide m:val="1"/>
                <m:mcs>
                  <m:mc>
                    <m:mcPr>
                      <m:mcJc m:val="center"/>
                      <m:count m:val="1"/>
                    </m:mcPr>
                  </m:mc>
                  <m:mc>
                    <m:mcPr>
                      <m:mcJc m:val="center"/>
                      <m:count m:val="1"/>
                    </m:mcPr>
                  </m:mc>
                </m:mcs>
              </m:mPr>
              <m:mr>
                <m:e>
                  <m:r>
                    <m:t>1</m:t>
                    <w:rPr>
                      <w:rFonts w:ascii="Cambria Math" w:hAnsi="Cambria Math"/>
                    </w:rPr>
                  </m:r>
                </m:e>
                <m:e>
                  <m:r>
                    <m:t>0.99</m:t>
                    <w:rPr>
                      <w:rFonts w:ascii="Cambria Math" w:hAnsi="Cambria Math"/>
                    </w:rPr>
                  </m:r>
                </m:e>
              </m:mr>
              <m:mr>
                <m:e>
                  <m:r>
                    <m:t>0.99</m:t>
                    <w:rPr>
                      <w:rFonts w:ascii="Cambria Math" w:hAnsi="Cambria Math"/>
                    </w:rPr>
                  </m:r>
                </m:e>
                <m:e>
                  <m:r>
                    <m:t>1</m:t>
                    <w:rPr>
                      <w:rFonts w:ascii="Cambria Math" w:hAnsi="Cambria Math"/>
                    </w:rPr>
                  </m:r>
                </m:e>
              </m:mr>
            </m:m>
          </m:e>
        </m:d>
      </m:oMath>
      <w:r>
        <w:t xml:space="preserve">。输入</w:t>
      </w:r>
      <w:r>
        <w:t xml:space="preserve"> </w:t>
      </w:r>
      <m:oMath>
        <m:r>
          <m:rPr>
            <m:sty m:val="p"/>
          </m:rPr>
          <m:t>(</m:t>
          <w:rPr>
            <w:rFonts w:ascii="Cambria Math" w:hAnsi="Cambria Math"/>
          </w:rPr>
        </m:r>
        <m:r>
          <m:t>1</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与</w:t>
      </w:r>
      <w:r>
        <w:t xml:space="preserve"> </w:t>
      </w:r>
      <m:oMath>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的各分量都落在假定的观测范围</w:t>
      </w:r>
      <w:r>
        <w:t xml:space="preserve"> </w:t>
      </w:r>
      <m:oMath>
        <m:r>
          <m:rPr>
            <m:sty m:val="p"/>
          </m:rPr>
          <m:t>[</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oMath>
      <w:r>
        <w:t xml:space="preserve">内，单变量范围检查不能区分它们；但两点的联合密度约为0.683和</w:t>
      </w:r>
      <w:r>
        <w:t xml:space="preserve"> </w:t>
      </w:r>
      <m:oMath>
        <m:r>
          <m:t>4.20</m:t>
          <w:rPr>
            <w:rFonts w:ascii="Cambria Math" w:hAnsi="Cambria Math"/>
          </w:rPr>
        </m:r>
        <m:r>
          <m:rPr>
            <m:sty m:val="p"/>
          </m:rPr>
          <m:t>×</m:t>
          <w:rPr>
            <w:rFonts w:ascii="Cambria Math" w:hAnsi="Cambria Math"/>
          </w:rPr>
        </m:r>
        <m:sSup>
          <m:e>
            <m:r>
              <m:t>10</m:t>
              <w:rPr>
                <w:rFonts w:ascii="Cambria Math" w:hAnsi="Cambria Math"/>
              </w:rPr>
            </m:r>
          </m:e>
          <m:sup>
            <m:r>
              <m:rPr>
                <m:sty m:val="p"/>
              </m:rPr>
              <m:t>−</m:t>
              <w:rPr>
                <w:rFonts w:ascii="Cambria Math" w:hAnsi="Cambria Math"/>
              </w:rPr>
            </m:r>
            <m:r>
              <m:t>44</m:t>
              <w:rPr>
                <w:rFonts w:ascii="Cambria Math" w:hAnsi="Cambria Math"/>
              </w:rPr>
            </m:r>
          </m:sup>
        </m:sSup>
      </m:oMath>
      <w:r>
        <w:t xml:space="preserve">。原因是训练中两变量几乎同向变化，反向组合极罕见。这个例子说明联合密度为何有机会识别③；它假设密度正确且关系保留在特征中，并不证明本文训练模型一定做到这一点。高斯理论支持无界，例中的</w:t>
      </w:r>
      <w:r>
        <w:t xml:space="preserve"> </w:t>
      </w:r>
      <m:oMath>
        <m:r>
          <m:rPr>
            <m:sty m:val="p"/>
          </m:rPr>
          <m:t>[</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oMath>
      <w:r>
        <w:t xml:space="preserve">仅是教学设定的观测范围。</w:t>
      </w:r>
    </w:p>
    <w:bookmarkEnd w:id="35"/>
    <w:bookmarkStart w:id="36" w:name="分类标准与方法位置"/>
    <w:p>
      <w:pPr>
        <w:pStyle w:val="Heading3"/>
        <w:widowControl/>
      </w:pPr>
      <w:r>
        <w:rPr>
          <w:color w:val="000000"/>
        </w:rPr>
        <w:t xml:space="preserve">4 2 分类标准与方法位置</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分类轴</w:t>
            </w:r>
          </w:p>
        </w:tc>
        <w:tc>
          <w:tcPr>
            <w:tcW w:type="dxa" w:w="2762"/>
            <w:vAlign w:val="center"/>
            <w:shd w:fill="E7EDF3"/>
          </w:tcPr>
          <w:p>
            <w:pPr>
              <w:pStyle w:val="Compact"/>
              <w:keepNext w:val="0"/>
              <w:spacing w:after="40" w:before="40" w:line="264" w:lineRule="auto"/>
              <w:jc w:val="left"/>
            </w:pPr>
            <w:r>
              <w:rPr>
                <w:b/>
                <w:color w:val="000000"/>
                <w:sz w:val="19"/>
              </w:rPr>
              <w:t xml:space="preserve">类别</w:t>
            </w:r>
          </w:p>
        </w:tc>
        <w:tc>
          <w:tcPr>
            <w:tcW w:type="dxa" w:w="2466"/>
            <w:vAlign w:val="center"/>
            <w:shd w:fill="E7EDF3"/>
          </w:tcPr>
          <w:p>
            <w:pPr>
              <w:pStyle w:val="Compact"/>
              <w:keepNext w:val="0"/>
              <w:spacing w:after="40" w:before="40" w:line="264" w:lineRule="auto"/>
              <w:jc w:val="left"/>
            </w:pPr>
            <w:r>
              <w:rPr>
                <w:b/>
                <w:color w:val="000000"/>
                <w:sz w:val="19"/>
              </w:rPr>
              <w:t xml:space="preserve">典型评价对象</w:t>
            </w:r>
          </w:p>
        </w:tc>
        <w:tc>
          <w:tcPr>
            <w:tcW w:type="dxa" w:w="2762"/>
            <w:vAlign w:val="center"/>
            <w:shd w:fill="E7EDF3"/>
          </w:tcPr>
          <w:p>
            <w:pPr>
              <w:pStyle w:val="Compact"/>
              <w:keepNext w:val="0"/>
              <w:spacing w:after="40" w:before="40" w:line="264" w:lineRule="auto"/>
              <w:jc w:val="left"/>
            </w:pPr>
            <w:r>
              <w:rPr>
                <w:b/>
                <w:color w:val="000000"/>
                <w:sz w:val="19"/>
              </w:rPr>
              <w:t xml:space="preserve">本篇位置</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评分依据</w:t>
            </w:r>
          </w:p>
        </w:tc>
        <w:tc>
          <w:tcPr>
            <w:tcW w:type="dxa" w:w="2762"/>
            <w:vAlign w:val="center"/>
            <w:shd w:fill="FFFFFF"/>
          </w:tcPr>
          <w:p>
            <w:pPr>
              <w:pStyle w:val="Compact"/>
              <w:keepNext w:val="0"/>
              <w:spacing w:after="40" w:before="40" w:line="264" w:lineRule="auto"/>
              <w:jc w:val="left"/>
            </w:pPr>
            <w:r>
              <w:rPr>
                <w:color w:val="000000"/>
                <w:sz w:val="19"/>
              </w:rPr>
              <w:t xml:space="preserve">范围或距离</w:t>
            </w:r>
          </w:p>
        </w:tc>
        <w:tc>
          <w:tcPr>
            <w:tcW w:type="dxa" w:w="2466"/>
            <w:vAlign w:val="center"/>
            <w:shd w:fill="FFFFFF"/>
          </w:tcPr>
          <w:p>
            <w:pPr>
              <w:pStyle w:val="Compact"/>
              <w:keepNext w:val="0"/>
              <w:spacing w:after="40" w:before="40" w:line="264" w:lineRule="auto"/>
              <w:jc w:val="left"/>
            </w:pPr>
            <w:r>
              <w:rPr>
                <w:color w:val="000000"/>
                <w:sz w:val="19"/>
              </w:rPr>
              <w:t xml:space="preserve">原始变量越界、最近邻距离</w:t>
            </w:r>
          </w:p>
        </w:tc>
        <w:tc>
          <w:tcPr>
            <w:tcW w:type="dxa" w:w="2762"/>
            <w:vAlign w:val="center"/>
            <w:shd w:fill="FFFFFF"/>
          </w:tcPr>
          <w:p>
            <w:pPr>
              <w:pStyle w:val="Compact"/>
              <w:keepNext w:val="0"/>
              <w:spacing w:after="40" w:before="40" w:line="264" w:lineRule="auto"/>
              <w:jc w:val="left"/>
            </w:pPr>
            <w:r>
              <w:rPr>
                <w:color w:val="000000"/>
                <w:sz w:val="19"/>
              </w:rPr>
              <w:t xml:space="preserve">非直接方法</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评分依据</w:t>
            </w:r>
          </w:p>
        </w:tc>
        <w:tc>
          <w:tcPr>
            <w:tcW w:type="dxa" w:w="2762"/>
            <w:vAlign w:val="center"/>
            <w:shd w:fill="F7F8FA"/>
          </w:tcPr>
          <w:p>
            <w:pPr>
              <w:pStyle w:val="Compact"/>
              <w:keepNext w:val="0"/>
              <w:spacing w:after="40" w:before="40" w:line="264" w:lineRule="auto"/>
              <w:jc w:val="left"/>
            </w:pPr>
            <w:r>
              <w:rPr>
                <w:color w:val="000000"/>
                <w:sz w:val="19"/>
              </w:rPr>
              <w:t xml:space="preserve">概率密度</w:t>
            </w:r>
          </w:p>
        </w:tc>
        <w:tc>
          <w:tcPr>
            <w:tcW w:type="dxa" w:w="2466"/>
            <w:vAlign w:val="center"/>
            <w:shd w:fill="F7F8FA"/>
          </w:tcPr>
          <w:p>
            <w:pPr>
              <w:pStyle w:val="Compact"/>
              <w:keepNext w:val="0"/>
              <w:spacing w:after="40" w:before="40" w:line="264" w:lineRule="auto"/>
              <w:jc w:val="left"/>
            </w:pPr>
            <w:r>
              <w:rPr>
                <w:color w:val="000000"/>
                <w:sz w:val="19"/>
              </w:rPr>
              <w:t xml:space="preserve">原始或特征联合密度</w:t>
            </w:r>
          </w:p>
        </w:tc>
        <w:tc>
          <w:tcPr>
            <w:tcW w:type="dxa" w:w="2762"/>
            <w:vAlign w:val="center"/>
            <w:shd w:fill="F7F8FA"/>
          </w:tcPr>
          <w:p>
            <w:pPr>
              <w:pStyle w:val="Compact"/>
              <w:keepNext w:val="0"/>
              <w:spacing w:after="40" w:before="40" w:line="264" w:lineRule="auto"/>
              <w:jc w:val="left"/>
            </w:pPr>
            <w:r>
              <w:rPr>
                <w:color w:val="000000"/>
                <w:sz w:val="19"/>
              </w:rPr>
              <w:t xml:space="preserve">核心组成部分是特征密度</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评分依据</w:t>
            </w:r>
          </w:p>
        </w:tc>
        <w:tc>
          <w:tcPr>
            <w:tcW w:type="dxa" w:w="2762"/>
            <w:vAlign w:val="center"/>
            <w:shd w:fill="FFFFFF"/>
          </w:tcPr>
          <w:p>
            <w:pPr>
              <w:pStyle w:val="Compact"/>
              <w:keepNext w:val="0"/>
              <w:spacing w:after="40" w:before="40" w:line="264" w:lineRule="auto"/>
              <w:jc w:val="left"/>
            </w:pPr>
            <w:r>
              <w:rPr>
                <w:color w:val="000000"/>
                <w:sz w:val="19"/>
              </w:rPr>
              <w:t xml:space="preserve">预测不确定性</w:t>
            </w:r>
          </w:p>
        </w:tc>
        <w:tc>
          <w:tcPr>
            <w:tcW w:type="dxa" w:w="2466"/>
            <w:vAlign w:val="center"/>
            <w:shd w:fill="FFFFFF"/>
          </w:tcPr>
          <w:p>
            <w:pPr>
              <w:pStyle w:val="Compact"/>
              <w:keepNext w:val="0"/>
              <w:spacing w:after="40" w:before="40" w:line="264" w:lineRule="auto"/>
              <w:jc w:val="left"/>
            </w:pPr>
            <w:r>
              <w:rPr>
                <w:color w:val="000000"/>
                <w:sz w:val="19"/>
              </w:rPr>
              <w:t xml:space="preserve">方差、熵、集成分歧</w:t>
            </w:r>
          </w:p>
        </w:tc>
        <w:tc>
          <w:tcPr>
            <w:tcW w:type="dxa" w:w="2762"/>
            <w:vAlign w:val="center"/>
            <w:shd w:fill="FFFFFF"/>
          </w:tcPr>
          <w:p>
            <w:pPr>
              <w:pStyle w:val="Compact"/>
              <w:keepNext w:val="0"/>
              <w:spacing w:after="40" w:before="40" w:line="264" w:lineRule="auto"/>
              <w:jc w:val="left"/>
            </w:pPr>
            <w:r>
              <w:rPr>
                <w:color w:val="000000"/>
                <w:sz w:val="19"/>
              </w:rPr>
              <w:t xml:space="preserve">最终输出是密度调节后的预测方差</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评分依据</w:t>
            </w:r>
          </w:p>
        </w:tc>
        <w:tc>
          <w:tcPr>
            <w:tcW w:type="dxa" w:w="2762"/>
            <w:vAlign w:val="center"/>
            <w:shd w:fill="F7F8FA"/>
          </w:tcPr>
          <w:p>
            <w:pPr>
              <w:pStyle w:val="Compact"/>
              <w:keepNext w:val="0"/>
              <w:spacing w:after="40" w:before="40" w:line="264" w:lineRule="auto"/>
              <w:jc w:val="left"/>
            </w:pPr>
            <w:r>
              <w:rPr>
                <w:color w:val="000000"/>
                <w:sz w:val="19"/>
              </w:rPr>
              <w:t xml:space="preserve">其他</w:t>
            </w:r>
          </w:p>
        </w:tc>
        <w:tc>
          <w:tcPr>
            <w:tcW w:type="dxa" w:w="2466"/>
            <w:vAlign w:val="center"/>
            <w:shd w:fill="F7F8FA"/>
          </w:tcPr>
          <w:p>
            <w:pPr>
              <w:pStyle w:val="Compact"/>
              <w:keepNext w:val="0"/>
              <w:spacing w:after="40" w:before="40" w:line="264" w:lineRule="auto"/>
              <w:jc w:val="left"/>
            </w:pPr>
            <w:r>
              <w:rPr>
                <w:color w:val="000000"/>
                <w:sz w:val="19"/>
              </w:rPr>
              <w:t xml:space="preserve">重构误差、残差、规则等</w:t>
            </w:r>
          </w:p>
        </w:tc>
        <w:tc>
          <w:tcPr>
            <w:tcW w:type="dxa" w:w="2762"/>
            <w:vAlign w:val="center"/>
            <w:shd w:fill="F7F8FA"/>
          </w:tcPr>
          <w:p>
            <w:pPr>
              <w:pStyle w:val="Compact"/>
              <w:keepNext w:val="0"/>
              <w:spacing w:after="40" w:before="40" w:line="264" w:lineRule="auto"/>
              <w:jc w:val="left"/>
            </w:pPr>
            <w:r>
              <w:rPr>
                <w:color w:val="000000"/>
                <w:sz w:val="19"/>
              </w:rPr>
              <w:t xml:space="preserve">本篇不以这些为主要评分</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模型依赖</w:t>
            </w:r>
          </w:p>
        </w:tc>
        <w:tc>
          <w:tcPr>
            <w:tcW w:type="dxa" w:w="2762"/>
            <w:vAlign w:val="center"/>
            <w:shd w:fill="FFFFFF"/>
          </w:tcPr>
          <w:p>
            <w:pPr>
              <w:pStyle w:val="Compact"/>
              <w:keepNext w:val="0"/>
              <w:spacing w:after="40" w:before="40" w:line="264" w:lineRule="auto"/>
              <w:jc w:val="left"/>
            </w:pPr>
            <w:r>
              <w:rPr>
                <w:color w:val="000000"/>
                <w:sz w:val="19"/>
              </w:rPr>
              <w:t xml:space="preserve">输入独立检测或模型耦合</w:t>
            </w:r>
          </w:p>
        </w:tc>
        <w:tc>
          <w:tcPr>
            <w:tcW w:type="dxa" w:w="2466"/>
            <w:vAlign w:val="center"/>
            <w:shd w:fill="FFFFFF"/>
          </w:tcPr>
          <w:p>
            <w:pPr>
              <w:pStyle w:val="Compact"/>
              <w:keepNext w:val="0"/>
              <w:spacing w:after="40" w:before="40" w:line="264" w:lineRule="auto"/>
              <w:jc w:val="left"/>
            </w:pPr>
            <w:r>
              <w:rPr>
                <w:color w:val="000000"/>
                <w:sz w:val="19"/>
              </w:rPr>
              <w:t xml:space="preserve">是否要读取或改造目标模型</w:t>
            </w:r>
          </w:p>
        </w:tc>
        <w:tc>
          <w:tcPr>
            <w:tcW w:type="dxa" w:w="2762"/>
            <w:vAlign w:val="center"/>
            <w:shd w:fill="FFFFFF"/>
          </w:tcPr>
          <w:p>
            <w:pPr>
              <w:pStyle w:val="Compact"/>
              <w:keepNext w:val="0"/>
              <w:spacing w:after="40" w:before="40" w:line="264" w:lineRule="auto"/>
              <w:jc w:val="left"/>
            </w:pPr>
            <w:r>
              <w:rPr>
                <w:color w:val="000000"/>
                <w:sz w:val="19"/>
              </w:rPr>
              <w:t xml:space="preserve">模型耦合，需要编码器与专用回归头</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监督信息</w:t>
            </w:r>
          </w:p>
        </w:tc>
        <w:tc>
          <w:tcPr>
            <w:tcW w:type="dxa" w:w="2762"/>
            <w:vAlign w:val="center"/>
            <w:shd w:fill="F7F8FA"/>
          </w:tcPr>
          <w:p>
            <w:pPr>
              <w:pStyle w:val="Compact"/>
              <w:keepNext w:val="0"/>
              <w:spacing w:after="40" w:before="40" w:line="264" w:lineRule="auto"/>
              <w:jc w:val="left"/>
            </w:pPr>
            <w:r>
              <w:rPr>
                <w:color w:val="000000"/>
                <w:sz w:val="19"/>
              </w:rPr>
              <w:t xml:space="preserve">无标签、回归标签、OOD标签</w:t>
            </w:r>
          </w:p>
        </w:tc>
        <w:tc>
          <w:tcPr>
            <w:tcW w:type="dxa" w:w="2466"/>
            <w:vAlign w:val="center"/>
            <w:shd w:fill="F7F8FA"/>
          </w:tcPr>
          <w:p>
            <w:pPr>
              <w:pStyle w:val="Compact"/>
              <w:keepNext w:val="0"/>
              <w:spacing w:after="40" w:before="40" w:line="264" w:lineRule="auto"/>
              <w:jc w:val="left"/>
            </w:pPr>
            <w:r>
              <w:rPr>
                <w:color w:val="000000"/>
                <w:sz w:val="19"/>
              </w:rPr>
              <w:t xml:space="preserve">训练信息种类</w:t>
            </w:r>
          </w:p>
        </w:tc>
        <w:tc>
          <w:tcPr>
            <w:tcW w:type="dxa" w:w="2762"/>
            <w:vAlign w:val="center"/>
            <w:shd w:fill="F7F8FA"/>
          </w:tcPr>
          <w:p>
            <w:pPr>
              <w:pStyle w:val="Compact"/>
              <w:keepNext w:val="0"/>
              <w:spacing w:after="40" w:before="40" w:line="264" w:lineRule="auto"/>
              <w:jc w:val="left"/>
            </w:pPr>
            <w:r>
              <w:rPr>
                <w:color w:val="000000"/>
                <w:sz w:val="19"/>
              </w:rPr>
              <w:t xml:space="preserve">整体需回归标签，不要求OOD训练标签</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时间单位</w:t>
            </w:r>
          </w:p>
        </w:tc>
        <w:tc>
          <w:tcPr>
            <w:tcW w:type="dxa" w:w="2762"/>
            <w:vAlign w:val="center"/>
            <w:shd w:fill="FFFFFF"/>
          </w:tcPr>
          <w:p>
            <w:pPr>
              <w:pStyle w:val="Compact"/>
              <w:keepNext w:val="0"/>
              <w:spacing w:after="40" w:before="40" w:line="264" w:lineRule="auto"/>
              <w:jc w:val="left"/>
            </w:pPr>
            <w:r>
              <w:rPr>
                <w:color w:val="000000"/>
                <w:sz w:val="19"/>
              </w:rPr>
              <w:t xml:space="preserve">单点或序列窗口</w:t>
            </w:r>
          </w:p>
        </w:tc>
        <w:tc>
          <w:tcPr>
            <w:tcW w:type="dxa" w:w="2466"/>
            <w:vAlign w:val="center"/>
            <w:shd w:fill="FFFFFF"/>
          </w:tcPr>
          <w:p>
            <w:pPr>
              <w:pStyle w:val="Compact"/>
              <w:keepNext w:val="0"/>
              <w:spacing w:after="40" w:before="40" w:line="264" w:lineRule="auto"/>
              <w:jc w:val="left"/>
            </w:pPr>
            <w:r>
              <w:rPr>
                <w:color w:val="000000"/>
                <w:sz w:val="19"/>
              </w:rPr>
              <w:t xml:space="preserve">一次评价的数据范围</w:t>
            </w:r>
          </w:p>
        </w:tc>
        <w:tc>
          <w:tcPr>
            <w:tcW w:type="dxa" w:w="2762"/>
            <w:vAlign w:val="center"/>
            <w:shd w:fill="FFFFFF"/>
          </w:tcPr>
          <w:p>
            <w:pPr>
              <w:pStyle w:val="Compact"/>
              <w:keepNext w:val="0"/>
              <w:spacing w:after="40" w:before="40" w:line="264" w:lineRule="auto"/>
              <w:jc w:val="left"/>
            </w:pPr>
            <w:r>
              <w:rPr>
                <w:color w:val="000000"/>
                <w:sz w:val="19"/>
              </w:rPr>
              <w:t xml:space="preserve">框架可接不同编码器；天气具体窗口未完整确认</w:t>
            </w:r>
          </w:p>
        </w:tc>
      </w:tr>
    </w:tbl>
    <w:p>
      <w:pPr>
        <w:pStyle w:val="BodyText"/>
        <w:widowControl/>
      </w:pPr>
      <w:r>
        <w:t xml:space="preserve">建议在大型总报告中记为</w:t>
      </w:r>
      <w:r>
        <w:t xml:space="preserve">“</w:t>
      </w:r>
      <w:r>
        <w:t xml:space="preserve">特征密度辅助的回归预测不确定性方法</w:t>
      </w:r>
      <w:r>
        <w:t xml:space="preserve">”</w:t>
      </w:r>
      <w:r>
        <w:t xml:space="preserve">，同时保留</w:t>
      </w:r>
      <w:r>
        <w:t xml:space="preserve">“</w:t>
      </w:r>
      <w:r>
        <w:t xml:space="preserve">尚未完成独立OOD检测评价</w:t>
      </w:r>
      <w:r>
        <w:t xml:space="preserve">”</w:t>
      </w:r>
      <w:r>
        <w:t xml:space="preserve">字段，避免重复计入两个互斥类别。</w:t>
      </w:r>
    </w:p>
    <w:bookmarkEnd w:id="36"/>
    <w:bookmarkEnd w:id="37"/>
    <w:bookmarkStart w:id="42" w:name="五-检测算法-评价与应用条件"/>
    <w:p>
      <w:pPr>
        <w:pStyle w:val="Heading2"/>
        <w:widowControl/>
      </w:pPr>
      <w:r>
        <w:rPr>
          <w:color w:val="000000"/>
        </w:rPr>
        <w:t xml:space="preserve">五 检测算法 评价与应用条件</w:t>
      </w:r>
    </w:p>
    <w:bookmarkStart w:id="38" w:name="原方法能提供什么与还缺什么"/>
    <w:p>
      <w:pPr>
        <w:pStyle w:val="Heading3"/>
        <w:widowControl/>
      </w:pPr>
      <w:r>
        <w:rPr>
          <w:color w:val="000000"/>
        </w:rPr>
        <w:t xml:space="preserve">5 1 原方法能提供什么与还缺什么</w:t>
      </w:r>
    </w:p>
    <w:p>
      <w:pPr>
        <w:pStyle w:val="FirstParagraph"/>
        <w:widowControl/>
      </w:pPr>
      <w:r>
        <w:t xml:space="preserve">原算法的完整流程见3.5。其评价对象是条件预测分布；可用输出为特征密度、均值和方差。训练需要学习内的输入与真实回归目标；部署时需要输入、预处理参数、编码器、密度模型和回归头，不需要实时真实目标。它不能在只有黑箱预测值、无法获得特征或重新训练输出头时直接照搬。</w:t>
      </w:r>
    </w:p>
    <w:p>
      <w:pPr>
        <w:pStyle w:val="BodyText"/>
        <w:widowControl/>
      </w:pPr>
      <w:r>
        <w:t xml:space="preserve">【应用建议，非论文算法】如要转为学习外检测，可分别比较：</w:t>
      </w:r>
    </w:p>
    <w:p>
      <w:pPr>
        <w:pStyle w:val="BodyText"/>
        <w:widowControl/>
      </w:pPr>
      <m:oMathPara>
        <m:oMathParaPr>
          <m:jc m:val="center"/>
        </m:oMathParaPr>
        <m:oMath>
          <m:sSub>
            <m:e>
              <m:r>
                <m:t>S</m:t>
                <w:rPr>
                  <w:rFonts w:ascii="Cambria Math" w:hAnsi="Cambria Math"/>
                </w:rPr>
              </m:r>
            </m:e>
            <m:sub>
              <m:r>
                <m:rPr>
                  <m:sty m:val="p"/>
                </m:rPr>
                <m:t>d</m:t>
                <w:rPr>
                  <w:rFonts w:ascii="Cambria Math" w:hAnsi="Cambria Math"/>
                </w:rPr>
              </m:r>
              <m:r>
                <m:rPr>
                  <m:sty m:val="p"/>
                </m:rPr>
                <m:t>e</m:t>
                <w:rPr>
                  <w:rFonts w:ascii="Cambria Math" w:hAnsi="Cambria Math"/>
                </w:rPr>
              </m:r>
              <m:r>
                <m:rPr>
                  <m:sty m:val="p"/>
                </m:rPr>
                <m:t>n</m:t>
                <w:rPr>
                  <w:rFonts w:ascii="Cambria Math" w:hAnsi="Cambria Math"/>
                </w:rPr>
              </m:r>
              <m:r>
                <m:rPr>
                  <m:sty m:val="p"/>
                </m:rPr>
                <m:t>s</m:t>
                <w:rPr>
                  <w:rFonts w:ascii="Cambria Math" w:hAnsi="Cambria Math"/>
                </w:rPr>
              </m:r>
              <m:r>
                <m:rPr>
                  <m:sty m:val="p"/>
                </m:rPr>
                <m:t>i</m:t>
                <w:rPr>
                  <w:rFonts w:ascii="Cambria Math" w:hAnsi="Cambria Math"/>
                </w:rPr>
              </m:r>
              <m:r>
                <m:rPr>
                  <m:sty m:val="p"/>
                </m:rPr>
                <m:t>t</m:t>
                <w:rPr>
                  <w:rFonts w:ascii="Cambria Math" w:hAnsi="Cambria Math"/>
                </w:rPr>
              </m:r>
              <m:r>
                <m:rPr>
                  <m:sty m:val="p"/>
                </m:rPr>
                <m:t>y</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sSub>
            <m:e>
              <m:r>
                <m:t>S</m:t>
                <w:rPr>
                  <w:rFonts w:ascii="Cambria Math" w:hAnsi="Cambria Math"/>
                </w:rPr>
              </m:r>
            </m:e>
            <m:sub>
              <m:r>
                <m:rPr>
                  <m:sty m:val="p"/>
                </m:rPr>
                <m:t>u</m:t>
                <w:rPr>
                  <w:rFonts w:ascii="Cambria Math" w:hAnsi="Cambria Math"/>
                </w:rPr>
              </m:r>
              <m:r>
                <m:rPr>
                  <m:sty m:val="p"/>
                </m:rPr>
                <m:t>n</m:t>
                <w:rPr>
                  <w:rFonts w:ascii="Cambria Math" w:hAnsi="Cambria Math"/>
                </w:rPr>
              </m:r>
              <m:r>
                <m:rPr>
                  <m:sty m:val="p"/>
                </m:rPr>
                <m:t>c</m:t>
                <w:rPr>
                  <w:rFonts w:ascii="Cambria Math" w:hAnsi="Cambria Math"/>
                </w:rPr>
              </m:r>
              <m:r>
                <m:rPr>
                  <m:sty m:val="p"/>
                </m:rPr>
                <m:t>e</m:t>
                <w:rPr>
                  <w:rFonts w:ascii="Cambria Math" w:hAnsi="Cambria Math"/>
                </w:rPr>
              </m:r>
              <m:r>
                <m:rPr>
                  <m:sty m:val="p"/>
                </m:rPr>
                <m:t>r</m:t>
                <w:rPr>
                  <w:rFonts w:ascii="Cambria Math" w:hAnsi="Cambria Math"/>
                </w:rPr>
              </m:r>
              <m:r>
                <m:rPr>
                  <m:sty m:val="p"/>
                </m:rPr>
                <m:t>t</m:t>
                <w:rPr>
                  <w:rFonts w:ascii="Cambria Math" w:hAnsi="Cambria Math"/>
                </w:rPr>
              </m:r>
              <m:r>
                <m:rPr>
                  <m:sty m:val="p"/>
                </m:rPr>
                <m:t>a</m:t>
                <w:rPr>
                  <w:rFonts w:ascii="Cambria Math" w:hAnsi="Cambria Math"/>
                </w:rPr>
              </m:r>
              <m:r>
                <m:rPr>
                  <m:sty m:val="p"/>
                </m:rPr>
                <m:t>i</m:t>
                <w:rPr>
                  <w:rFonts w:ascii="Cambria Math" w:hAnsi="Cambria Math"/>
                </w:rPr>
              </m:r>
              <m:r>
                <m:rPr>
                  <m:sty m:val="p"/>
                </m:rPr>
                <m:t>n</m:t>
                <w:rPr>
                  <w:rFonts w:ascii="Cambria Math" w:hAnsi="Cambria Math"/>
                </w:rPr>
              </m:r>
              <m:r>
                <m:rPr>
                  <m:sty m:val="p"/>
                </m:rPr>
                <m:t>t</m:t>
                <w:rPr>
                  <w:rFonts w:ascii="Cambria Math" w:hAnsi="Cambria Math"/>
                </w:rPr>
              </m:r>
              <m:r>
                <m:rPr>
                  <m:sty m:val="p"/>
                </m:rPr>
                <m:t>y</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acc>
            <m:accPr>
              <m:chr m:val="̂"/>
            </m:accPr>
            <m:e>
              <m:r>
                <m:t>o</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b"/>
            </m:rPr>
            <m:t>1</m:t>
            <w:rPr>
              <w:rFonts w:ascii="Cambria Math" w:hAnsi="Cambria Math"/>
            </w:rPr>
          </m:r>
          <m:r>
            <m:rPr>
              <m:sty m:val="p"/>
            </m:rPr>
            <m:t>{</m:t>
            <w:rPr>
              <w:rFonts w:ascii="Cambria Math" w:hAnsi="Cambria Math"/>
            </w:rPr>
          </m:r>
          <m:r>
            <m:t>S</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&gt;</m:t>
            <w:rPr>
              <w:rFonts w:ascii="Cambria Math" w:hAnsi="Cambria Math"/>
            </w:rPr>
          </m:r>
          <m:r>
            <m:t>τ</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r>
          <m:t>S</m:t>
          <w:rPr>
            <w:rFonts w:ascii="Cambria Math" w:hAnsi="Cambria Math"/>
          </w:rPr>
        </m:r>
      </m:oMath>
      <w:r>
        <w:t xml:space="preserve">为高分代表风险高的分数，</w:t>
      </w:r>
      <m:oMath>
        <m:r>
          <m:t>τ</m:t>
          <w:rPr>
            <w:rFonts w:ascii="Cambria Math" w:hAnsi="Cambria Math"/>
          </w:rPr>
        </m:r>
      </m:oMath>
      <w:r>
        <w:t xml:space="preserve">为阈值，</w:t>
      </w:r>
      <m:oMath>
        <m:acc>
          <m:accPr>
            <m:chr m:val="̂"/>
          </m:accPr>
          <m:e>
            <m:r>
              <m:t>o</m:t>
              <w:rPr>
                <w:rFonts w:ascii="Cambria Math" w:hAnsi="Cambria Math"/>
              </w:rPr>
            </m:r>
          </m:e>
        </m:acc>
        <m:r>
          <m:rPr>
            <m:sty m:val="p"/>
          </m:rPr>
          <m:t>=</m:t>
          <w:rPr>
            <w:rFonts w:ascii="Cambria Math" w:hAnsi="Cambria Math"/>
          </w:rPr>
        </m:r>
        <m:r>
          <m:t>1</m:t>
          <w:rPr>
            <w:rFonts w:ascii="Cambria Math" w:hAnsi="Cambria Math"/>
          </w:rPr>
        </m:r>
      </m:oMath>
      <w:r>
        <w:t xml:space="preserve">表示学习外告警。两个分数不等价，因为</w:t>
      </w:r>
      <w:r>
        <w:t xml:space="preserve"> </w:t>
      </w:r>
      <m:oMath>
        <m:r>
          <m:rPr>
            <m:nor/>
            <m:sty m:val="p"/>
          </m:rPr>
          <m:t>log</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r>
          <m:rPr>
            <m:nor/>
            <m:sty m:val="p"/>
          </m:rPr>
          <m:t>log</m:t>
          <w:rPr>
            <w:rFonts w:ascii="Cambria Math" w:hAnsi="Cambria Math"/>
          </w:rPr>
        </m:r>
        <m:r>
          <m:t>2</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s</m:t>
          <w:rPr>
            <w:rFonts w:ascii="Cambria Math" w:hAnsi="Cambria Math"/>
          </w:rPr>
        </m:r>
      </m:oMath>
      <w:r>
        <w:t xml:space="preserve">。高噪声但熟悉的输入可能得到大方差，密度分数与方差分数需分别验证。</w:t>
      </w:r>
    </w:p>
    <w:p>
      <w:pPr>
        <w:pStyle w:val="BodyText"/>
        <w:widowControl/>
      </w:pPr>
      <w:r>
        <w:t xml:space="preserve">原文没有规定阈值。建议以独立学习内校准集上分数的</w:t>
      </w:r>
      <w:r>
        <w:t xml:space="preserve"> </w:t>
      </w:r>
      <m:oMath>
        <m:r>
          <m:t>1</m:t>
          <w:rPr>
            <w:rFonts w:ascii="Cambria Math" w:hAnsi="Cambria Math"/>
          </w:rPr>
        </m:r>
        <m:r>
          <m:rPr>
            <m:sty m:val="p"/>
          </m:rPr>
          <m:t>−</m:t>
          <w:rPr>
            <w:rFonts w:ascii="Cambria Math" w:hAnsi="Cambria Math"/>
          </w:rPr>
        </m:r>
        <m:r>
          <m:t>α</m:t>
          <w:rPr>
            <w:rFonts w:ascii="Cambria Math" w:hAnsi="Cambria Math"/>
          </w:rPr>
        </m:r>
      </m:oMath>
      <w:r>
        <w:t xml:space="preserve">经验分位数设阈值；</w:t>
      </w:r>
      <m:oMath>
        <m:r>
          <m:t>α</m:t>
          <w:rPr>
            <w:rFonts w:ascii="Cambria Math" w:hAnsi="Cambria Math"/>
          </w:rPr>
        </m:r>
      </m:oMath>
      <w:r>
        <w:t xml:space="preserve">为计划误报水平。该经验设置不自动保证分布变化或时间依赖下的误报率。若利用带标签OOD数据选阈值，应把其限定为开发集，最终测试保持独立。时间序列还需评估连续超阈、恢复阈值与报警合并对误报和延迟的影响。</w:t>
      </w:r>
    </w:p>
    <w:bookmarkEnd w:id="38"/>
    <w:bookmarkStart w:id="39" w:name="评价标签与指标"/>
    <w:p>
      <w:pPr>
        <w:pStyle w:val="Heading3"/>
        <w:widowControl/>
      </w:pPr>
      <w:r>
        <w:rPr>
          <w:color w:val="000000"/>
        </w:rPr>
        <w:t xml:space="preserve">5 2 评价标签与指标</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847"/>
        <w:gridCol w:w="3847"/>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问题</w:t>
            </w:r>
          </w:p>
        </w:tc>
        <w:tc>
          <w:tcPr>
            <w:tcW w:type="dxa" w:w="3847"/>
            <w:vAlign w:val="center"/>
            <w:shd w:fill="E7EDF3"/>
          </w:tcPr>
          <w:p>
            <w:pPr>
              <w:pStyle w:val="Compact"/>
              <w:keepNext w:val="0"/>
              <w:spacing w:after="40" w:before="40" w:line="264" w:lineRule="auto"/>
              <w:jc w:val="left"/>
            </w:pPr>
            <w:r>
              <w:rPr>
                <w:b/>
                <w:color w:val="000000"/>
                <w:sz w:val="19"/>
              </w:rPr>
              <w:t xml:space="preserve">原文情况</w:t>
            </w:r>
          </w:p>
        </w:tc>
        <w:tc>
          <w:tcPr>
            <w:tcW w:type="dxa" w:w="3847"/>
            <w:vAlign w:val="center"/>
            <w:shd w:fill="E7EDF3"/>
          </w:tcPr>
          <w:p>
            <w:pPr>
              <w:pStyle w:val="Compact"/>
              <w:keepNext w:val="0"/>
              <w:spacing w:after="40" w:before="40" w:line="264" w:lineRule="auto"/>
              <w:jc w:val="left"/>
            </w:pPr>
            <w:r>
              <w:rPr>
                <w:b/>
                <w:color w:val="000000"/>
                <w:sz w:val="19"/>
              </w:rPr>
              <w:t xml:space="preserve">本研究需要补充</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是否有真实</w:t>
            </w:r>
            <w:r>
              <w:rPr>
                <w:color w:val="000000"/>
                <w:sz w:val="19"/>
              </w:rPr>
              <w:t xml:space="preserve"> </w:t>
            </w:r>
            <m:oMath>
              <m:r>
                <m:t>y</m:t>
                <w:rPr>
                  <w:rFonts w:ascii="Cambria Math" w:hAnsi="Cambria Math"/>
                </w:rPr>
              </m:r>
            </m:oMath>
          </w:p>
        </w:tc>
        <w:tc>
          <w:tcPr>
            <w:tcW w:type="dxa" w:w="3847"/>
            <w:vAlign w:val="center"/>
            <w:shd w:fill="FFFFFF"/>
          </w:tcPr>
          <w:p>
            <w:pPr>
              <w:pStyle w:val="Compact"/>
              <w:keepNext w:val="0"/>
              <w:spacing w:after="40" w:before="40" w:line="264" w:lineRule="auto"/>
              <w:jc w:val="left"/>
            </w:pPr>
            <w:r>
              <w:rPr>
                <w:color w:val="000000"/>
                <w:sz w:val="19"/>
              </w:rPr>
              <w:t xml:space="preserve">有；函数值、温度、酒质、深度等用于回归评价</w:t>
            </w:r>
          </w:p>
        </w:tc>
        <w:tc>
          <w:tcPr>
            <w:tcW w:type="dxa" w:w="3847"/>
            <w:vAlign w:val="center"/>
            <w:shd w:fill="FFFFFF"/>
          </w:tcPr>
          <w:p>
            <w:pPr>
              <w:pStyle w:val="Compact"/>
              <w:keepNext w:val="0"/>
              <w:spacing w:after="40" w:before="40" w:line="264" w:lineRule="auto"/>
              <w:jc w:val="left"/>
            </w:pPr>
            <w:r>
              <w:rPr>
                <w:color w:val="000000"/>
                <w:sz w:val="19"/>
              </w:rPr>
              <w:t xml:space="preserve">延迟到达的压力真值可用于后验评价</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是否有ID/OOD标签</w:t>
            </w:r>
          </w:p>
        </w:tc>
        <w:tc>
          <w:tcPr>
            <w:tcW w:type="dxa" w:w="3847"/>
            <w:vAlign w:val="center"/>
            <w:shd w:fill="F7F8FA"/>
          </w:tcPr>
          <w:p>
            <w:pPr>
              <w:pStyle w:val="Compact"/>
              <w:keepNext w:val="0"/>
              <w:spacing w:after="40" w:before="40" w:line="264" w:lineRule="auto"/>
              <w:jc w:val="left"/>
            </w:pPr>
            <w:r>
              <w:rPr>
                <w:color w:val="000000"/>
                <w:sz w:val="19"/>
              </w:rPr>
              <w:t xml:space="preserve">实验通过区间、站点年份、酒类别、图像域和扰动构造可识别的域标签</w:t>
            </w:r>
          </w:p>
        </w:tc>
        <w:tc>
          <w:tcPr>
            <w:tcW w:type="dxa" w:w="3847"/>
            <w:vAlign w:val="center"/>
            <w:shd w:fill="F7F8FA"/>
          </w:tcPr>
          <w:p>
            <w:pPr>
              <w:pStyle w:val="Compact"/>
              <w:keepNext w:val="0"/>
              <w:spacing w:after="40" w:before="40" w:line="264" w:lineRule="auto"/>
              <w:jc w:val="left"/>
            </w:pPr>
            <w:r>
              <w:rPr>
                <w:color w:val="000000"/>
                <w:sz w:val="19"/>
              </w:rPr>
              <w:t xml:space="preserve">明确标签对应</w:t>
            </w:r>
            <w:r>
              <w:rPr>
                <w:color w:val="000000"/>
                <w:sz w:val="19"/>
              </w:rPr>
              <w:t xml:space="preserve">“</w:t>
            </w:r>
            <w:r>
              <w:rPr>
                <w:color w:val="000000"/>
                <w:sz w:val="19"/>
              </w:rPr>
              <w:t xml:space="preserve">训练覆盖外</w:t>
            </w:r>
            <w:r>
              <w:rPr>
                <w:color w:val="000000"/>
                <w:sz w:val="19"/>
              </w:rPr>
              <w:t xml:space="preserve">”</w:t>
            </w:r>
            <w:r>
              <w:rPr>
                <w:color w:val="000000"/>
                <w:sz w:val="19"/>
              </w:rPr>
              <w:t xml:space="preserve">还是</w:t>
            </w:r>
            <w:r>
              <w:rPr>
                <w:color w:val="000000"/>
                <w:sz w:val="19"/>
              </w:rPr>
              <w:t xml:space="preserve">“</w:t>
            </w:r>
            <w:r>
              <w:rPr>
                <w:color w:val="000000"/>
                <w:sz w:val="19"/>
              </w:rPr>
              <w:t xml:space="preserve">故障</w:t>
            </w:r>
            <w:r>
              <w:rPr>
                <w:color w:val="000000"/>
                <w:sz w:val="19"/>
              </w:rPr>
              <w:t xml:space="preserve">”</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二分类评价</w:t>
            </w:r>
          </w:p>
        </w:tc>
        <w:tc>
          <w:tcPr>
            <w:tcW w:type="dxa" w:w="3847"/>
            <w:vAlign w:val="center"/>
            <w:shd w:fill="FFFFFF"/>
          </w:tcPr>
          <w:p>
            <w:pPr>
              <w:pStyle w:val="Compact"/>
              <w:keepNext w:val="0"/>
              <w:spacing w:after="40" w:before="40" w:line="264" w:lineRule="auto"/>
              <w:jc w:val="left"/>
            </w:pPr>
            <w:r>
              <w:rPr>
                <w:color w:val="000000"/>
                <w:sz w:val="19"/>
              </w:rPr>
              <w:t xml:space="preserve">未报告</w:t>
            </w:r>
          </w:p>
        </w:tc>
        <w:tc>
          <w:tcPr>
            <w:tcW w:type="dxa" w:w="3847"/>
            <w:vAlign w:val="center"/>
            <w:shd w:fill="FFFFFF"/>
          </w:tcPr>
          <w:p>
            <w:pPr>
              <w:pStyle w:val="Compact"/>
              <w:keepNext w:val="0"/>
              <w:spacing w:after="40" w:before="40" w:line="264" w:lineRule="auto"/>
              <w:jc w:val="left"/>
            </w:pPr>
            <w:r>
              <w:rPr>
                <w:color w:val="000000"/>
                <w:sz w:val="19"/>
              </w:rPr>
              <w:t xml:space="preserve">AUROC、AUPR、指定误报率下检出率、混淆矩阵</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没有OOD标签</w:t>
            </w:r>
          </w:p>
        </w:tc>
        <w:tc>
          <w:tcPr>
            <w:tcW w:type="dxa" w:w="3847"/>
            <w:vAlign w:val="center"/>
            <w:shd w:fill="F7F8FA"/>
          </w:tcPr>
          <w:p>
            <w:pPr>
              <w:pStyle w:val="Compact"/>
              <w:keepNext w:val="0"/>
              <w:spacing w:after="40" w:before="40" w:line="264" w:lineRule="auto"/>
              <w:jc w:val="left"/>
            </w:pPr>
            <w:r>
              <w:rPr>
                <w:color w:val="000000"/>
                <w:sz w:val="19"/>
              </w:rPr>
              <w:t xml:space="preserve">原文未提出无标签检测性能验证协议</w:t>
            </w:r>
          </w:p>
        </w:tc>
        <w:tc>
          <w:tcPr>
            <w:tcW w:type="dxa" w:w="3847"/>
            <w:vAlign w:val="center"/>
            <w:shd w:fill="F7F8FA"/>
          </w:tcPr>
          <w:p>
            <w:pPr>
              <w:pStyle w:val="Compact"/>
              <w:keepNext w:val="0"/>
              <w:spacing w:after="40" w:before="40" w:line="264" w:lineRule="auto"/>
              <w:jc w:val="left"/>
            </w:pPr>
            <w:r>
              <w:rPr>
                <w:color w:val="000000"/>
                <w:sz w:val="19"/>
              </w:rPr>
              <w:t xml:space="preserve">只能监测分数分布；不能据此计算真实检出率</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有</w:t>
            </w:r>
            <w:r>
              <w:rPr>
                <w:color w:val="000000"/>
                <w:sz w:val="19"/>
              </w:rPr>
              <w:t xml:space="preserve"> </w:t>
            </w:r>
            <m:oMath>
              <m:r>
                <m:t>y</m:t>
                <w:rPr>
                  <w:rFonts w:ascii="Cambria Math" w:hAnsi="Cambria Math"/>
                </w:rPr>
              </m:r>
            </m:oMath>
            <w:r>
              <w:rPr>
                <w:color w:val="000000"/>
                <w:sz w:val="19"/>
              </w:rPr>
              <w:t xml:space="preserve">但无OOD标签</w:t>
            </w:r>
          </w:p>
        </w:tc>
        <w:tc>
          <w:tcPr>
            <w:tcW w:type="dxa" w:w="3847"/>
            <w:vAlign w:val="center"/>
            <w:shd w:fill="FFFFFF"/>
          </w:tcPr>
          <w:p>
            <w:pPr>
              <w:pStyle w:val="Compact"/>
              <w:keepNext w:val="0"/>
              <w:spacing w:after="40" w:before="40" w:line="264" w:lineRule="auto"/>
              <w:jc w:val="left"/>
            </w:pPr>
            <w:r>
              <w:rPr>
                <w:color w:val="000000"/>
                <w:sz w:val="19"/>
              </w:rPr>
              <w:t xml:space="preserve">仍可计算NLL、RMSE、覆盖率</w:t>
            </w:r>
          </w:p>
        </w:tc>
        <w:tc>
          <w:tcPr>
            <w:tcW w:type="dxa" w:w="3847"/>
            <w:vAlign w:val="center"/>
            <w:shd w:fill="FFFFFF"/>
          </w:tcPr>
          <w:p>
            <w:pPr>
              <w:pStyle w:val="Compact"/>
              <w:keepNext w:val="0"/>
              <w:spacing w:after="40" w:before="40" w:line="264" w:lineRule="auto"/>
              <w:jc w:val="left"/>
            </w:pPr>
            <w:r>
              <w:rPr>
                <w:color w:val="000000"/>
                <w:sz w:val="19"/>
              </w:rPr>
              <w:t xml:space="preserve">可研究分数与大误差关系，但大误差标签不是OOD标签</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评价标准</w:t>
            </w:r>
          </w:p>
        </w:tc>
        <w:tc>
          <w:tcPr>
            <w:tcW w:type="dxa" w:w="3847"/>
            <w:vAlign w:val="center"/>
            <w:shd w:fill="F7F8FA"/>
          </w:tcPr>
          <w:p>
            <w:pPr>
              <w:pStyle w:val="Compact"/>
              <w:keepNext w:val="0"/>
              <w:spacing w:after="40" w:before="40" w:line="264" w:lineRule="auto"/>
              <w:jc w:val="left"/>
            </w:pPr>
            <w:r>
              <w:rPr>
                <w:color w:val="000000"/>
                <w:sz w:val="19"/>
              </w:rPr>
              <w:t xml:space="preserve">NLL、RMSE、Cal下降；Sharp需与校准共同解释</w:t>
            </w:r>
          </w:p>
        </w:tc>
        <w:tc>
          <w:tcPr>
            <w:tcW w:type="dxa" w:w="3847"/>
            <w:vAlign w:val="center"/>
            <w:shd w:fill="F7F8FA"/>
          </w:tcPr>
          <w:p>
            <w:pPr>
              <w:pStyle w:val="Compact"/>
              <w:keepNext w:val="0"/>
              <w:spacing w:after="40" w:before="40" w:line="264" w:lineRule="auto"/>
              <w:jc w:val="left"/>
            </w:pPr>
            <w:r>
              <w:rPr>
                <w:color w:val="000000"/>
                <w:sz w:val="19"/>
              </w:rPr>
              <w:t xml:space="preserve">预先规定运行误报预算、漏检代价与延迟要求</w:t>
            </w:r>
          </w:p>
        </w:tc>
      </w:tr>
    </w:tbl>
    <w:p>
      <w:pPr>
        <w:pStyle w:val="BodyText"/>
        <w:widowControl/>
      </w:pPr>
      <w:r>
        <w:t xml:space="preserve">设TP为学习外被检出、FN为漏检、FP为学习内误报、TN为正确接受，则</w:t>
      </w:r>
      <w:r>
        <w:t xml:space="preserve"> </w:t>
      </w:r>
      <m:oMath>
        <m:r>
          <m:t>T</m:t>
          <w:rPr>
            <w:rFonts w:ascii="Cambria Math" w:hAnsi="Cambria Math"/>
          </w:rPr>
        </m:r>
        <m:r>
          <m:t>P</m:t>
          <w:rPr>
            <w:rFonts w:ascii="Cambria Math" w:hAnsi="Cambria Math"/>
          </w:rPr>
        </m:r>
        <m:r>
          <m:t>R</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t>F</m:t>
          <w:rPr>
            <w:rFonts w:ascii="Cambria Math" w:hAnsi="Cambria Math"/>
          </w:rPr>
        </m:r>
        <m:r>
          <m:t>N</m:t>
          <w:rPr>
            <w:rFonts w:ascii="Cambria Math" w:hAnsi="Cambria Math"/>
          </w:rPr>
        </m:r>
        <m:r>
          <m:rPr>
            <m:sty m:val="p"/>
          </m:rPr>
          <m:t>)</m:t>
          <w:rPr>
            <w:rFonts w:ascii="Cambria Math" w:hAnsi="Cambria Math"/>
          </w:rPr>
        </m:r>
      </m:oMath>
      <w:r>
        <w:t xml:space="preserve">，</w:t>
      </w:r>
      <m:oMath>
        <m:r>
          <m:t>F</m:t>
          <w:rPr>
            <w:rFonts w:ascii="Cambria Math" w:hAnsi="Cambria Math"/>
          </w:rPr>
        </m:r>
        <m:r>
          <m:t>P</m:t>
          <w:rPr>
            <w:rFonts w:ascii="Cambria Math" w:hAnsi="Cambria Math"/>
          </w:rPr>
        </m:r>
        <m:r>
          <m:t>R</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t>T</m:t>
          <w:rPr>
            <w:rFonts w:ascii="Cambria Math" w:hAnsi="Cambria Math"/>
          </w:rPr>
        </m:r>
        <m:r>
          <m:t>N</m:t>
          <w:rPr>
            <w:rFonts w:ascii="Cambria Math" w:hAnsi="Cambria Math"/>
          </w:rPr>
        </m:r>
        <m:r>
          <m:rPr>
            <m:sty m:val="p"/>
          </m:rPr>
          <m:t>)</m:t>
          <w:rPr>
            <w:rFonts w:ascii="Cambria Math" w:hAnsi="Cambria Math"/>
          </w:rPr>
        </m:r>
      </m:oMath>
      <w:r>
        <w:t xml:space="preserve">。阈值降低通常同时提高检出率与误报率。部署中OOD比例较低时，Precision可能明显下降：若OOD比例1%、TPR90%、FPR5%，每10000次约90次真告警、495次假告警，告警精确率仅15.4%。这是教学计算，不是论文结果。</w:t>
      </w:r>
    </w:p>
    <w:bookmarkEnd w:id="39"/>
    <w:bookmarkStart w:id="40" w:name="比较方法的内容与边界"/>
    <w:p>
      <w:pPr>
        <w:pStyle w:val="Heading3"/>
        <w:widowControl/>
      </w:pPr>
      <w:r>
        <w:rPr>
          <w:color w:val="000000"/>
        </w:rPr>
        <w:t xml:space="preserve">5 3 比较方法的内容与边界</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方法</w:t>
            </w:r>
          </w:p>
        </w:tc>
        <w:tc>
          <w:tcPr>
            <w:tcW w:type="dxa" w:w="2762"/>
            <w:vAlign w:val="center"/>
            <w:shd w:fill="E7EDF3"/>
          </w:tcPr>
          <w:p>
            <w:pPr>
              <w:pStyle w:val="Compact"/>
              <w:keepNext w:val="0"/>
              <w:spacing w:after="40" w:before="40" w:line="264" w:lineRule="auto"/>
              <w:jc w:val="left"/>
            </w:pPr>
            <w:r>
              <w:rPr>
                <w:b/>
                <w:color w:val="000000"/>
                <w:sz w:val="19"/>
              </w:rPr>
              <w:t xml:space="preserve">如何表达不确定性</w:t>
            </w:r>
          </w:p>
        </w:tc>
        <w:tc>
          <w:tcPr>
            <w:tcW w:type="dxa" w:w="2466"/>
            <w:vAlign w:val="center"/>
            <w:shd w:fill="E7EDF3"/>
          </w:tcPr>
          <w:p>
            <w:pPr>
              <w:pStyle w:val="Compact"/>
              <w:keepNext w:val="0"/>
              <w:spacing w:after="40" w:before="40" w:line="264" w:lineRule="auto"/>
              <w:jc w:val="left"/>
            </w:pPr>
            <w:r>
              <w:rPr>
                <w:b/>
                <w:color w:val="000000"/>
                <w:sz w:val="19"/>
              </w:rPr>
              <w:t xml:space="preserve">主要优点</w:t>
            </w:r>
          </w:p>
        </w:tc>
        <w:tc>
          <w:tcPr>
            <w:tcW w:type="dxa" w:w="2762"/>
            <w:vAlign w:val="center"/>
            <w:shd w:fill="E7EDF3"/>
          </w:tcPr>
          <w:p>
            <w:pPr>
              <w:pStyle w:val="Compact"/>
              <w:keepNext w:val="0"/>
              <w:spacing w:after="40" w:before="40" w:line="264" w:lineRule="auto"/>
              <w:jc w:val="left"/>
            </w:pPr>
            <w:r>
              <w:rPr>
                <w:b/>
                <w:color w:val="000000"/>
                <w:sz w:val="19"/>
              </w:rPr>
              <w:t xml:space="preserve">主要限制</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Deterministic Gaussian</w:t>
            </w:r>
          </w:p>
        </w:tc>
        <w:tc>
          <w:tcPr>
            <w:tcW w:type="dxa" w:w="2762"/>
            <w:vAlign w:val="center"/>
            <w:shd w:fill="FFFFFF"/>
          </w:tcPr>
          <w:p>
            <w:pPr>
              <w:pStyle w:val="Compact"/>
              <w:keepNext w:val="0"/>
              <w:spacing w:after="40" w:before="40" w:line="264" w:lineRule="auto"/>
              <w:jc w:val="left"/>
            </w:pPr>
            <w:r>
              <w:rPr>
                <w:color w:val="000000"/>
                <w:sz w:val="19"/>
              </w:rPr>
              <w:t xml:space="preserve">一个网络输出均值和方差</w:t>
            </w:r>
          </w:p>
        </w:tc>
        <w:tc>
          <w:tcPr>
            <w:tcW w:type="dxa" w:w="2466"/>
            <w:vAlign w:val="center"/>
            <w:shd w:fill="FFFFFF"/>
          </w:tcPr>
          <w:p>
            <w:pPr>
              <w:pStyle w:val="Compact"/>
              <w:keepNext w:val="0"/>
              <w:spacing w:after="40" w:before="40" w:line="264" w:lineRule="auto"/>
              <w:jc w:val="left"/>
            </w:pPr>
            <w:r>
              <w:rPr>
                <w:color w:val="000000"/>
                <w:sz w:val="19"/>
              </w:rPr>
              <w:t xml:space="preserve">成本低，基线清楚</w:t>
            </w:r>
          </w:p>
        </w:tc>
        <w:tc>
          <w:tcPr>
            <w:tcW w:type="dxa" w:w="2762"/>
            <w:vAlign w:val="center"/>
            <w:shd w:fill="FFFFFF"/>
          </w:tcPr>
          <w:p>
            <w:pPr>
              <w:pStyle w:val="Compact"/>
              <w:keepNext w:val="0"/>
              <w:spacing w:after="40" w:before="40" w:line="264" w:lineRule="auto"/>
              <w:jc w:val="left"/>
            </w:pPr>
            <w:r>
              <w:rPr>
                <w:color w:val="000000"/>
                <w:sz w:val="19"/>
              </w:rPr>
              <w:t xml:space="preserve">训练外可能过度自信</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Quantile Regression</w:t>
            </w:r>
          </w:p>
        </w:tc>
        <w:tc>
          <w:tcPr>
            <w:tcW w:type="dxa" w:w="2762"/>
            <w:vAlign w:val="center"/>
            <w:shd w:fill="F7F8FA"/>
          </w:tcPr>
          <w:p>
            <w:pPr>
              <w:pStyle w:val="Compact"/>
              <w:keepNext w:val="0"/>
              <w:spacing w:after="40" w:before="40" w:line="264" w:lineRule="auto"/>
              <w:jc w:val="left"/>
            </w:pPr>
            <w:r>
              <w:rPr>
                <w:color w:val="000000"/>
                <w:sz w:val="19"/>
              </w:rPr>
              <w:t xml:space="preserve">预测指定分位数</w:t>
            </w:r>
          </w:p>
        </w:tc>
        <w:tc>
          <w:tcPr>
            <w:tcW w:type="dxa" w:w="2466"/>
            <w:vAlign w:val="center"/>
            <w:shd w:fill="F7F8FA"/>
          </w:tcPr>
          <w:p>
            <w:pPr>
              <w:pStyle w:val="Compact"/>
              <w:keepNext w:val="0"/>
              <w:spacing w:after="40" w:before="40" w:line="264" w:lineRule="auto"/>
              <w:jc w:val="left"/>
            </w:pPr>
            <w:r>
              <w:rPr>
                <w:color w:val="000000"/>
                <w:sz w:val="19"/>
              </w:rPr>
              <w:t xml:space="preserve">不必限定单个高斯中心宽度</w:t>
            </w:r>
          </w:p>
        </w:tc>
        <w:tc>
          <w:tcPr>
            <w:tcW w:type="dxa" w:w="2762"/>
            <w:vAlign w:val="center"/>
            <w:shd w:fill="F7F8FA"/>
          </w:tcPr>
          <w:p>
            <w:pPr>
              <w:pStyle w:val="Compact"/>
              <w:keepNext w:val="0"/>
              <w:spacing w:after="40" w:before="40" w:line="264" w:lineRule="auto"/>
              <w:jc w:val="left"/>
            </w:pPr>
            <w:r>
              <w:rPr>
                <w:color w:val="000000"/>
                <w:sz w:val="19"/>
              </w:rPr>
              <w:t xml:space="preserve">分位数交叉、概率评价转换需核查</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MC Dropout</w:t>
            </w:r>
          </w:p>
        </w:tc>
        <w:tc>
          <w:tcPr>
            <w:tcW w:type="dxa" w:w="2762"/>
            <w:vAlign w:val="center"/>
            <w:shd w:fill="FFFFFF"/>
          </w:tcPr>
          <w:p>
            <w:pPr>
              <w:pStyle w:val="Compact"/>
              <w:keepNext w:val="0"/>
              <w:spacing w:after="40" w:before="40" w:line="264" w:lineRule="auto"/>
              <w:jc w:val="left"/>
            </w:pPr>
            <w:r>
              <w:rPr>
                <w:color w:val="000000"/>
                <w:sz w:val="19"/>
              </w:rPr>
              <w:t xml:space="preserve">多次随机Dropout输出</w:t>
            </w:r>
          </w:p>
        </w:tc>
        <w:tc>
          <w:tcPr>
            <w:tcW w:type="dxa" w:w="2466"/>
            <w:vAlign w:val="center"/>
            <w:shd w:fill="FFFFFF"/>
          </w:tcPr>
          <w:p>
            <w:pPr>
              <w:pStyle w:val="Compact"/>
              <w:keepNext w:val="0"/>
              <w:spacing w:after="40" w:before="40" w:line="264" w:lineRule="auto"/>
              <w:jc w:val="left"/>
            </w:pPr>
            <w:r>
              <w:rPr>
                <w:color w:val="000000"/>
                <w:sz w:val="19"/>
              </w:rPr>
              <w:t xml:space="preserve">可复用随机失活结构</w:t>
            </w:r>
          </w:p>
        </w:tc>
        <w:tc>
          <w:tcPr>
            <w:tcW w:type="dxa" w:w="2762"/>
            <w:vAlign w:val="center"/>
            <w:shd w:fill="FFFFFF"/>
          </w:tcPr>
          <w:p>
            <w:pPr>
              <w:pStyle w:val="Compact"/>
              <w:keepNext w:val="0"/>
              <w:spacing w:after="40" w:before="40" w:line="264" w:lineRule="auto"/>
              <w:jc w:val="left"/>
            </w:pPr>
            <w:r>
              <w:rPr>
                <w:color w:val="000000"/>
                <w:sz w:val="19"/>
              </w:rPr>
              <w:t xml:space="preserve">多次前向；采样数影响稳定性与耗时</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MFVI BNN</w:t>
            </w:r>
          </w:p>
        </w:tc>
        <w:tc>
          <w:tcPr>
            <w:tcW w:type="dxa" w:w="2762"/>
            <w:vAlign w:val="center"/>
            <w:shd w:fill="F7F8FA"/>
          </w:tcPr>
          <w:p>
            <w:pPr>
              <w:pStyle w:val="Compact"/>
              <w:keepNext w:val="0"/>
              <w:spacing w:after="40" w:before="40" w:line="264" w:lineRule="auto"/>
              <w:jc w:val="left"/>
            </w:pPr>
            <w:r>
              <w:rPr>
                <w:color w:val="000000"/>
                <w:sz w:val="19"/>
              </w:rPr>
              <w:t xml:space="preserve">参数变分后验及预测采样</w:t>
            </w:r>
          </w:p>
        </w:tc>
        <w:tc>
          <w:tcPr>
            <w:tcW w:type="dxa" w:w="2466"/>
            <w:vAlign w:val="center"/>
            <w:shd w:fill="F7F8FA"/>
          </w:tcPr>
          <w:p>
            <w:pPr>
              <w:pStyle w:val="Compact"/>
              <w:keepNext w:val="0"/>
              <w:spacing w:after="40" w:before="40" w:line="264" w:lineRule="auto"/>
              <w:jc w:val="left"/>
            </w:pPr>
            <w:r>
              <w:rPr>
                <w:color w:val="000000"/>
                <w:sz w:val="19"/>
              </w:rPr>
              <w:t xml:space="preserve">表达参数不确定性</w:t>
            </w:r>
          </w:p>
        </w:tc>
        <w:tc>
          <w:tcPr>
            <w:tcW w:type="dxa" w:w="2762"/>
            <w:vAlign w:val="center"/>
            <w:shd w:fill="F7F8FA"/>
          </w:tcPr>
          <w:p>
            <w:pPr>
              <w:pStyle w:val="Compact"/>
              <w:keepNext w:val="0"/>
              <w:spacing w:after="40" w:before="40" w:line="264" w:lineRule="auto"/>
              <w:jc w:val="left"/>
            </w:pPr>
            <w:r>
              <w:rPr>
                <w:color w:val="000000"/>
                <w:sz w:val="19"/>
              </w:rPr>
              <w:t xml:space="preserve">近似后验、先验和采样成本影响结果</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EDL</w:t>
            </w:r>
          </w:p>
        </w:tc>
        <w:tc>
          <w:tcPr>
            <w:tcW w:type="dxa" w:w="2762"/>
            <w:vAlign w:val="center"/>
            <w:shd w:fill="FFFFFF"/>
          </w:tcPr>
          <w:p>
            <w:pPr>
              <w:pStyle w:val="Compact"/>
              <w:keepNext w:val="0"/>
              <w:spacing w:after="40" w:before="40" w:line="264" w:lineRule="auto"/>
              <w:jc w:val="left"/>
            </w:pPr>
            <w:r>
              <w:rPr>
                <w:color w:val="000000"/>
                <w:sz w:val="19"/>
              </w:rPr>
              <w:t xml:space="preserve">网络输出证据型分布参数</w:t>
            </w:r>
          </w:p>
        </w:tc>
        <w:tc>
          <w:tcPr>
            <w:tcW w:type="dxa" w:w="2466"/>
            <w:vAlign w:val="center"/>
            <w:shd w:fill="FFFFFF"/>
          </w:tcPr>
          <w:p>
            <w:pPr>
              <w:pStyle w:val="Compact"/>
              <w:keepNext w:val="0"/>
              <w:spacing w:after="40" w:before="40" w:line="264" w:lineRule="auto"/>
              <w:jc w:val="left"/>
            </w:pPr>
            <w:r>
              <w:rPr>
                <w:color w:val="000000"/>
                <w:sz w:val="19"/>
              </w:rPr>
              <w:t xml:space="preserve">单次输出，效率较高</w:t>
            </w:r>
          </w:p>
        </w:tc>
        <w:tc>
          <w:tcPr>
            <w:tcW w:type="dxa" w:w="2762"/>
            <w:vAlign w:val="center"/>
            <w:shd w:fill="FFFFFF"/>
          </w:tcPr>
          <w:p>
            <w:pPr>
              <w:pStyle w:val="Compact"/>
              <w:keepNext w:val="0"/>
              <w:spacing w:after="40" w:before="40" w:line="264" w:lineRule="auto"/>
              <w:jc w:val="left"/>
            </w:pPr>
            <w:r>
              <w:rPr>
                <w:color w:val="000000"/>
                <w:sz w:val="19"/>
              </w:rPr>
              <w:t xml:space="preserve">证据参数与假设可能影响校准</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SNGP</w:t>
            </w:r>
          </w:p>
        </w:tc>
        <w:tc>
          <w:tcPr>
            <w:tcW w:type="dxa" w:w="2762"/>
            <w:vAlign w:val="center"/>
            <w:shd w:fill="F7F8FA"/>
          </w:tcPr>
          <w:p>
            <w:pPr>
              <w:pStyle w:val="Compact"/>
              <w:keepNext w:val="0"/>
              <w:spacing w:after="40" w:before="40" w:line="264" w:lineRule="auto"/>
              <w:jc w:val="left"/>
            </w:pPr>
            <w:r>
              <w:rPr>
                <w:color w:val="000000"/>
                <w:sz w:val="19"/>
              </w:rPr>
              <w:t xml:space="preserve">谱归一化特征与GP输出近似</w:t>
            </w:r>
          </w:p>
        </w:tc>
        <w:tc>
          <w:tcPr>
            <w:tcW w:type="dxa" w:w="2466"/>
            <w:vAlign w:val="center"/>
            <w:shd w:fill="F7F8FA"/>
          </w:tcPr>
          <w:p>
            <w:pPr>
              <w:pStyle w:val="Compact"/>
              <w:keepNext w:val="0"/>
              <w:spacing w:after="40" w:before="40" w:line="264" w:lineRule="auto"/>
              <w:jc w:val="left"/>
            </w:pPr>
            <w:r>
              <w:rPr>
                <w:color w:val="000000"/>
                <w:sz w:val="19"/>
              </w:rPr>
              <w:t xml:space="preserve">距离敏感设计</w:t>
            </w:r>
          </w:p>
        </w:tc>
        <w:tc>
          <w:tcPr>
            <w:tcW w:type="dxa" w:w="2762"/>
            <w:vAlign w:val="center"/>
            <w:shd w:fill="F7F8FA"/>
          </w:tcPr>
          <w:p>
            <w:pPr>
              <w:pStyle w:val="Compact"/>
              <w:keepNext w:val="0"/>
              <w:spacing w:after="40" w:before="40" w:line="264" w:lineRule="auto"/>
              <w:jc w:val="left"/>
            </w:pPr>
            <w:r>
              <w:rPr>
                <w:color w:val="000000"/>
                <w:sz w:val="19"/>
              </w:rPr>
              <w:t xml:space="preserve">结构和近似设置有额外要求</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DUE</w:t>
            </w:r>
          </w:p>
        </w:tc>
        <w:tc>
          <w:tcPr>
            <w:tcW w:type="dxa" w:w="2762"/>
            <w:vAlign w:val="center"/>
            <w:shd w:fill="FFFFFF"/>
          </w:tcPr>
          <w:p>
            <w:pPr>
              <w:pStyle w:val="Compact"/>
              <w:keepNext w:val="0"/>
              <w:spacing w:after="40" w:before="40" w:line="264" w:lineRule="auto"/>
              <w:jc w:val="left"/>
            </w:pPr>
            <w:r>
              <w:rPr>
                <w:color w:val="000000"/>
                <w:sz w:val="19"/>
              </w:rPr>
              <w:t xml:space="preserve">深度特征与高斯过程不确定性</w:t>
            </w:r>
          </w:p>
        </w:tc>
        <w:tc>
          <w:tcPr>
            <w:tcW w:type="dxa" w:w="2466"/>
            <w:vAlign w:val="center"/>
            <w:shd w:fill="FFFFFF"/>
          </w:tcPr>
          <w:p>
            <w:pPr>
              <w:pStyle w:val="Compact"/>
              <w:keepNext w:val="0"/>
              <w:spacing w:after="40" w:before="40" w:line="264" w:lineRule="auto"/>
              <w:jc w:val="left"/>
            </w:pPr>
            <w:r>
              <w:rPr>
                <w:color w:val="000000"/>
                <w:sz w:val="19"/>
              </w:rPr>
              <w:t xml:space="preserve">利用特征几何与GP</w:t>
            </w:r>
          </w:p>
        </w:tc>
        <w:tc>
          <w:tcPr>
            <w:tcW w:type="dxa" w:w="2762"/>
            <w:vAlign w:val="center"/>
            <w:shd w:fill="FFFFFF"/>
          </w:tcPr>
          <w:p>
            <w:pPr>
              <w:pStyle w:val="Compact"/>
              <w:keepNext w:val="0"/>
              <w:spacing w:after="40" w:before="40" w:line="264" w:lineRule="auto"/>
              <w:jc w:val="left"/>
            </w:pPr>
            <w:r>
              <w:rPr>
                <w:color w:val="000000"/>
                <w:sz w:val="19"/>
              </w:rPr>
              <w:t xml:space="preserve">需要相应结构及计算资源</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NatPN</w:t>
            </w:r>
          </w:p>
        </w:tc>
        <w:tc>
          <w:tcPr>
            <w:tcW w:type="dxa" w:w="2762"/>
            <w:vAlign w:val="center"/>
            <w:shd w:fill="F7F8FA"/>
          </w:tcPr>
          <w:p>
            <w:pPr>
              <w:pStyle w:val="Compact"/>
              <w:keepNext w:val="0"/>
              <w:spacing w:after="40" w:before="40" w:line="264" w:lineRule="auto"/>
              <w:jc w:val="left"/>
            </w:pPr>
            <w:r>
              <w:rPr>
                <w:color w:val="000000"/>
                <w:sz w:val="19"/>
              </w:rPr>
              <w:t xml:space="preserve">密度支持的后验参数</w:t>
            </w:r>
          </w:p>
        </w:tc>
        <w:tc>
          <w:tcPr>
            <w:tcW w:type="dxa" w:w="2466"/>
            <w:vAlign w:val="center"/>
            <w:shd w:fill="F7F8FA"/>
          </w:tcPr>
          <w:p>
            <w:pPr>
              <w:pStyle w:val="Compact"/>
              <w:keepNext w:val="0"/>
              <w:spacing w:after="40" w:before="40" w:line="264" w:lineRule="auto"/>
              <w:jc w:val="left"/>
            </w:pPr>
            <w:r>
              <w:rPr>
                <w:color w:val="000000"/>
                <w:sz w:val="19"/>
              </w:rPr>
              <w:t xml:space="preserve">单次不确定性输出</w:t>
            </w:r>
          </w:p>
        </w:tc>
        <w:tc>
          <w:tcPr>
            <w:tcW w:type="dxa" w:w="2762"/>
            <w:vAlign w:val="center"/>
            <w:shd w:fill="F7F8FA"/>
          </w:tcPr>
          <w:p>
            <w:pPr>
              <w:pStyle w:val="Compact"/>
              <w:keepNext w:val="0"/>
              <w:spacing w:after="40" w:before="40" w:line="264" w:lineRule="auto"/>
              <w:jc w:val="left"/>
            </w:pPr>
            <w:r>
              <w:rPr>
                <w:color w:val="000000"/>
                <w:sz w:val="19"/>
              </w:rPr>
              <w:t xml:space="preserve">先验和密度模型质量重要；主要见深度表</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Deep Ensembles</w:t>
            </w:r>
          </w:p>
        </w:tc>
        <w:tc>
          <w:tcPr>
            <w:tcW w:type="dxa" w:w="2762"/>
            <w:vAlign w:val="center"/>
            <w:shd w:fill="FFFFFF"/>
          </w:tcPr>
          <w:p>
            <w:pPr>
              <w:pStyle w:val="Compact"/>
              <w:keepNext w:val="0"/>
              <w:spacing w:after="40" w:before="40" w:line="264" w:lineRule="auto"/>
              <w:jc w:val="left"/>
            </w:pPr>
            <w:r>
              <w:rPr>
                <w:color w:val="000000"/>
                <w:sz w:val="19"/>
              </w:rPr>
              <w:t xml:space="preserve">多模型预测分布汇总</w:t>
            </w:r>
          </w:p>
        </w:tc>
        <w:tc>
          <w:tcPr>
            <w:tcW w:type="dxa" w:w="2466"/>
            <w:vAlign w:val="center"/>
            <w:shd w:fill="FFFFFF"/>
          </w:tcPr>
          <w:p>
            <w:pPr>
              <w:pStyle w:val="Compact"/>
              <w:keepNext w:val="0"/>
              <w:spacing w:after="40" w:before="40" w:line="264" w:lineRule="auto"/>
              <w:jc w:val="left"/>
            </w:pPr>
            <w:r>
              <w:rPr>
                <w:color w:val="000000"/>
                <w:sz w:val="19"/>
              </w:rPr>
              <w:t xml:space="preserve">强基线，误差与分歧兼顾</w:t>
            </w:r>
          </w:p>
        </w:tc>
        <w:tc>
          <w:tcPr>
            <w:tcW w:type="dxa" w:w="2762"/>
            <w:vAlign w:val="center"/>
            <w:shd w:fill="FFFFFF"/>
          </w:tcPr>
          <w:p>
            <w:pPr>
              <w:pStyle w:val="Compact"/>
              <w:keepNext w:val="0"/>
              <w:spacing w:after="40" w:before="40" w:line="264" w:lineRule="auto"/>
              <w:jc w:val="left"/>
            </w:pPr>
            <w:r>
              <w:rPr>
                <w:color w:val="000000"/>
                <w:sz w:val="19"/>
              </w:rPr>
              <w:t xml:space="preserve">模型存储与前向次数随成员数增加</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Density-Regression</w:t>
            </w:r>
          </w:p>
        </w:tc>
        <w:tc>
          <w:tcPr>
            <w:tcW w:type="dxa" w:w="2762"/>
            <w:vAlign w:val="center"/>
            <w:shd w:fill="F7F8FA"/>
          </w:tcPr>
          <w:p>
            <w:pPr>
              <w:pStyle w:val="Compact"/>
              <w:keepNext w:val="0"/>
              <w:spacing w:after="40" w:before="40" w:line="264" w:lineRule="auto"/>
              <w:jc w:val="left"/>
            </w:pPr>
            <w:r>
              <w:rPr>
                <w:color w:val="000000"/>
                <w:sz w:val="19"/>
              </w:rPr>
              <w:t xml:space="preserve">特征密度调节高斯方差</w:t>
            </w:r>
          </w:p>
        </w:tc>
        <w:tc>
          <w:tcPr>
            <w:tcW w:type="dxa" w:w="2466"/>
            <w:vAlign w:val="center"/>
            <w:shd w:fill="F7F8FA"/>
          </w:tcPr>
          <w:p>
            <w:pPr>
              <w:pStyle w:val="Compact"/>
              <w:keepNext w:val="0"/>
              <w:spacing w:after="40" w:before="40" w:line="264" w:lineRule="auto"/>
              <w:jc w:val="left"/>
            </w:pPr>
            <w:r>
              <w:rPr>
                <w:color w:val="000000"/>
                <w:sz w:val="19"/>
              </w:rPr>
              <w:t xml:space="preserve">单次推理，无需OOD训练样本</w:t>
            </w:r>
          </w:p>
        </w:tc>
        <w:tc>
          <w:tcPr>
            <w:tcW w:type="dxa" w:w="2762"/>
            <w:vAlign w:val="center"/>
            <w:shd w:fill="F7F8FA"/>
          </w:tcPr>
          <w:p>
            <w:pPr>
              <w:pStyle w:val="Compact"/>
              <w:keepNext w:val="0"/>
              <w:spacing w:after="40" w:before="40" w:line="264" w:lineRule="auto"/>
              <w:jc w:val="left"/>
            </w:pPr>
            <w:r>
              <w:rPr>
                <w:color w:val="000000"/>
                <w:sz w:val="19"/>
              </w:rPr>
              <w:t xml:space="preserve">三阶段训练、密度误差、模型耦合与检测验证不足</w:t>
            </w:r>
          </w:p>
        </w:tc>
      </w:tr>
    </w:tbl>
    <w:p>
      <w:pPr>
        <w:pStyle w:val="BodyText"/>
        <w:widowControl/>
      </w:pPr>
      <w:r>
        <w:t xml:space="preserve">本表概括原文2节、5节和附录B1中各基线的作用，不替代各基线原始论文的完整算法精读。论文没有为这些基线统一定义学习外判定阈值，不能给它们补造阈值、AUROC或检出率。</w:t>
      </w:r>
    </w:p>
    <w:bookmarkEnd w:id="40"/>
    <w:bookmarkStart w:id="41" w:name="应用限制与计算量"/>
    <w:p>
      <w:pPr>
        <w:pStyle w:val="Heading3"/>
        <w:widowControl/>
      </w:pPr>
      <w:r>
        <w:rPr>
          <w:color w:val="000000"/>
        </w:rPr>
        <w:t xml:space="preserve">5 4 应用限制与计算量</w:t>
      </w:r>
    </w:p>
    <w:p>
      <w:pPr>
        <w:pStyle w:val="FirstParagraph"/>
        <w:widowControl/>
      </w:pPr>
      <w:r>
        <w:t xml:space="preserve">适用对象是可以获得可训练编码器及高斯回归头的神经网络回归任务。多输出任务需要明确各输出独立方差或联合协方差的建模方式；标量推导不自动建立跨时间、跨输出的联合覆盖保证。原文包含U-Net深度估计，因此并非仅限低维全连接网络，但不能据此宣称任意AI模型均可直接使用。</w:t>
      </w:r>
    </w:p>
    <w:p>
      <w:pPr>
        <w:pStyle w:val="BodyText"/>
        <w:widowControl/>
      </w:pPr>
      <w:r>
        <w:t xml:space="preserve">训练样本量没有统一下限。有效需求取决于特征维度、工况数量、密度估计难度及噪声；小数据且高维时密度可能不可靠。类别变量、缺失值、不规则采样、单位变化需要预处理和专门验证。特征编码器如果丢掉关键物理关系，密度模型也无法恢复。</w:t>
      </w:r>
    </w:p>
    <w:p>
      <w:pPr>
        <w:pStyle w:val="BodyText"/>
        <w:widowControl/>
      </w:pPr>
      <w:r>
        <w:t xml:space="preserve">将编码器、密度模型、回归头的单次成本分别记为</w:t>
      </w:r>
      <w:r>
        <w:t xml:space="preserve"> </w:t>
      </w:r>
      <m:oMath>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p</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oMath>
      <w:r>
        <w:t xml:space="preserve">，则推理成本约为</w:t>
      </w:r>
      <w:r>
        <w:t xml:space="preserve"> </w:t>
      </w:r>
      <m:oMath>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p</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oMath>
      <w:r>
        <w:t xml:space="preserve">；集成约为</w:t>
      </w:r>
      <w:r>
        <w:t xml:space="preserve"> </w:t>
      </w:r>
      <m:oMath>
        <m:r>
          <m:t>M</m:t>
          <w:rPr>
            <w:rFonts w:ascii="Cambria Math" w:hAnsi="Cambria Math"/>
          </w:rPr>
        </m:r>
        <m:r>
          <m:rPr>
            <m:sty m:val="p"/>
          </m:rPr>
          <m:t>(</m:t>
          <w:rPr>
            <w:rFonts w:ascii="Cambria Math" w:hAnsi="Cambria Math"/>
          </w:rPr>
        </m:r>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r>
          <m:rPr>
            <m:sty m:val="p"/>
          </m:rPr>
          <m:t>)</m:t>
          <w:rPr>
            <w:rFonts w:ascii="Cambria Math" w:hAnsi="Cambria Math"/>
          </w:rPr>
        </m:r>
      </m:oMath>
      <w:r>
        <w:t xml:space="preserve">，具体还受并行和硬件影响。原文</w:t>
      </w:r>
      <w:r>
        <w:t xml:space="preserve"> </w:t>
      </w:r>
      <m:oMath>
        <m:r>
          <m:t>O</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是相对于采样或集成次数</w:t>
      </w:r>
      <w:r>
        <w:t xml:space="preserve"> </w:t>
      </w:r>
      <m:oMath>
        <m:r>
          <m:t>M</m:t>
          <w:rPr>
            <w:rFonts w:ascii="Cambria Math" w:hAnsi="Cambria Math"/>
          </w:rPr>
        </m:r>
      </m:oMath>
      <w:r>
        <w:t xml:space="preserve">而言，不是对特征维度和网络大小均为常数。KDE朴素计算还可能依赖存储的训练点数；Flow通常把计算转入已训练网络。</w:t>
      </w:r>
    </w:p>
    <w:p>
      <w:pPr>
        <w:pStyle w:val="BodyText"/>
        <w:widowControl/>
      </w:pPr>
      <w:r>
        <w:t xml:space="preserve">实时性只得到相对效率证据，没有基础设施控制周期的截止时间保证。应测目标硬件batch=1条件下的P50/P95/P99延迟、内存、冷启动、缺失数据处理成本及连续负载。概率密度很小时，建议在对数域计算并检查溢出；数值截断可能改变方差尾部性质，需记录。</w:t>
      </w:r>
    </w:p>
    <w:bookmarkEnd w:id="41"/>
    <w:bookmarkEnd w:id="42"/>
    <w:bookmarkStart w:id="48" w:name="六-实验结果的逐项解读"/>
    <w:p>
      <w:pPr>
        <w:pStyle w:val="Heading2"/>
        <w:widowControl/>
      </w:pPr>
      <w:r>
        <w:rPr>
          <w:color w:val="000000"/>
        </w:rPr>
        <w:t xml:space="preserve">六 实验结果的逐项解读</w:t>
      </w:r>
    </w:p>
    <w:p>
      <w:pPr>
        <w:pStyle w:val="FirstParagraph"/>
        <w:widowControl/>
      </w:pPr>
      <w:r>
        <w:t xml:space="preserve">以下数字均取用户PDF，不把本报告的建议当成复现实验。表2、3给出多随机种子汇总及误差项；本报告保留原文</w:t>
      </w:r>
      <w:r>
        <w:t xml:space="preserve">“</w:t>
      </w:r>
      <w:r>
        <w:t xml:space="preserve">±</w:t>
      </w:r>
      <w:r>
        <w:t xml:space="preserve">”</w:t>
      </w:r>
      <w:r>
        <w:t xml:space="preserve">数值，不自行把它解释为95%置信区间。统计显著性应依据作者标记和检验说明，不能由均值稍低推断。</w:t>
      </w:r>
    </w:p>
    <w:bookmarkStart w:id="43" w:name="天气预测-表2-pdf7页"/>
    <w:p>
      <w:pPr>
        <w:pStyle w:val="Heading3"/>
        <w:widowControl/>
      </w:pPr>
      <w:r>
        <w:rPr>
          <w:color w:val="000000"/>
        </w:rPr>
        <w:t xml:space="preserve">6 1 天气预测 表2 PDF7页</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场景与方法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IID Ours</w:t>
            </w:r>
          </w:p>
        </w:tc>
        <w:tc>
          <w:tcPr>
            <w:tcW w:type="dxa" w:w="1874"/>
            <w:vAlign w:val="center"/>
            <w:shd w:fill="FFFFFF"/>
          </w:tcPr>
          <w:p>
            <w:pPr>
              <w:pStyle w:val="Compact"/>
              <w:keepNext w:val="0"/>
              <w:spacing w:after="40" w:before="40" w:line="264" w:lineRule="auto"/>
              <w:jc w:val="left"/>
            </w:pPr>
            <w:r>
              <w:rPr>
                <w:color w:val="000000"/>
                <w:sz w:val="19"/>
              </w:rPr>
              <w:t xml:space="preserve">−3.99 ± 0.08</w:t>
            </w:r>
          </w:p>
        </w:tc>
        <w:tc>
          <w:tcPr>
            <w:tcW w:type="dxa" w:w="1874"/>
            <w:vAlign w:val="center"/>
            <w:shd w:fill="FFFFFF"/>
          </w:tcPr>
          <w:p>
            <w:pPr>
              <w:pStyle w:val="Compact"/>
              <w:keepNext w:val="0"/>
              <w:spacing w:after="40" w:before="40" w:line="264" w:lineRule="auto"/>
              <w:jc w:val="left"/>
            </w:pPr>
            <w:r>
              <w:rPr>
                <w:color w:val="000000"/>
                <w:sz w:val="19"/>
              </w:rPr>
              <w:t xml:space="preserve">0.08 ± 0.01</w:t>
            </w:r>
          </w:p>
        </w:tc>
        <w:tc>
          <w:tcPr>
            <w:tcW w:type="dxa" w:w="1874"/>
            <w:vAlign w:val="center"/>
            <w:shd w:fill="FFFFFF"/>
          </w:tcPr>
          <w:p>
            <w:pPr>
              <w:pStyle w:val="Compact"/>
              <w:keepNext w:val="0"/>
              <w:spacing w:after="40" w:before="40" w:line="264" w:lineRule="auto"/>
              <w:jc w:val="left"/>
            </w:pPr>
            <w:r>
              <w:rPr>
                <w:color w:val="000000"/>
                <w:sz w:val="19"/>
              </w:rPr>
              <w:t xml:space="preserve">0.38 ± 0.14</w:t>
            </w:r>
          </w:p>
        </w:tc>
        <w:tc>
          <w:tcPr>
            <w:tcW w:type="dxa" w:w="1874"/>
            <w:vAlign w:val="center"/>
            <w:shd w:fill="FFFFFF"/>
          </w:tcPr>
          <w:p>
            <w:pPr>
              <w:pStyle w:val="Compact"/>
              <w:keepNext w:val="0"/>
              <w:spacing w:after="40" w:before="40" w:line="264" w:lineRule="auto"/>
              <w:jc w:val="left"/>
            </w:pPr>
            <w:r>
              <w:rPr>
                <w:color w:val="000000"/>
                <w:sz w:val="19"/>
              </w:rPr>
              <w:t xml:space="preserve">0.09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IID Ensemble</w:t>
            </w:r>
          </w:p>
        </w:tc>
        <w:tc>
          <w:tcPr>
            <w:tcW w:type="dxa" w:w="1874"/>
            <w:vAlign w:val="center"/>
            <w:shd w:fill="F7F8FA"/>
          </w:tcPr>
          <w:p>
            <w:pPr>
              <w:pStyle w:val="Compact"/>
              <w:keepNext w:val="0"/>
              <w:spacing w:after="40" w:before="40" w:line="264" w:lineRule="auto"/>
              <w:jc w:val="left"/>
            </w:pPr>
            <w:r>
              <w:rPr>
                <w:color w:val="000000"/>
                <w:sz w:val="19"/>
              </w:rPr>
              <w:t xml:space="preserve">−4.04 ± 0.06</w:t>
            </w:r>
          </w:p>
        </w:tc>
        <w:tc>
          <w:tcPr>
            <w:tcW w:type="dxa" w:w="1874"/>
            <w:vAlign w:val="center"/>
            <w:shd w:fill="F7F8FA"/>
          </w:tcPr>
          <w:p>
            <w:pPr>
              <w:pStyle w:val="Compact"/>
              <w:keepNext w:val="0"/>
              <w:spacing w:after="40" w:before="40" w:line="264" w:lineRule="auto"/>
              <w:jc w:val="left"/>
            </w:pPr>
            <w:r>
              <w:rPr>
                <w:color w:val="000000"/>
                <w:sz w:val="19"/>
              </w:rPr>
              <w:t xml:space="preserve">0.08 ± 0.00</w:t>
            </w:r>
          </w:p>
        </w:tc>
        <w:tc>
          <w:tcPr>
            <w:tcW w:type="dxa" w:w="1874"/>
            <w:vAlign w:val="center"/>
            <w:shd w:fill="F7F8FA"/>
          </w:tcPr>
          <w:p>
            <w:pPr>
              <w:pStyle w:val="Compact"/>
              <w:keepNext w:val="0"/>
              <w:spacing w:after="40" w:before="40" w:line="264" w:lineRule="auto"/>
              <w:jc w:val="left"/>
            </w:pPr>
            <w:r>
              <w:rPr>
                <w:color w:val="000000"/>
                <w:sz w:val="19"/>
              </w:rPr>
              <w:t xml:space="preserve">0.62 ± 0.20</w:t>
            </w:r>
          </w:p>
        </w:tc>
        <w:tc>
          <w:tcPr>
            <w:tcW w:type="dxa" w:w="1874"/>
            <w:vAlign w:val="center"/>
            <w:shd w:fill="F7F8FA"/>
          </w:tcPr>
          <w:p>
            <w:pPr>
              <w:pStyle w:val="Compact"/>
              <w:keepNext w:val="0"/>
              <w:spacing w:after="40" w:before="40" w:line="264" w:lineRule="auto"/>
              <w:jc w:val="left"/>
            </w:pPr>
            <w:r>
              <w:rPr>
                <w:color w:val="000000"/>
                <w:sz w:val="19"/>
              </w:rPr>
              <w:t xml:space="preserve">0.11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Ours</w:t>
            </w:r>
          </w:p>
        </w:tc>
        <w:tc>
          <w:tcPr>
            <w:tcW w:type="dxa" w:w="1874"/>
            <w:vAlign w:val="center"/>
            <w:shd w:fill="FFFFFF"/>
          </w:tcPr>
          <w:p>
            <w:pPr>
              <w:pStyle w:val="Compact"/>
              <w:keepNext w:val="0"/>
              <w:spacing w:after="40" w:before="40" w:line="264" w:lineRule="auto"/>
              <w:jc w:val="left"/>
            </w:pPr>
            <w:r>
              <w:rPr>
                <w:color w:val="000000"/>
                <w:sz w:val="19"/>
              </w:rPr>
              <w:t xml:space="preserve">−2.16 ± 0.16</w:t>
            </w:r>
          </w:p>
        </w:tc>
        <w:tc>
          <w:tcPr>
            <w:tcW w:type="dxa" w:w="1874"/>
            <w:vAlign w:val="center"/>
            <w:shd w:fill="FFFFFF"/>
          </w:tcPr>
          <w:p>
            <w:pPr>
              <w:pStyle w:val="Compact"/>
              <w:keepNext w:val="0"/>
              <w:spacing w:after="40" w:before="40" w:line="264" w:lineRule="auto"/>
              <w:jc w:val="left"/>
            </w:pPr>
            <w:r>
              <w:rPr>
                <w:color w:val="000000"/>
                <w:sz w:val="19"/>
              </w:rPr>
              <w:t xml:space="preserve">0.14 ± 0.00</w:t>
            </w:r>
          </w:p>
        </w:tc>
        <w:tc>
          <w:tcPr>
            <w:tcW w:type="dxa" w:w="1874"/>
            <w:vAlign w:val="center"/>
            <w:shd w:fill="FFFFFF"/>
          </w:tcPr>
          <w:p>
            <w:pPr>
              <w:pStyle w:val="Compact"/>
              <w:keepNext w:val="0"/>
              <w:spacing w:after="40" w:before="40" w:line="264" w:lineRule="auto"/>
              <w:jc w:val="left"/>
            </w:pPr>
            <w:r>
              <w:rPr>
                <w:color w:val="000000"/>
                <w:sz w:val="19"/>
              </w:rPr>
              <w:t xml:space="preserve">0.23 ± 0.10</w:t>
            </w:r>
          </w:p>
        </w:tc>
        <w:tc>
          <w:tcPr>
            <w:tcW w:type="dxa" w:w="1874"/>
            <w:vAlign w:val="center"/>
            <w:shd w:fill="FFFFFF"/>
          </w:tcPr>
          <w:p>
            <w:pPr>
              <w:pStyle w:val="Compact"/>
              <w:keepNext w:val="0"/>
              <w:spacing w:after="40" w:before="40" w:line="264" w:lineRule="auto"/>
              <w:jc w:val="left"/>
            </w:pPr>
            <w:r>
              <w:rPr>
                <w:color w:val="000000"/>
                <w:sz w:val="19"/>
              </w:rPr>
              <w:t xml:space="preserve">0.09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OOD Ensemble</w:t>
            </w:r>
          </w:p>
        </w:tc>
        <w:tc>
          <w:tcPr>
            <w:tcW w:type="dxa" w:w="1874"/>
            <w:vAlign w:val="center"/>
            <w:shd w:fill="F7F8FA"/>
          </w:tcPr>
          <w:p>
            <w:pPr>
              <w:pStyle w:val="Compact"/>
              <w:keepNext w:val="0"/>
              <w:spacing w:after="40" w:before="40" w:line="264" w:lineRule="auto"/>
              <w:jc w:val="left"/>
            </w:pPr>
            <w:r>
              <w:rPr>
                <w:color w:val="000000"/>
                <w:sz w:val="19"/>
              </w:rPr>
              <w:t xml:space="preserve">−2.44 ± 0.15</w:t>
            </w:r>
          </w:p>
        </w:tc>
        <w:tc>
          <w:tcPr>
            <w:tcW w:type="dxa" w:w="1874"/>
            <w:vAlign w:val="center"/>
            <w:shd w:fill="F7F8FA"/>
          </w:tcPr>
          <w:p>
            <w:pPr>
              <w:pStyle w:val="Compact"/>
              <w:keepNext w:val="0"/>
              <w:spacing w:after="40" w:before="40" w:line="264" w:lineRule="auto"/>
              <w:jc w:val="left"/>
            </w:pPr>
            <w:r>
              <w:rPr>
                <w:color w:val="000000"/>
                <w:sz w:val="19"/>
              </w:rPr>
              <w:t xml:space="preserve">0.14 ± 0.00</w:t>
            </w:r>
          </w:p>
        </w:tc>
        <w:tc>
          <w:tcPr>
            <w:tcW w:type="dxa" w:w="1874"/>
            <w:vAlign w:val="center"/>
            <w:shd w:fill="F7F8FA"/>
          </w:tcPr>
          <w:p>
            <w:pPr>
              <w:pStyle w:val="Compact"/>
              <w:keepNext w:val="0"/>
              <w:spacing w:after="40" w:before="40" w:line="264" w:lineRule="auto"/>
              <w:jc w:val="left"/>
            </w:pPr>
            <w:r>
              <w:rPr>
                <w:color w:val="000000"/>
                <w:sz w:val="19"/>
              </w:rPr>
              <w:t xml:space="preserve">0.25 ± 0.13</w:t>
            </w:r>
          </w:p>
        </w:tc>
        <w:tc>
          <w:tcPr>
            <w:tcW w:type="dxa" w:w="1874"/>
            <w:vAlign w:val="center"/>
            <w:shd w:fill="F7F8FA"/>
          </w:tcPr>
          <w:p>
            <w:pPr>
              <w:pStyle w:val="Compact"/>
              <w:keepNext w:val="0"/>
              <w:spacing w:after="40" w:before="40" w:line="264" w:lineRule="auto"/>
              <w:jc w:val="left"/>
            </w:pPr>
            <w:r>
              <w:rPr>
                <w:color w:val="000000"/>
                <w:sz w:val="19"/>
              </w:rPr>
              <w:t xml:space="preserve">0.10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MC Dropout</w:t>
            </w:r>
          </w:p>
        </w:tc>
        <w:tc>
          <w:tcPr>
            <w:tcW w:type="dxa" w:w="1874"/>
            <w:vAlign w:val="center"/>
            <w:shd w:fill="FFFFFF"/>
          </w:tcPr>
          <w:p>
            <w:pPr>
              <w:pStyle w:val="Compact"/>
              <w:keepNext w:val="0"/>
              <w:spacing w:after="40" w:before="40" w:line="264" w:lineRule="auto"/>
              <w:jc w:val="left"/>
            </w:pPr>
            <w:r>
              <w:rPr>
                <w:color w:val="000000"/>
                <w:sz w:val="19"/>
              </w:rPr>
              <w:t xml:space="preserve">−2.52 ± 0.06</w:t>
            </w:r>
          </w:p>
        </w:tc>
        <w:tc>
          <w:tcPr>
            <w:tcW w:type="dxa" w:w="1874"/>
            <w:vAlign w:val="center"/>
            <w:shd w:fill="FFFFFF"/>
          </w:tcPr>
          <w:p>
            <w:pPr>
              <w:pStyle w:val="Compact"/>
              <w:keepNext w:val="0"/>
              <w:spacing w:after="40" w:before="40" w:line="264" w:lineRule="auto"/>
              <w:jc w:val="left"/>
            </w:pPr>
            <w:r>
              <w:rPr>
                <w:color w:val="000000"/>
                <w:sz w:val="19"/>
              </w:rPr>
              <w:t xml:space="preserve">0.16 ± 0.00</w:t>
            </w:r>
          </w:p>
        </w:tc>
        <w:tc>
          <w:tcPr>
            <w:tcW w:type="dxa" w:w="1874"/>
            <w:vAlign w:val="center"/>
            <w:shd w:fill="FFFFFF"/>
          </w:tcPr>
          <w:p>
            <w:pPr>
              <w:pStyle w:val="Compact"/>
              <w:keepNext w:val="0"/>
              <w:spacing w:after="40" w:before="40" w:line="264" w:lineRule="auto"/>
              <w:jc w:val="left"/>
            </w:pPr>
            <w:r>
              <w:rPr>
                <w:color w:val="000000"/>
                <w:sz w:val="19"/>
              </w:rPr>
              <w:t xml:space="preserve">0.32 ± 0.24</w:t>
            </w:r>
          </w:p>
        </w:tc>
        <w:tc>
          <w:tcPr>
            <w:tcW w:type="dxa" w:w="1874"/>
            <w:vAlign w:val="center"/>
            <w:shd w:fill="FFFFFF"/>
          </w:tcPr>
          <w:p>
            <w:pPr>
              <w:pStyle w:val="Compact"/>
              <w:keepNext w:val="0"/>
              <w:spacing w:after="40" w:before="40" w:line="264" w:lineRule="auto"/>
              <w:jc w:val="left"/>
            </w:pPr>
            <w:r>
              <w:rPr>
                <w:color w:val="000000"/>
                <w:sz w:val="19"/>
              </w:rPr>
              <w:t xml:space="preserve">0.16 ± 0.01</w:t>
            </w:r>
          </w:p>
        </w:tc>
      </w:tr>
    </w:tbl>
    <w:p>
      <w:pPr>
        <w:pStyle w:val="BodyText"/>
        <w:widowControl/>
      </w:pPr>
      <w:r>
        <w:t xml:space="preserve">Ours的Cal均值较低；但OOD NLL并不最好，MC Dropout与Ensemble更低。不能写成</w:t>
      </w:r>
      <w:r>
        <w:t xml:space="preserve">“</w:t>
      </w:r>
      <w:r>
        <w:t xml:space="preserve">天气OOD各项指标全面优于所有方法</w:t>
      </w:r>
      <w:r>
        <w:t xml:space="preserve">”</w:t>
      </w:r>
      <w:r>
        <w:t xml:space="preserve">。图3及补充图7–12用于展示预测区间形状，不能替代阈值检测评价。这里的误差尺度涉及温度归一化。</w:t>
      </w:r>
    </w:p>
    <w:bookmarkEnd w:id="43"/>
    <w:bookmarkStart w:id="44" w:name="葡萄酒-表3-pdf7页"/>
    <w:p>
      <w:pPr>
        <w:pStyle w:val="Heading3"/>
        <w:widowControl/>
      </w:pPr>
      <w:r>
        <w:rPr>
          <w:color w:val="000000"/>
        </w:rPr>
        <w:t xml:space="preserve">6 2 葡萄酒 表3 PDF7页</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场景与方法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IID Ours</w:t>
            </w:r>
          </w:p>
        </w:tc>
        <w:tc>
          <w:tcPr>
            <w:tcW w:type="dxa" w:w="1874"/>
            <w:vAlign w:val="center"/>
            <w:shd w:fill="FFFFFF"/>
          </w:tcPr>
          <w:p>
            <w:pPr>
              <w:pStyle w:val="Compact"/>
              <w:keepNext w:val="0"/>
              <w:spacing w:after="40" w:before="40" w:line="264" w:lineRule="auto"/>
              <w:jc w:val="left"/>
            </w:pPr>
            <w:r>
              <w:rPr>
                <w:color w:val="000000"/>
                <w:sz w:val="19"/>
              </w:rPr>
              <w:t xml:space="preserve">1.06 ± 0.01</w:t>
            </w:r>
          </w:p>
        </w:tc>
        <w:tc>
          <w:tcPr>
            <w:tcW w:type="dxa" w:w="1874"/>
            <w:vAlign w:val="center"/>
            <w:shd w:fill="FFFFFF"/>
          </w:tcPr>
          <w:p>
            <w:pPr>
              <w:pStyle w:val="Compact"/>
              <w:keepNext w:val="0"/>
              <w:spacing w:after="40" w:before="40" w:line="264" w:lineRule="auto"/>
              <w:jc w:val="left"/>
            </w:pPr>
            <w:r>
              <w:rPr>
                <w:color w:val="000000"/>
                <w:sz w:val="19"/>
              </w:rPr>
              <w:t xml:space="preserve">0.60 ± 0.01</w:t>
            </w:r>
          </w:p>
        </w:tc>
        <w:tc>
          <w:tcPr>
            <w:tcW w:type="dxa" w:w="1874"/>
            <w:vAlign w:val="center"/>
            <w:shd w:fill="FFFFFF"/>
          </w:tcPr>
          <w:p>
            <w:pPr>
              <w:pStyle w:val="Compact"/>
              <w:keepNext w:val="0"/>
              <w:spacing w:after="40" w:before="40" w:line="264" w:lineRule="auto"/>
              <w:jc w:val="left"/>
            </w:pPr>
            <w:r>
              <w:rPr>
                <w:color w:val="000000"/>
                <w:sz w:val="19"/>
              </w:rPr>
              <w:t xml:space="preserve">0.68 ± 0.02</w:t>
            </w:r>
          </w:p>
        </w:tc>
        <w:tc>
          <w:tcPr>
            <w:tcW w:type="dxa" w:w="1874"/>
            <w:vAlign w:val="center"/>
            <w:shd w:fill="FFFFFF"/>
          </w:tcPr>
          <w:p>
            <w:pPr>
              <w:pStyle w:val="Compact"/>
              <w:keepNext w:val="0"/>
              <w:spacing w:after="40" w:before="40" w:line="264" w:lineRule="auto"/>
              <w:jc w:val="left"/>
            </w:pPr>
            <w:r>
              <w:rPr>
                <w:color w:val="000000"/>
                <w:sz w:val="19"/>
              </w:rPr>
              <w:t xml:space="preserve">1.16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IID Ensemble</w:t>
            </w:r>
          </w:p>
        </w:tc>
        <w:tc>
          <w:tcPr>
            <w:tcW w:type="dxa" w:w="1874"/>
            <w:vAlign w:val="center"/>
            <w:shd w:fill="F7F8FA"/>
          </w:tcPr>
          <w:p>
            <w:pPr>
              <w:pStyle w:val="Compact"/>
              <w:keepNext w:val="0"/>
              <w:spacing w:after="40" w:before="40" w:line="264" w:lineRule="auto"/>
              <w:jc w:val="left"/>
            </w:pPr>
            <w:r>
              <w:rPr>
                <w:color w:val="000000"/>
                <w:sz w:val="19"/>
              </w:rPr>
              <w:t xml:space="preserve">1.06 ± 0.01</w:t>
            </w:r>
          </w:p>
        </w:tc>
        <w:tc>
          <w:tcPr>
            <w:tcW w:type="dxa" w:w="1874"/>
            <w:vAlign w:val="center"/>
            <w:shd w:fill="F7F8FA"/>
          </w:tcPr>
          <w:p>
            <w:pPr>
              <w:pStyle w:val="Compact"/>
              <w:keepNext w:val="0"/>
              <w:spacing w:after="40" w:before="40" w:line="264" w:lineRule="auto"/>
              <w:jc w:val="left"/>
            </w:pPr>
            <w:r>
              <w:rPr>
                <w:color w:val="000000"/>
                <w:sz w:val="19"/>
              </w:rPr>
              <w:t xml:space="preserve">0.60 ± 0.00</w:t>
            </w:r>
          </w:p>
        </w:tc>
        <w:tc>
          <w:tcPr>
            <w:tcW w:type="dxa" w:w="1874"/>
            <w:vAlign w:val="center"/>
            <w:shd w:fill="F7F8FA"/>
          </w:tcPr>
          <w:p>
            <w:pPr>
              <w:pStyle w:val="Compact"/>
              <w:keepNext w:val="0"/>
              <w:spacing w:after="40" w:before="40" w:line="264" w:lineRule="auto"/>
              <w:jc w:val="left"/>
            </w:pPr>
            <w:r>
              <w:rPr>
                <w:color w:val="000000"/>
                <w:sz w:val="19"/>
              </w:rPr>
              <w:t xml:space="preserve">0.68 ± 0.04</w:t>
            </w:r>
          </w:p>
        </w:tc>
        <w:tc>
          <w:tcPr>
            <w:tcW w:type="dxa" w:w="1874"/>
            <w:vAlign w:val="center"/>
            <w:shd w:fill="F7F8FA"/>
          </w:tcPr>
          <w:p>
            <w:pPr>
              <w:pStyle w:val="Compact"/>
              <w:keepNext w:val="0"/>
              <w:spacing w:after="40" w:before="40" w:line="264" w:lineRule="auto"/>
              <w:jc w:val="left"/>
            </w:pPr>
            <w:r>
              <w:rPr>
                <w:color w:val="000000"/>
                <w:sz w:val="19"/>
              </w:rPr>
              <w:t xml:space="preserve">1.15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Ours</w:t>
            </w:r>
          </w:p>
        </w:tc>
        <w:tc>
          <w:tcPr>
            <w:tcW w:type="dxa" w:w="1874"/>
            <w:vAlign w:val="center"/>
            <w:shd w:fill="FFFFFF"/>
          </w:tcPr>
          <w:p>
            <w:pPr>
              <w:pStyle w:val="Compact"/>
              <w:keepNext w:val="0"/>
              <w:spacing w:after="40" w:before="40" w:line="264" w:lineRule="auto"/>
              <w:jc w:val="left"/>
            </w:pPr>
            <w:r>
              <w:rPr>
                <w:color w:val="000000"/>
                <w:sz w:val="19"/>
              </w:rPr>
              <w:t xml:space="preserve">1.21 ± 0.02</w:t>
            </w:r>
          </w:p>
        </w:tc>
        <w:tc>
          <w:tcPr>
            <w:tcW w:type="dxa" w:w="1874"/>
            <w:vAlign w:val="center"/>
            <w:shd w:fill="FFFFFF"/>
          </w:tcPr>
          <w:p>
            <w:pPr>
              <w:pStyle w:val="Compact"/>
              <w:keepNext w:val="0"/>
              <w:spacing w:after="40" w:before="40" w:line="264" w:lineRule="auto"/>
              <w:jc w:val="left"/>
            </w:pPr>
            <w:r>
              <w:rPr>
                <w:color w:val="000000"/>
                <w:sz w:val="19"/>
              </w:rPr>
              <w:t xml:space="preserve">0.81 ± 0.03</w:t>
            </w:r>
          </w:p>
        </w:tc>
        <w:tc>
          <w:tcPr>
            <w:tcW w:type="dxa" w:w="1874"/>
            <w:vAlign w:val="center"/>
            <w:shd w:fill="FFFFFF"/>
          </w:tcPr>
          <w:p>
            <w:pPr>
              <w:pStyle w:val="Compact"/>
              <w:keepNext w:val="0"/>
              <w:spacing w:after="40" w:before="40" w:line="264" w:lineRule="auto"/>
              <w:jc w:val="left"/>
            </w:pPr>
            <w:r>
              <w:rPr>
                <w:color w:val="000000"/>
                <w:sz w:val="19"/>
              </w:rPr>
              <w:t xml:space="preserve">0.43 ± 0.20</w:t>
            </w:r>
          </w:p>
        </w:tc>
        <w:tc>
          <w:tcPr>
            <w:tcW w:type="dxa" w:w="1874"/>
            <w:vAlign w:val="center"/>
            <w:shd w:fill="FFFFFF"/>
          </w:tcPr>
          <w:p>
            <w:pPr>
              <w:pStyle w:val="Compact"/>
              <w:keepNext w:val="0"/>
              <w:spacing w:after="40" w:before="40" w:line="264" w:lineRule="auto"/>
              <w:jc w:val="left"/>
            </w:pPr>
            <w:r>
              <w:rPr>
                <w:color w:val="000000"/>
                <w:sz w:val="19"/>
              </w:rPr>
              <w:t xml:space="preserve">1.07 ± 0.01</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OOD Ensemble</w:t>
            </w:r>
          </w:p>
        </w:tc>
        <w:tc>
          <w:tcPr>
            <w:tcW w:type="dxa" w:w="1874"/>
            <w:vAlign w:val="center"/>
            <w:shd w:fill="F7F8FA"/>
          </w:tcPr>
          <w:p>
            <w:pPr>
              <w:pStyle w:val="Compact"/>
              <w:keepNext w:val="0"/>
              <w:spacing w:after="40" w:before="40" w:line="264" w:lineRule="auto"/>
              <w:jc w:val="left"/>
            </w:pPr>
            <w:r>
              <w:rPr>
                <w:color w:val="000000"/>
                <w:sz w:val="19"/>
              </w:rPr>
              <w:t xml:space="preserve">1.21 ± 0.02</w:t>
            </w:r>
          </w:p>
        </w:tc>
        <w:tc>
          <w:tcPr>
            <w:tcW w:type="dxa" w:w="1874"/>
            <w:vAlign w:val="center"/>
            <w:shd w:fill="F7F8FA"/>
          </w:tcPr>
          <w:p>
            <w:pPr>
              <w:pStyle w:val="Compact"/>
              <w:keepNext w:val="0"/>
              <w:spacing w:after="40" w:before="40" w:line="264" w:lineRule="auto"/>
              <w:jc w:val="left"/>
            </w:pPr>
            <w:r>
              <w:rPr>
                <w:color w:val="000000"/>
                <w:sz w:val="19"/>
              </w:rPr>
              <w:t xml:space="preserve">0.80 ± 0.02</w:t>
            </w:r>
          </w:p>
        </w:tc>
        <w:tc>
          <w:tcPr>
            <w:tcW w:type="dxa" w:w="1874"/>
            <w:vAlign w:val="center"/>
            <w:shd w:fill="F7F8FA"/>
          </w:tcPr>
          <w:p>
            <w:pPr>
              <w:pStyle w:val="Compact"/>
              <w:keepNext w:val="0"/>
              <w:spacing w:after="40" w:before="40" w:line="264" w:lineRule="auto"/>
              <w:jc w:val="left"/>
            </w:pPr>
            <w:r>
              <w:rPr>
                <w:color w:val="000000"/>
                <w:sz w:val="19"/>
              </w:rPr>
              <w:t xml:space="preserve">0.44 ± 0.22</w:t>
            </w:r>
          </w:p>
        </w:tc>
        <w:tc>
          <w:tcPr>
            <w:tcW w:type="dxa" w:w="1874"/>
            <w:vAlign w:val="center"/>
            <w:shd w:fill="F7F8FA"/>
          </w:tcPr>
          <w:p>
            <w:pPr>
              <w:pStyle w:val="Compact"/>
              <w:keepNext w:val="0"/>
              <w:spacing w:after="40" w:before="40" w:line="264" w:lineRule="auto"/>
              <w:jc w:val="left"/>
            </w:pPr>
            <w:r>
              <w:rPr>
                <w:color w:val="000000"/>
                <w:sz w:val="19"/>
              </w:rPr>
              <w:t xml:space="preserve">1.09 ± 0.02</w:t>
            </w:r>
          </w:p>
        </w:tc>
      </w:tr>
    </w:tbl>
    <w:p>
      <w:pPr>
        <w:pStyle w:val="BodyText"/>
        <w:widowControl/>
      </w:pPr>
      <w:r>
        <w:t xml:space="preserve">结论是与集成接近。Cal的0.01差值远小于表中误差项，不应仅据均值宣布显著优势。白葡萄酒是域外样本，不等于品质差或观测异常。</w:t>
      </w:r>
    </w:p>
    <w:bookmarkEnd w:id="44"/>
    <w:bookmarkStart w:id="45" w:name="单目深度估计-表4-pdf8页"/>
    <w:p>
      <w:pPr>
        <w:pStyle w:val="Heading3"/>
        <w:widowControl/>
      </w:pPr>
      <w:r>
        <w:rPr>
          <w:color w:val="000000"/>
        </w:rPr>
        <w:t xml:space="preserve">6 3 单目深度估计 表4 PDF8页</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场景与方法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NYU IID Ours</w:t>
            </w:r>
          </w:p>
        </w:tc>
        <w:tc>
          <w:tcPr>
            <w:tcW w:type="dxa" w:w="1874"/>
            <w:vAlign w:val="center"/>
            <w:shd w:fill="FFFFFF"/>
          </w:tcPr>
          <w:p>
            <w:pPr>
              <w:pStyle w:val="Compact"/>
              <w:keepNext w:val="0"/>
              <w:spacing w:after="40" w:before="40" w:line="264" w:lineRule="auto"/>
              <w:jc w:val="center"/>
            </w:pPr>
            <w:r>
              <w:rPr>
                <w:color w:val="000000"/>
                <w:sz w:val="19"/>
              </w:rPr>
              <w:t xml:space="preserve">−2.1203</w:t>
            </w:r>
          </w:p>
        </w:tc>
        <w:tc>
          <w:tcPr>
            <w:tcW w:type="dxa" w:w="1874"/>
            <w:vAlign w:val="center"/>
            <w:shd w:fill="FFFFFF"/>
          </w:tcPr>
          <w:p>
            <w:pPr>
              <w:pStyle w:val="Compact"/>
              <w:keepNext w:val="0"/>
              <w:spacing w:after="40" w:before="40" w:line="264" w:lineRule="auto"/>
              <w:jc w:val="center"/>
            </w:pPr>
            <w:r>
              <w:rPr>
                <w:color w:val="000000"/>
                <w:sz w:val="19"/>
              </w:rPr>
              <w:t xml:space="preserve">0.0362</w:t>
            </w:r>
          </w:p>
        </w:tc>
        <w:tc>
          <w:tcPr>
            <w:tcW w:type="dxa" w:w="1874"/>
            <w:vAlign w:val="center"/>
            <w:shd w:fill="FFFFFF"/>
          </w:tcPr>
          <w:p>
            <w:pPr>
              <w:pStyle w:val="Compact"/>
              <w:keepNext w:val="0"/>
              <w:spacing w:after="40" w:before="40" w:line="264" w:lineRule="auto"/>
              <w:jc w:val="center"/>
            </w:pPr>
            <w:r>
              <w:rPr>
                <w:color w:val="000000"/>
                <w:sz w:val="19"/>
              </w:rPr>
              <w:t xml:space="preserve">0.0810</w:t>
            </w:r>
          </w:p>
        </w:tc>
        <w:tc>
          <w:tcPr>
            <w:tcW w:type="dxa" w:w="1874"/>
            <w:vAlign w:val="center"/>
            <w:shd w:fill="FFFFFF"/>
          </w:tcPr>
          <w:p>
            <w:pPr>
              <w:pStyle w:val="Compact"/>
              <w:keepNext w:val="0"/>
              <w:spacing w:after="40" w:before="40" w:line="264" w:lineRule="auto"/>
              <w:jc w:val="center"/>
            </w:pPr>
            <w:r>
              <w:rPr>
                <w:color w:val="000000"/>
                <w:sz w:val="19"/>
              </w:rPr>
              <w:t xml:space="preserve">0.0377</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NYU IID Ensemble</w:t>
            </w:r>
          </w:p>
        </w:tc>
        <w:tc>
          <w:tcPr>
            <w:tcW w:type="dxa" w:w="1874"/>
            <w:vAlign w:val="center"/>
            <w:shd w:fill="F7F8FA"/>
          </w:tcPr>
          <w:p>
            <w:pPr>
              <w:pStyle w:val="Compact"/>
              <w:keepNext w:val="0"/>
              <w:spacing w:after="40" w:before="40" w:line="264" w:lineRule="auto"/>
              <w:jc w:val="center"/>
            </w:pPr>
            <w:r>
              <w:rPr>
                <w:color w:val="000000"/>
                <w:sz w:val="19"/>
              </w:rPr>
              <w:t xml:space="preserve">−2.6581</w:t>
            </w:r>
          </w:p>
        </w:tc>
        <w:tc>
          <w:tcPr>
            <w:tcW w:type="dxa" w:w="1874"/>
            <w:vAlign w:val="center"/>
            <w:shd w:fill="F7F8FA"/>
          </w:tcPr>
          <w:p>
            <w:pPr>
              <w:pStyle w:val="Compact"/>
              <w:keepNext w:val="0"/>
              <w:spacing w:after="40" w:before="40" w:line="264" w:lineRule="auto"/>
              <w:jc w:val="center"/>
            </w:pPr>
            <w:r>
              <w:rPr>
                <w:color w:val="000000"/>
                <w:sz w:val="19"/>
              </w:rPr>
              <w:t xml:space="preserve">0.0304</w:t>
            </w:r>
          </w:p>
        </w:tc>
        <w:tc>
          <w:tcPr>
            <w:tcW w:type="dxa" w:w="1874"/>
            <w:vAlign w:val="center"/>
            <w:shd w:fill="F7F8FA"/>
          </w:tcPr>
          <w:p>
            <w:pPr>
              <w:pStyle w:val="Compact"/>
              <w:keepNext w:val="0"/>
              <w:spacing w:after="40" w:before="40" w:line="264" w:lineRule="auto"/>
              <w:jc w:val="center"/>
            </w:pPr>
            <w:r>
              <w:rPr>
                <w:color w:val="000000"/>
                <w:sz w:val="19"/>
              </w:rPr>
              <w:t xml:space="preserve">0.0892</w:t>
            </w:r>
          </w:p>
        </w:tc>
        <w:tc>
          <w:tcPr>
            <w:tcW w:type="dxa" w:w="1874"/>
            <w:vAlign w:val="center"/>
            <w:shd w:fill="F7F8FA"/>
          </w:tcPr>
          <w:p>
            <w:pPr>
              <w:pStyle w:val="Compact"/>
              <w:keepNext w:val="0"/>
              <w:spacing w:after="40" w:before="40" w:line="264" w:lineRule="auto"/>
              <w:jc w:val="center"/>
            </w:pPr>
            <w:r>
              <w:rPr>
                <w:color w:val="000000"/>
                <w:sz w:val="19"/>
              </w:rPr>
              <w:t xml:space="preserve">0.0417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cOOD Ours</w:t>
            </w:r>
          </w:p>
        </w:tc>
        <w:tc>
          <w:tcPr>
            <w:tcW w:type="dxa" w:w="1874"/>
            <w:vAlign w:val="center"/>
            <w:shd w:fill="FFFFFF"/>
          </w:tcPr>
          <w:p>
            <w:pPr>
              <w:pStyle w:val="Compact"/>
              <w:keepNext w:val="0"/>
              <w:spacing w:after="40" w:before="40" w:line="264" w:lineRule="auto"/>
              <w:jc w:val="center"/>
            </w:pPr>
            <w:r>
              <w:rPr>
                <w:color w:val="000000"/>
                <w:sz w:val="19"/>
              </w:rPr>
              <w:t xml:space="preserve">−2.2337</w:t>
            </w:r>
          </w:p>
        </w:tc>
        <w:tc>
          <w:tcPr>
            <w:tcW w:type="dxa" w:w="1874"/>
            <w:vAlign w:val="center"/>
            <w:shd w:fill="FFFFFF"/>
          </w:tcPr>
          <w:p>
            <w:pPr>
              <w:pStyle w:val="Compact"/>
              <w:keepNext w:val="0"/>
              <w:spacing w:after="40" w:before="40" w:line="264" w:lineRule="auto"/>
              <w:jc w:val="center"/>
            </w:pPr>
            <w:r>
              <w:rPr>
                <w:color w:val="000000"/>
                <w:sz w:val="19"/>
              </w:rPr>
              <w:t xml:space="preserve">0.0601</w:t>
            </w:r>
          </w:p>
        </w:tc>
        <w:tc>
          <w:tcPr>
            <w:tcW w:type="dxa" w:w="1874"/>
            <w:vAlign w:val="center"/>
            <w:shd w:fill="FFFFFF"/>
          </w:tcPr>
          <w:p>
            <w:pPr>
              <w:pStyle w:val="Compact"/>
              <w:keepNext w:val="0"/>
              <w:spacing w:after="40" w:before="40" w:line="264" w:lineRule="auto"/>
              <w:jc w:val="center"/>
            </w:pPr>
            <w:r>
              <w:rPr>
                <w:color w:val="000000"/>
                <w:sz w:val="19"/>
              </w:rPr>
              <w:t xml:space="preserve">0.5431</w:t>
            </w:r>
          </w:p>
        </w:tc>
        <w:tc>
          <w:tcPr>
            <w:tcW w:type="dxa" w:w="1874"/>
            <w:vAlign w:val="center"/>
            <w:shd w:fill="FFFFFF"/>
          </w:tcPr>
          <w:p>
            <w:pPr>
              <w:pStyle w:val="Compact"/>
              <w:keepNext w:val="0"/>
              <w:spacing w:after="40" w:before="40" w:line="264" w:lineRule="auto"/>
              <w:jc w:val="center"/>
            </w:pPr>
            <w:r>
              <w:rPr>
                <w:color w:val="000000"/>
                <w:sz w:val="19"/>
              </w:rPr>
              <w:t xml:space="preserve">0.0445</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cOOD Ensemble</w:t>
            </w:r>
          </w:p>
        </w:tc>
        <w:tc>
          <w:tcPr>
            <w:tcW w:type="dxa" w:w="1874"/>
            <w:vAlign w:val="center"/>
            <w:shd w:fill="F7F8FA"/>
          </w:tcPr>
          <w:p>
            <w:pPr>
              <w:pStyle w:val="Compact"/>
              <w:keepNext w:val="0"/>
              <w:spacing w:after="40" w:before="40" w:line="264" w:lineRule="auto"/>
              <w:jc w:val="center"/>
            </w:pPr>
            <w:r>
              <w:rPr>
                <w:color w:val="000000"/>
                <w:sz w:val="19"/>
              </w:rPr>
              <w:t xml:space="preserve">−2.3884</w:t>
            </w:r>
          </w:p>
        </w:tc>
        <w:tc>
          <w:tcPr>
            <w:tcW w:type="dxa" w:w="1874"/>
            <w:vAlign w:val="center"/>
            <w:shd w:fill="F7F8FA"/>
          </w:tcPr>
          <w:p>
            <w:pPr>
              <w:pStyle w:val="Compact"/>
              <w:keepNext w:val="0"/>
              <w:spacing w:after="40" w:before="40" w:line="264" w:lineRule="auto"/>
              <w:jc w:val="center"/>
            </w:pPr>
            <w:r>
              <w:rPr>
                <w:color w:val="000000"/>
                <w:sz w:val="19"/>
              </w:rPr>
              <w:t xml:space="preserve">0.0593</w:t>
            </w:r>
          </w:p>
        </w:tc>
        <w:tc>
          <w:tcPr>
            <w:tcW w:type="dxa" w:w="1874"/>
            <w:vAlign w:val="center"/>
            <w:shd w:fill="F7F8FA"/>
          </w:tcPr>
          <w:p>
            <w:pPr>
              <w:pStyle w:val="Compact"/>
              <w:keepNext w:val="0"/>
              <w:spacing w:after="40" w:before="40" w:line="264" w:lineRule="auto"/>
              <w:jc w:val="center"/>
            </w:pPr>
            <w:r>
              <w:rPr>
                <w:color w:val="000000"/>
                <w:sz w:val="19"/>
              </w:rPr>
              <w:t xml:space="preserve">0.5996</w:t>
            </w:r>
          </w:p>
        </w:tc>
        <w:tc>
          <w:tcPr>
            <w:tcW w:type="dxa" w:w="1874"/>
            <w:vAlign w:val="center"/>
            <w:shd w:fill="F7F8FA"/>
          </w:tcPr>
          <w:p>
            <w:pPr>
              <w:pStyle w:val="Compact"/>
              <w:keepNext w:val="0"/>
              <w:spacing w:after="40" w:before="40" w:line="264" w:lineRule="auto"/>
              <w:jc w:val="center"/>
            </w:pPr>
            <w:r>
              <w:rPr>
                <w:color w:val="000000"/>
                <w:sz w:val="19"/>
              </w:rPr>
              <w:t xml:space="preserve">0.0425</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ApolloScape Ours</w:t>
            </w:r>
          </w:p>
        </w:tc>
        <w:tc>
          <w:tcPr>
            <w:tcW w:type="dxa" w:w="1874"/>
            <w:vAlign w:val="center"/>
            <w:shd w:fill="FFFFFF"/>
          </w:tcPr>
          <w:p>
            <w:pPr>
              <w:pStyle w:val="Compact"/>
              <w:keepNext w:val="0"/>
              <w:spacing w:after="40" w:before="40" w:line="264" w:lineRule="auto"/>
              <w:jc w:val="center"/>
            </w:pPr>
            <w:r>
              <w:rPr>
                <w:color w:val="000000"/>
                <w:sz w:val="19"/>
              </w:rPr>
              <w:t xml:space="preserve">4.4738</w:t>
            </w:r>
          </w:p>
        </w:tc>
        <w:tc>
          <w:tcPr>
            <w:tcW w:type="dxa" w:w="1874"/>
            <w:vAlign w:val="center"/>
            <w:shd w:fill="FFFFFF"/>
          </w:tcPr>
          <w:p>
            <w:pPr>
              <w:pStyle w:val="Compact"/>
              <w:keepNext w:val="0"/>
              <w:spacing w:after="40" w:before="40" w:line="264" w:lineRule="auto"/>
              <w:jc w:val="center"/>
            </w:pPr>
            <w:r>
              <w:rPr>
                <w:color w:val="000000"/>
                <w:sz w:val="19"/>
              </w:rPr>
              <w:t xml:space="preserve">0.3596</w:t>
            </w:r>
          </w:p>
        </w:tc>
        <w:tc>
          <w:tcPr>
            <w:tcW w:type="dxa" w:w="1874"/>
            <w:vAlign w:val="center"/>
            <w:shd w:fill="FFFFFF"/>
          </w:tcPr>
          <w:p>
            <w:pPr>
              <w:pStyle w:val="Compact"/>
              <w:keepNext w:val="0"/>
              <w:spacing w:after="40" w:before="40" w:line="264" w:lineRule="auto"/>
              <w:jc w:val="center"/>
            </w:pPr>
            <w:r>
              <w:rPr>
                <w:color w:val="000000"/>
                <w:sz w:val="19"/>
              </w:rPr>
              <w:t xml:space="preserve">20.7369</w:t>
            </w:r>
          </w:p>
        </w:tc>
        <w:tc>
          <w:tcPr>
            <w:tcW w:type="dxa" w:w="1874"/>
            <w:vAlign w:val="center"/>
            <w:shd w:fill="FFFFFF"/>
          </w:tcPr>
          <w:p>
            <w:pPr>
              <w:pStyle w:val="Compact"/>
              <w:keepNext w:val="0"/>
              <w:spacing w:after="40" w:before="40" w:line="264" w:lineRule="auto"/>
              <w:jc w:val="center"/>
            </w:pPr>
            <w:r>
              <w:rPr>
                <w:color w:val="000000"/>
                <w:sz w:val="19"/>
              </w:rPr>
              <w:t xml:space="preserve">0.1359</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ApolloScape Ensemble</w:t>
            </w:r>
          </w:p>
        </w:tc>
        <w:tc>
          <w:tcPr>
            <w:tcW w:type="dxa" w:w="1874"/>
            <w:vAlign w:val="center"/>
            <w:shd w:fill="F7F8FA"/>
          </w:tcPr>
          <w:p>
            <w:pPr>
              <w:pStyle w:val="Compact"/>
              <w:keepNext w:val="0"/>
              <w:spacing w:after="40" w:before="40" w:line="264" w:lineRule="auto"/>
              <w:jc w:val="center"/>
            </w:pPr>
            <w:r>
              <w:rPr>
                <w:color w:val="000000"/>
                <w:sz w:val="19"/>
              </w:rPr>
              <w:t xml:space="preserve">4.5459</w:t>
            </w:r>
          </w:p>
        </w:tc>
        <w:tc>
          <w:tcPr>
            <w:tcW w:type="dxa" w:w="1874"/>
            <w:vAlign w:val="center"/>
            <w:shd w:fill="F7F8FA"/>
          </w:tcPr>
          <w:p>
            <w:pPr>
              <w:pStyle w:val="Compact"/>
              <w:keepNext w:val="0"/>
              <w:spacing w:after="40" w:before="40" w:line="264" w:lineRule="auto"/>
              <w:jc w:val="center"/>
            </w:pPr>
            <w:r>
              <w:rPr>
                <w:color w:val="000000"/>
                <w:sz w:val="19"/>
              </w:rPr>
              <w:t xml:space="preserve">0.3440</w:t>
            </w:r>
          </w:p>
        </w:tc>
        <w:tc>
          <w:tcPr>
            <w:tcW w:type="dxa" w:w="1874"/>
            <w:vAlign w:val="center"/>
            <w:shd w:fill="F7F8FA"/>
          </w:tcPr>
          <w:p>
            <w:pPr>
              <w:pStyle w:val="Compact"/>
              <w:keepNext w:val="0"/>
              <w:spacing w:after="40" w:before="40" w:line="264" w:lineRule="auto"/>
              <w:jc w:val="center"/>
            </w:pPr>
            <w:r>
              <w:rPr>
                <w:color w:val="000000"/>
                <w:sz w:val="19"/>
              </w:rPr>
              <w:t xml:space="preserve">22.6413</w:t>
            </w:r>
          </w:p>
        </w:tc>
        <w:tc>
          <w:tcPr>
            <w:tcW w:type="dxa" w:w="1874"/>
            <w:vAlign w:val="center"/>
            <w:shd w:fill="F7F8FA"/>
          </w:tcPr>
          <w:p>
            <w:pPr>
              <w:pStyle w:val="Compact"/>
              <w:keepNext w:val="0"/>
              <w:spacing w:after="40" w:before="40" w:line="264" w:lineRule="auto"/>
              <w:jc w:val="center"/>
            </w:pPr>
            <w:r>
              <w:rPr>
                <w:color w:val="000000"/>
                <w:sz w:val="19"/>
              </w:rPr>
              <w:t xml:space="preserve">0.1323</w:t>
            </w:r>
          </w:p>
        </w:tc>
      </w:tr>
    </w:tbl>
    <w:p>
      <w:pPr>
        <w:pStyle w:val="BodyText"/>
        <w:widowControl/>
      </w:pPr>
      <w:r>
        <w:t xml:space="preserve">Ours在三个域的Cal较低，但Ensemble在三个域的RMSE均较低。ApolloScape上Cal虽然相对改善，绝对值仍大，不能说模型已经在户外可靠校准。深度图以像素预测为主，也没有给出</w:t>
      </w:r>
      <w:r>
        <w:t xml:space="preserve">“</w:t>
      </w:r>
      <w:r>
        <w:t xml:space="preserve">整张图是否学习外</w:t>
      </w:r>
      <w:r>
        <w:t xml:space="preserve">”</w:t>
      </w:r>
      <w:r>
        <w:t xml:space="preserve">的阈值。</w:t>
      </w:r>
    </w:p>
    <w:bookmarkEnd w:id="45"/>
    <w:bookmarkStart w:id="46" w:name="附录9个uci基准-pdf25页表5至13"/>
    <w:p>
      <w:pPr>
        <w:pStyle w:val="Heading3"/>
        <w:widowControl/>
      </w:pPr>
      <w:r>
        <w:rPr>
          <w:color w:val="000000"/>
        </w:rPr>
        <w:t xml:space="preserve">6 4 附录9个UCI基准 PDF25页表5至13</w:t>
      </w:r>
    </w:p>
    <w:p>
      <w:pPr>
        <w:pStyle w:val="FirstParagraph"/>
        <w:widowControl/>
      </w:pPr>
      <w:r>
        <w:t xml:space="preserve">表中每格写</w:t>
      </w:r>
      <w:r>
        <w:t xml:space="preserve">“</w:t>
      </w:r>
      <w:r>
        <w:t xml:space="preserve">Ours / Ensemble</w:t>
      </w:r>
      <w:r>
        <w:t xml:space="preserve">”</w:t>
      </w:r>
      <w:r>
        <w:t xml:space="preserve">的均值，完整误差项见原表。这9组是常规IID回归评价，不能与红白葡萄酒的OOD试验混同。</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数据集</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Boston</w:t>
            </w:r>
          </w:p>
        </w:tc>
        <w:tc>
          <w:tcPr>
            <w:tcW w:type="dxa" w:w="1874"/>
            <w:vAlign w:val="center"/>
            <w:shd w:fill="FFFFFF"/>
          </w:tcPr>
          <w:p>
            <w:pPr>
              <w:pStyle w:val="Compact"/>
              <w:keepNext w:val="0"/>
              <w:spacing w:after="40" w:before="40" w:line="264" w:lineRule="auto"/>
              <w:jc w:val="left"/>
            </w:pPr>
            <w:r>
              <w:rPr>
                <w:color w:val="000000"/>
                <w:sz w:val="19"/>
              </w:rPr>
              <w:t xml:space="preserve">2.46 / 2.30</w:t>
            </w:r>
          </w:p>
        </w:tc>
        <w:tc>
          <w:tcPr>
            <w:tcW w:type="dxa" w:w="1874"/>
            <w:vAlign w:val="center"/>
            <w:shd w:fill="FFFFFF"/>
          </w:tcPr>
          <w:p>
            <w:pPr>
              <w:pStyle w:val="Compact"/>
              <w:keepNext w:val="0"/>
              <w:spacing w:after="40" w:before="40" w:line="264" w:lineRule="auto"/>
              <w:jc w:val="left"/>
            </w:pPr>
            <w:r>
              <w:rPr>
                <w:color w:val="000000"/>
                <w:sz w:val="19"/>
              </w:rPr>
              <w:t xml:space="preserve">2.93 / 2.91</w:t>
            </w:r>
          </w:p>
        </w:tc>
        <w:tc>
          <w:tcPr>
            <w:tcW w:type="dxa" w:w="1874"/>
            <w:vAlign w:val="center"/>
            <w:shd w:fill="FFFFFF"/>
          </w:tcPr>
          <w:p>
            <w:pPr>
              <w:pStyle w:val="Compact"/>
              <w:keepNext w:val="0"/>
              <w:spacing w:after="40" w:before="40" w:line="264" w:lineRule="auto"/>
              <w:jc w:val="left"/>
            </w:pPr>
            <w:r>
              <w:rPr>
                <w:color w:val="000000"/>
                <w:sz w:val="19"/>
              </w:rPr>
              <w:t xml:space="preserve">0.22 / 0.25</w:t>
            </w:r>
          </w:p>
        </w:tc>
        <w:tc>
          <w:tcPr>
            <w:tcW w:type="dxa" w:w="1874"/>
            <w:vAlign w:val="center"/>
            <w:shd w:fill="FFFFFF"/>
          </w:tcPr>
          <w:p>
            <w:pPr>
              <w:pStyle w:val="Compact"/>
              <w:keepNext w:val="0"/>
              <w:spacing w:after="40" w:before="40" w:line="264" w:lineRule="auto"/>
              <w:jc w:val="left"/>
            </w:pPr>
            <w:r>
              <w:rPr>
                <w:color w:val="000000"/>
                <w:sz w:val="19"/>
              </w:rPr>
              <w:t xml:space="preserve">0.37 / 0.40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Concrete</w:t>
            </w:r>
          </w:p>
        </w:tc>
        <w:tc>
          <w:tcPr>
            <w:tcW w:type="dxa" w:w="1874"/>
            <w:vAlign w:val="center"/>
            <w:shd w:fill="F7F8FA"/>
          </w:tcPr>
          <w:p>
            <w:pPr>
              <w:pStyle w:val="Compact"/>
              <w:keepNext w:val="0"/>
              <w:spacing w:after="40" w:before="40" w:line="264" w:lineRule="auto"/>
              <w:jc w:val="left"/>
            </w:pPr>
            <w:r>
              <w:rPr>
                <w:color w:val="000000"/>
                <w:sz w:val="19"/>
              </w:rPr>
              <w:t xml:space="preserve">2.97 / 2.93</w:t>
            </w:r>
          </w:p>
        </w:tc>
        <w:tc>
          <w:tcPr>
            <w:tcW w:type="dxa" w:w="1874"/>
            <w:vAlign w:val="center"/>
            <w:shd w:fill="F7F8FA"/>
          </w:tcPr>
          <w:p>
            <w:pPr>
              <w:pStyle w:val="Compact"/>
              <w:keepNext w:val="0"/>
              <w:spacing w:after="40" w:before="40" w:line="264" w:lineRule="auto"/>
              <w:jc w:val="left"/>
            </w:pPr>
            <w:r>
              <w:rPr>
                <w:color w:val="000000"/>
                <w:sz w:val="19"/>
              </w:rPr>
              <w:t xml:space="preserve">4.94 / 4.82</w:t>
            </w:r>
          </w:p>
        </w:tc>
        <w:tc>
          <w:tcPr>
            <w:tcW w:type="dxa" w:w="1874"/>
            <w:vAlign w:val="center"/>
            <w:shd w:fill="F7F8FA"/>
          </w:tcPr>
          <w:p>
            <w:pPr>
              <w:pStyle w:val="Compact"/>
              <w:keepNext w:val="0"/>
              <w:spacing w:after="40" w:before="40" w:line="264" w:lineRule="auto"/>
              <w:jc w:val="left"/>
            </w:pPr>
            <w:r>
              <w:rPr>
                <w:color w:val="000000"/>
                <w:sz w:val="19"/>
              </w:rPr>
              <w:t xml:space="preserve">0.23 / 0.44</w:t>
            </w:r>
          </w:p>
        </w:tc>
        <w:tc>
          <w:tcPr>
            <w:tcW w:type="dxa" w:w="1874"/>
            <w:vAlign w:val="center"/>
            <w:shd w:fill="F7F8FA"/>
          </w:tcPr>
          <w:p>
            <w:pPr>
              <w:pStyle w:val="Compact"/>
              <w:keepNext w:val="0"/>
              <w:spacing w:after="40" w:before="40" w:line="264" w:lineRule="auto"/>
              <w:jc w:val="left"/>
            </w:pPr>
            <w:r>
              <w:rPr>
                <w:color w:val="000000"/>
                <w:sz w:val="19"/>
              </w:rPr>
              <w:t xml:space="preserve">0.30 / 0.37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Energy</w:t>
            </w:r>
          </w:p>
        </w:tc>
        <w:tc>
          <w:tcPr>
            <w:tcW w:type="dxa" w:w="1874"/>
            <w:vAlign w:val="center"/>
            <w:shd w:fill="FFFFFF"/>
          </w:tcPr>
          <w:p>
            <w:pPr>
              <w:pStyle w:val="Compact"/>
              <w:keepNext w:val="0"/>
              <w:spacing w:after="40" w:before="40" w:line="264" w:lineRule="auto"/>
              <w:jc w:val="left"/>
            </w:pPr>
            <w:r>
              <w:rPr>
                <w:color w:val="000000"/>
                <w:sz w:val="19"/>
              </w:rPr>
              <w:t xml:space="preserve">1.56 / 1.53</w:t>
            </w:r>
          </w:p>
        </w:tc>
        <w:tc>
          <w:tcPr>
            <w:tcW w:type="dxa" w:w="1874"/>
            <w:vAlign w:val="center"/>
            <w:shd w:fill="FFFFFF"/>
          </w:tcPr>
          <w:p>
            <w:pPr>
              <w:pStyle w:val="Compact"/>
              <w:keepNext w:val="0"/>
              <w:spacing w:after="40" w:before="40" w:line="264" w:lineRule="auto"/>
              <w:jc w:val="left"/>
            </w:pPr>
            <w:r>
              <w:rPr>
                <w:color w:val="000000"/>
                <w:sz w:val="19"/>
              </w:rPr>
              <w:t xml:space="preserve">2.15 / 2.14</w:t>
            </w:r>
          </w:p>
        </w:tc>
        <w:tc>
          <w:tcPr>
            <w:tcW w:type="dxa" w:w="1874"/>
            <w:vAlign w:val="center"/>
            <w:shd w:fill="FFFFFF"/>
          </w:tcPr>
          <w:p>
            <w:pPr>
              <w:pStyle w:val="Compact"/>
              <w:keepNext w:val="0"/>
              <w:spacing w:after="40" w:before="40" w:line="264" w:lineRule="auto"/>
              <w:jc w:val="left"/>
            </w:pPr>
            <w:r>
              <w:rPr>
                <w:color w:val="000000"/>
                <w:sz w:val="19"/>
              </w:rPr>
              <w:t xml:space="preserve">0.77 / 0.67</w:t>
            </w:r>
          </w:p>
        </w:tc>
        <w:tc>
          <w:tcPr>
            <w:tcW w:type="dxa" w:w="1874"/>
            <w:vAlign w:val="center"/>
            <w:shd w:fill="FFFFFF"/>
          </w:tcPr>
          <w:p>
            <w:pPr>
              <w:pStyle w:val="Compact"/>
              <w:keepNext w:val="0"/>
              <w:spacing w:after="40" w:before="40" w:line="264" w:lineRule="auto"/>
              <w:jc w:val="left"/>
            </w:pPr>
            <w:r>
              <w:rPr>
                <w:color w:val="000000"/>
                <w:sz w:val="19"/>
              </w:rPr>
              <w:t xml:space="preserve">0.22 / 0.24</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Kin8nm</w:t>
            </w:r>
          </w:p>
        </w:tc>
        <w:tc>
          <w:tcPr>
            <w:tcW w:type="dxa" w:w="1874"/>
            <w:vAlign w:val="center"/>
            <w:shd w:fill="F7F8FA"/>
          </w:tcPr>
          <w:p>
            <w:pPr>
              <w:pStyle w:val="Compact"/>
              <w:keepNext w:val="0"/>
              <w:spacing w:after="40" w:before="40" w:line="264" w:lineRule="auto"/>
              <w:jc w:val="left"/>
            </w:pPr>
            <w:r>
              <w:rPr>
                <w:color w:val="000000"/>
                <w:sz w:val="19"/>
              </w:rPr>
              <w:t xml:space="preserve">−1.22 / −1.25</w:t>
            </w:r>
          </w:p>
        </w:tc>
        <w:tc>
          <w:tcPr>
            <w:tcW w:type="dxa" w:w="1874"/>
            <w:vAlign w:val="center"/>
            <w:shd w:fill="F7F8FA"/>
          </w:tcPr>
          <w:p>
            <w:pPr>
              <w:pStyle w:val="Compact"/>
              <w:keepNext w:val="0"/>
              <w:spacing w:after="40" w:before="40" w:line="264" w:lineRule="auto"/>
              <w:jc w:val="left"/>
            </w:pPr>
            <w:r>
              <w:rPr>
                <w:color w:val="000000"/>
                <w:sz w:val="19"/>
              </w:rPr>
              <w:t xml:space="preserve">0.08 / 0.08</w:t>
            </w:r>
          </w:p>
        </w:tc>
        <w:tc>
          <w:tcPr>
            <w:tcW w:type="dxa" w:w="1874"/>
            <w:vAlign w:val="center"/>
            <w:shd w:fill="F7F8FA"/>
          </w:tcPr>
          <w:p>
            <w:pPr>
              <w:pStyle w:val="Compact"/>
              <w:keepNext w:val="0"/>
              <w:spacing w:after="40" w:before="40" w:line="264" w:lineRule="auto"/>
              <w:jc w:val="left"/>
            </w:pPr>
            <w:r>
              <w:rPr>
                <w:color w:val="000000"/>
                <w:sz w:val="19"/>
              </w:rPr>
              <w:t xml:space="preserve">0.11 / 0.40</w:t>
            </w:r>
          </w:p>
        </w:tc>
        <w:tc>
          <w:tcPr>
            <w:tcW w:type="dxa" w:w="1874"/>
            <w:vAlign w:val="center"/>
            <w:shd w:fill="F7F8FA"/>
          </w:tcPr>
          <w:p>
            <w:pPr>
              <w:pStyle w:val="Compact"/>
              <w:keepNext w:val="0"/>
              <w:spacing w:after="40" w:before="40" w:line="264" w:lineRule="auto"/>
              <w:jc w:val="left"/>
            </w:pPr>
            <w:r>
              <w:rPr>
                <w:color w:val="000000"/>
                <w:sz w:val="19"/>
              </w:rPr>
              <w:t xml:space="preserve">0.30 / 0.33</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Naval</w:t>
            </w:r>
          </w:p>
        </w:tc>
        <w:tc>
          <w:tcPr>
            <w:tcW w:type="dxa" w:w="1874"/>
            <w:vAlign w:val="center"/>
            <w:shd w:fill="FFFFFF"/>
          </w:tcPr>
          <w:p>
            <w:pPr>
              <w:pStyle w:val="Compact"/>
              <w:keepNext w:val="0"/>
              <w:spacing w:after="40" w:before="40" w:line="264" w:lineRule="auto"/>
              <w:jc w:val="left"/>
            </w:pPr>
            <w:r>
              <w:rPr>
                <w:color w:val="000000"/>
                <w:sz w:val="19"/>
              </w:rPr>
              <w:t xml:space="preserve">−5.42 / −5.68</w:t>
            </w:r>
          </w:p>
        </w:tc>
        <w:tc>
          <w:tcPr>
            <w:tcW w:type="dxa" w:w="1874"/>
            <w:vAlign w:val="center"/>
            <w:shd w:fill="FFFFFF"/>
          </w:tcPr>
          <w:p>
            <w:pPr>
              <w:pStyle w:val="Compact"/>
              <w:keepNext w:val="0"/>
              <w:spacing w:after="40" w:before="40" w:line="264" w:lineRule="auto"/>
              <w:jc w:val="left"/>
            </w:pPr>
            <w:r>
              <w:rPr>
                <w:color w:val="000000"/>
                <w:sz w:val="19"/>
              </w:rPr>
              <w:t xml:space="preserve">0.00 / 0.00</w:t>
            </w:r>
          </w:p>
        </w:tc>
        <w:tc>
          <w:tcPr>
            <w:tcW w:type="dxa" w:w="1874"/>
            <w:vAlign w:val="center"/>
            <w:shd w:fill="FFFFFF"/>
          </w:tcPr>
          <w:p>
            <w:pPr>
              <w:pStyle w:val="Compact"/>
              <w:keepNext w:val="0"/>
              <w:spacing w:after="40" w:before="40" w:line="264" w:lineRule="auto"/>
              <w:jc w:val="left"/>
            </w:pPr>
            <w:r>
              <w:rPr>
                <w:color w:val="000000"/>
                <w:sz w:val="19"/>
              </w:rPr>
              <w:t xml:space="preserve">2.29 / 2.52</w:t>
            </w:r>
          </w:p>
        </w:tc>
        <w:tc>
          <w:tcPr>
            <w:tcW w:type="dxa" w:w="1874"/>
            <w:vAlign w:val="center"/>
            <w:shd w:fill="FFFFFF"/>
          </w:tcPr>
          <w:p>
            <w:pPr>
              <w:pStyle w:val="Compact"/>
              <w:keepNext w:val="0"/>
              <w:spacing w:after="40" w:before="40" w:line="264" w:lineRule="auto"/>
              <w:jc w:val="left"/>
            </w:pPr>
            <w:r>
              <w:rPr>
                <w:color w:val="000000"/>
                <w:sz w:val="19"/>
              </w:rPr>
              <w:t xml:space="preserve">0.38 / 0.30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Power</w:t>
            </w:r>
          </w:p>
        </w:tc>
        <w:tc>
          <w:tcPr>
            <w:tcW w:type="dxa" w:w="1874"/>
            <w:vAlign w:val="center"/>
            <w:shd w:fill="F7F8FA"/>
          </w:tcPr>
          <w:p>
            <w:pPr>
              <w:pStyle w:val="Compact"/>
              <w:keepNext w:val="0"/>
              <w:spacing w:after="40" w:before="40" w:line="264" w:lineRule="auto"/>
              <w:jc w:val="left"/>
            </w:pPr>
            <w:r>
              <w:rPr>
                <w:color w:val="000000"/>
                <w:sz w:val="19"/>
              </w:rPr>
              <w:t xml:space="preserve">2.80 / 2.78</w:t>
            </w:r>
          </w:p>
        </w:tc>
        <w:tc>
          <w:tcPr>
            <w:tcW w:type="dxa" w:w="1874"/>
            <w:vAlign w:val="center"/>
            <w:shd w:fill="F7F8FA"/>
          </w:tcPr>
          <w:p>
            <w:pPr>
              <w:pStyle w:val="Compact"/>
              <w:keepNext w:val="0"/>
              <w:spacing w:after="40" w:before="40" w:line="264" w:lineRule="auto"/>
              <w:jc w:val="left"/>
            </w:pPr>
            <w:r>
              <w:rPr>
                <w:color w:val="000000"/>
                <w:sz w:val="19"/>
              </w:rPr>
              <w:t xml:space="preserve">4.02 / 3.99</w:t>
            </w:r>
          </w:p>
        </w:tc>
        <w:tc>
          <w:tcPr>
            <w:tcW w:type="dxa" w:w="1874"/>
            <w:vAlign w:val="center"/>
            <w:shd w:fill="F7F8FA"/>
          </w:tcPr>
          <w:p>
            <w:pPr>
              <w:pStyle w:val="Compact"/>
              <w:keepNext w:val="0"/>
              <w:spacing w:after="40" w:before="40" w:line="264" w:lineRule="auto"/>
              <w:jc w:val="left"/>
            </w:pPr>
            <w:r>
              <w:rPr>
                <w:color w:val="000000"/>
                <w:sz w:val="19"/>
              </w:rPr>
              <w:t xml:space="preserve">0.11 / 0.18</w:t>
            </w:r>
          </w:p>
        </w:tc>
        <w:tc>
          <w:tcPr>
            <w:tcW w:type="dxa" w:w="1874"/>
            <w:vAlign w:val="center"/>
            <w:shd w:fill="F7F8FA"/>
          </w:tcPr>
          <w:p>
            <w:pPr>
              <w:pStyle w:val="Compact"/>
              <w:keepNext w:val="0"/>
              <w:spacing w:after="40" w:before="40" w:line="264" w:lineRule="auto"/>
              <w:jc w:val="left"/>
            </w:pPr>
            <w:r>
              <w:rPr>
                <w:color w:val="000000"/>
                <w:sz w:val="19"/>
              </w:rPr>
              <w:t xml:space="preserve">0.22 / 0.23</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Protein</w:t>
            </w:r>
          </w:p>
        </w:tc>
        <w:tc>
          <w:tcPr>
            <w:tcW w:type="dxa" w:w="1874"/>
            <w:vAlign w:val="center"/>
            <w:shd w:fill="FFFFFF"/>
          </w:tcPr>
          <w:p>
            <w:pPr>
              <w:pStyle w:val="Compact"/>
              <w:keepNext w:val="0"/>
              <w:spacing w:after="40" w:before="40" w:line="264" w:lineRule="auto"/>
              <w:jc w:val="left"/>
            </w:pPr>
            <w:r>
              <w:rPr>
                <w:color w:val="000000"/>
                <w:sz w:val="19"/>
              </w:rPr>
              <w:t xml:space="preserve">2.84 / 2.83</w:t>
            </w:r>
          </w:p>
        </w:tc>
        <w:tc>
          <w:tcPr>
            <w:tcW w:type="dxa" w:w="1874"/>
            <w:vAlign w:val="center"/>
            <w:shd w:fill="FFFFFF"/>
          </w:tcPr>
          <w:p>
            <w:pPr>
              <w:pStyle w:val="Compact"/>
              <w:keepNext w:val="0"/>
              <w:spacing w:after="40" w:before="40" w:line="264" w:lineRule="auto"/>
              <w:jc w:val="left"/>
            </w:pPr>
            <w:r>
              <w:rPr>
                <w:color w:val="000000"/>
                <w:sz w:val="19"/>
              </w:rPr>
              <w:t xml:space="preserve">4.61 / 4.58</w:t>
            </w:r>
          </w:p>
        </w:tc>
        <w:tc>
          <w:tcPr>
            <w:tcW w:type="dxa" w:w="1874"/>
            <w:vAlign w:val="center"/>
            <w:shd w:fill="FFFFFF"/>
          </w:tcPr>
          <w:p>
            <w:pPr>
              <w:pStyle w:val="Compact"/>
              <w:keepNext w:val="0"/>
              <w:spacing w:after="40" w:before="40" w:line="264" w:lineRule="auto"/>
              <w:jc w:val="left"/>
            </w:pPr>
            <w:r>
              <w:rPr>
                <w:color w:val="000000"/>
                <w:sz w:val="19"/>
              </w:rPr>
              <w:t xml:space="preserve">0.10 / 0.12</w:t>
            </w:r>
          </w:p>
        </w:tc>
        <w:tc>
          <w:tcPr>
            <w:tcW w:type="dxa" w:w="1874"/>
            <w:vAlign w:val="center"/>
            <w:shd w:fill="FFFFFF"/>
          </w:tcPr>
          <w:p>
            <w:pPr>
              <w:pStyle w:val="Compact"/>
              <w:keepNext w:val="0"/>
              <w:spacing w:after="40" w:before="40" w:line="264" w:lineRule="auto"/>
              <w:jc w:val="left"/>
            </w:pPr>
            <w:r>
              <w:rPr>
                <w:color w:val="000000"/>
                <w:sz w:val="19"/>
              </w:rPr>
              <w:t xml:space="preserve">0.73 / 0.79</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Yacht</w:t>
            </w:r>
          </w:p>
        </w:tc>
        <w:tc>
          <w:tcPr>
            <w:tcW w:type="dxa" w:w="1874"/>
            <w:vAlign w:val="center"/>
            <w:shd w:fill="F7F8FA"/>
          </w:tcPr>
          <w:p>
            <w:pPr>
              <w:pStyle w:val="Compact"/>
              <w:keepNext w:val="0"/>
              <w:spacing w:after="40" w:before="40" w:line="264" w:lineRule="auto"/>
              <w:jc w:val="left"/>
            </w:pPr>
            <w:r>
              <w:rPr>
                <w:color w:val="000000"/>
                <w:sz w:val="19"/>
              </w:rPr>
              <w:t xml:space="preserve">1.24 / 1.18</w:t>
            </w:r>
          </w:p>
        </w:tc>
        <w:tc>
          <w:tcPr>
            <w:tcW w:type="dxa" w:w="1874"/>
            <w:vAlign w:val="center"/>
            <w:shd w:fill="F7F8FA"/>
          </w:tcPr>
          <w:p>
            <w:pPr>
              <w:pStyle w:val="Compact"/>
              <w:keepNext w:val="0"/>
              <w:spacing w:after="40" w:before="40" w:line="264" w:lineRule="auto"/>
              <w:jc w:val="left"/>
            </w:pPr>
            <w:r>
              <w:rPr>
                <w:color w:val="000000"/>
                <w:sz w:val="19"/>
              </w:rPr>
              <w:t xml:space="preserve">2.20 / 2.22</w:t>
            </w:r>
          </w:p>
        </w:tc>
        <w:tc>
          <w:tcPr>
            <w:tcW w:type="dxa" w:w="1874"/>
            <w:vAlign w:val="center"/>
            <w:shd w:fill="F7F8FA"/>
          </w:tcPr>
          <w:p>
            <w:pPr>
              <w:pStyle w:val="Compact"/>
              <w:keepNext w:val="0"/>
              <w:spacing w:after="40" w:before="40" w:line="264" w:lineRule="auto"/>
              <w:jc w:val="left"/>
            </w:pPr>
            <w:r>
              <w:rPr>
                <w:color w:val="000000"/>
                <w:sz w:val="19"/>
              </w:rPr>
              <w:t xml:space="preserve">0.87 / 2.02</w:t>
            </w:r>
          </w:p>
        </w:tc>
        <w:tc>
          <w:tcPr>
            <w:tcW w:type="dxa" w:w="1874"/>
            <w:vAlign w:val="center"/>
            <w:shd w:fill="F7F8FA"/>
          </w:tcPr>
          <w:p>
            <w:pPr>
              <w:pStyle w:val="Compact"/>
              <w:keepNext w:val="0"/>
              <w:spacing w:after="40" w:before="40" w:line="264" w:lineRule="auto"/>
              <w:jc w:val="left"/>
            </w:pPr>
            <w:r>
              <w:rPr>
                <w:color w:val="000000"/>
                <w:sz w:val="19"/>
              </w:rPr>
              <w:t xml:space="preserve">0.15 / 0.17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Year</w:t>
            </w:r>
          </w:p>
        </w:tc>
        <w:tc>
          <w:tcPr>
            <w:tcW w:type="dxa" w:w="1874"/>
            <w:vAlign w:val="center"/>
            <w:shd w:fill="FFFFFF"/>
          </w:tcPr>
          <w:p>
            <w:pPr>
              <w:pStyle w:val="Compact"/>
              <w:keepNext w:val="0"/>
              <w:spacing w:after="40" w:before="40" w:line="264" w:lineRule="auto"/>
              <w:jc w:val="left"/>
            </w:pPr>
            <w:r>
              <w:rPr>
                <w:color w:val="000000"/>
                <w:sz w:val="19"/>
              </w:rPr>
              <w:t xml:space="preserve">3.39 / 3.35</w:t>
            </w:r>
          </w:p>
        </w:tc>
        <w:tc>
          <w:tcPr>
            <w:tcW w:type="dxa" w:w="1874"/>
            <w:vAlign w:val="center"/>
            <w:shd w:fill="FFFFFF"/>
          </w:tcPr>
          <w:p>
            <w:pPr>
              <w:pStyle w:val="Compact"/>
              <w:keepNext w:val="0"/>
              <w:spacing w:after="40" w:before="40" w:line="264" w:lineRule="auto"/>
              <w:jc w:val="left"/>
            </w:pPr>
            <w:r>
              <w:rPr>
                <w:color w:val="000000"/>
                <w:sz w:val="19"/>
              </w:rPr>
              <w:t xml:space="preserve">9.57 / 9.31</w:t>
            </w:r>
          </w:p>
        </w:tc>
        <w:tc>
          <w:tcPr>
            <w:tcW w:type="dxa" w:w="1874"/>
            <w:vAlign w:val="center"/>
            <w:shd w:fill="FFFFFF"/>
          </w:tcPr>
          <w:p>
            <w:pPr>
              <w:pStyle w:val="Compact"/>
              <w:keepNext w:val="0"/>
              <w:spacing w:after="40" w:before="40" w:line="264" w:lineRule="auto"/>
              <w:jc w:val="left"/>
            </w:pPr>
            <w:r>
              <w:rPr>
                <w:color w:val="000000"/>
                <w:sz w:val="19"/>
              </w:rPr>
              <w:t xml:space="preserve">0.04 / 0.06</w:t>
            </w:r>
          </w:p>
        </w:tc>
        <w:tc>
          <w:tcPr>
            <w:tcW w:type="dxa" w:w="1874"/>
            <w:vAlign w:val="center"/>
            <w:shd w:fill="FFFFFF"/>
          </w:tcPr>
          <w:p>
            <w:pPr>
              <w:pStyle w:val="Compact"/>
              <w:keepNext w:val="0"/>
              <w:spacing w:after="40" w:before="40" w:line="264" w:lineRule="auto"/>
              <w:jc w:val="left"/>
            </w:pPr>
            <w:r>
              <w:rPr>
                <w:color w:val="000000"/>
                <w:sz w:val="19"/>
              </w:rPr>
              <w:t xml:space="preserve">0.40 / 0.48</w:t>
            </w:r>
          </w:p>
        </w:tc>
      </w:tr>
    </w:tbl>
    <w:p>
      <w:pPr>
        <w:pStyle w:val="BodyText"/>
        <w:widowControl/>
      </w:pPr>
      <w:r>
        <w:t xml:space="preserve">Energy上Ours的Cal比Ensemble差；Naval上SNGP的Cal为0.54 ± 0.49，优于Ours的2.29 ± 0.96。因此</w:t>
      </w:r>
      <w:r>
        <w:t xml:space="preserve">“</w:t>
      </w:r>
      <w:r>
        <w:t xml:space="preserve">所有UCI数据集校准最优</w:t>
      </w:r>
      <w:r>
        <w:t xml:space="preserve">”</w:t>
      </w:r>
      <w:r>
        <w:t xml:space="preserve">不成立。Naval的RMSE显示0.00只是保留两位小数，不能解释为零误差。</w:t>
      </w:r>
    </w:p>
    <w:bookmarkEnd w:id="46"/>
    <w:bookmarkStart w:id="47" w:name="效率与训练代价"/>
    <w:p>
      <w:pPr>
        <w:pStyle w:val="Heading3"/>
        <w:widowControl/>
      </w:pPr>
      <w:r>
        <w:rPr>
          <w:color w:val="000000"/>
        </w:rPr>
        <w:t xml:space="preserve">6 5 效率与训练代价</w:t>
      </w:r>
    </w:p>
    <w:p>
      <w:pPr>
        <w:pStyle w:val="FirstParagraph"/>
        <w:widowControl/>
      </w:pPr>
      <w:r>
        <w:t xml:space="preserve">图5实际面板为(a)可靠性图、(b)模型存储、(c)三种GPU上的推理成本；正文交叉引用应按图内容核对。硬件包括K80、RTX A5000、A100，不能将其耗时直接迁移到公司的CPU或边缘设备。图中柱状比较支持相对节省，具体倍率受基线、硬件和批大小影响，不宜作为普遍承诺。</w:t>
      </w:r>
    </w:p>
    <w:p>
      <w:pPr>
        <w:pStyle w:val="BodyText"/>
        <w:widowControl/>
      </w:pPr>
      <w:r>
        <w:t xml:space="preserve">PDF25页标为Table14的图展示训练时间，说明本方法有阶段1、2、3，而集成需要多个模型。原文14页也明确提到密度估计误差与额外训练开销。报告应同时呈现离线成本与在线收益。</w:t>
      </w:r>
    </w:p>
    <w:bookmarkEnd w:id="47"/>
    <w:bookmarkEnd w:id="48"/>
    <w:bookmarkStart w:id="68" w:name="七-数据集逐项调查"/>
    <w:p>
      <w:pPr>
        <w:pStyle w:val="Heading2"/>
        <w:widowControl/>
      </w:pPr>
      <w:r>
        <w:rPr>
          <w:color w:val="000000"/>
        </w:rPr>
        <w:t xml:space="preserve">七 数据集逐项调查</w:t>
      </w:r>
    </w:p>
    <w:bookmarkStart w:id="49" w:name="调查口径"/>
    <w:p>
      <w:pPr>
        <w:pStyle w:val="Heading3"/>
        <w:widowControl/>
      </w:pPr>
      <w:r>
        <w:rPr>
          <w:color w:val="000000"/>
        </w:rPr>
        <w:t xml:space="preserve">7 1 调查口径</w:t>
      </w:r>
    </w:p>
    <w:p>
      <w:pPr>
        <w:pStyle w:val="FirstParagraph"/>
        <w:widowControl/>
      </w:pPr>
      <w:r>
        <w:t xml:space="preserve">下列原始数据集总量不等于论文实际训练量。</w:t>
      </w:r>
      <w:r>
        <w:t xml:space="preserve">“</w:t>
      </w:r>
      <w:r>
        <w:t xml:space="preserve">公开</w:t>
      </w:r>
      <w:r>
        <w:t xml:space="preserve">”</w:t>
      </w:r>
      <w:r>
        <w:t xml:space="preserve">也不代表已核实完整实验划分。正文与附录B2只说明部分设置沿用EDL或TensorFlow教程；教程包含不同窗口配置，不能自动把其中某一种配置认作本文实验。当前未成功取得可完整核验的天气实验脚本，因此具体窗口、滑动步长、最终特征列和分割比例保留为未确认。</w:t>
      </w:r>
    </w:p>
    <w:bookmarkEnd w:id="49"/>
    <w:bookmarkStart w:id="50" w:name="玩具立方函数"/>
    <w:p>
      <w:pPr>
        <w:pStyle w:val="Heading3"/>
        <w:widowControl/>
      </w:pPr>
      <w:r>
        <w:rPr>
          <w:color w:val="000000"/>
        </w:rPr>
        <w:t xml:space="preserve">7 2 玩具立方函数</w:t>
      </w:r>
    </w:p>
    <w:p>
      <w:pPr>
        <w:pStyle w:val="FirstParagraph"/>
        <w:widowControl/>
      </w:pPr>
      <w:r>
        <w:t xml:space="preserve">输入是标量</w:t>
      </w:r>
      <w:r>
        <w:t xml:space="preserve"> </w:t>
      </w:r>
      <m:oMath>
        <m:r>
          <m:t>x</m:t>
          <w:rPr>
            <w:rFonts w:ascii="Cambria Math" w:hAnsi="Cambria Math"/>
          </w:rPr>
        </m:r>
      </m:oMath>
      <w:r>
        <w:t xml:space="preserve">，输出</w:t>
      </w:r>
      <w:r>
        <w:t xml:space="preserve"> </w:t>
      </w:r>
      <m:oMath>
        <m:r>
          <m:t>y</m:t>
          <w:rPr>
            <w:rFonts w:ascii="Cambria Math" w:hAnsi="Cambria Math"/>
          </w:rPr>
        </m:r>
        <m:r>
          <m:rPr>
            <m:sty m:val="p"/>
          </m:rPr>
          <m:t>=</m:t>
          <w:rPr>
            <w:rFonts w:ascii="Cambria Math" w:hAnsi="Cambria Math"/>
          </w:rPr>
        </m:r>
        <m:sSup>
          <m:e>
            <m:r>
              <m:t>x</m:t>
              <w:rPr>
                <w:rFonts w:ascii="Cambria Math" w:hAnsi="Cambria Math"/>
              </w:rPr>
            </m:r>
          </m:e>
          <m:sup>
            <m:r>
              <m:t>3</m:t>
              <w:rPr>
                <w:rFonts w:ascii="Cambria Math" w:hAnsi="Cambria Math"/>
              </w:rPr>
            </m:r>
          </m:sup>
        </m:sSup>
        <m:r>
          <m:rPr>
            <m:sty m:val="p"/>
          </m:rPr>
          <m:t>+</m:t>
          <w:rPr>
            <w:rFonts w:ascii="Cambria Math" w:hAnsi="Cambria Math"/>
          </w:rPr>
        </m:r>
        <m:r>
          <m:t>ϵ</m:t>
          <w:rPr>
            <w:rFonts w:ascii="Cambria Math" w:hAnsi="Cambria Math"/>
          </w:rPr>
        </m:r>
      </m:oMath>
      <w:r>
        <w:t xml:space="preserve">，</w:t>
      </w:r>
      <m:oMath>
        <m:r>
          <m:t>ϵ</m:t>
          <w:rPr>
            <w:rFonts w:ascii="Cambria Math" w:hAnsi="Cambria Math"/>
          </w:rPr>
        </m:r>
        <m:r>
          <m:rPr>
            <m:sty m:val="p"/>
          </m:rPr>
          <m:t>∼</m:t>
          <w:rPr>
            <w:rFonts w:ascii="Cambria Math" w:hAnsi="Cambria Math"/>
          </w:rPr>
        </m:r>
        <m:r>
          <m:rPr>
            <m:sty m:val="p"/>
            <m:scr m:val="script"/>
          </m:rPr>
          <m:t>N</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9</m:t>
          <w:rPr>
            <w:rFonts w:ascii="Cambria Math" w:hAnsi="Cambria Math"/>
          </w:rPr>
        </m:r>
        <m:r>
          <m:rPr>
            <m:sty m:val="p"/>
          </m:rPr>
          <m:t>)</m:t>
          <w:rPr>
            <w:rFonts w:ascii="Cambria Math" w:hAnsi="Cambria Math"/>
          </w:rPr>
        </m:r>
      </m:oMath>
      <w:r>
        <w:t xml:space="preserve">；训练范围为</w:t>
      </w:r>
      <w:r>
        <w:t xml:space="preserve"> </w:t>
      </w:r>
      <m:oMath>
        <m:r>
          <m:rPr>
            <m:sty m:val="p"/>
          </m:rPr>
          <m:t>[</m:t>
          <w:rPr>
            <w:rFonts w:ascii="Cambria Math" w:hAnsi="Cambria Math"/>
          </w:rPr>
        </m:r>
        <m:r>
          <m:rPr>
            <m:sty m:val="p"/>
          </m:rPr>
          <m:t>−</m:t>
          <w:rPr>
            <w:rFonts w:ascii="Cambria Math" w:hAnsi="Cambria Math"/>
          </w:rPr>
        </m:r>
        <m:r>
          <m:t>4</m:t>
          <w:rPr>
            <w:rFonts w:ascii="Cambria Math" w:hAnsi="Cambria Math"/>
          </w:rPr>
        </m:r>
        <m:r>
          <m:rPr>
            <m:sty m:val="p"/>
          </m:rPr>
          <m:t>,</m:t>
          <w:rPr>
            <w:rFonts w:ascii="Cambria Math" w:hAnsi="Cambria Math"/>
          </w:rPr>
        </m:r>
        <m:r>
          <m:t>4</m:t>
          <w:rPr>
            <w:rFonts w:ascii="Cambria Math" w:hAnsi="Cambria Math"/>
          </w:rPr>
        </m:r>
        <m:r>
          <m:rPr>
            <m:sty m:val="p"/>
          </m:rPr>
          <m:t>]</m:t>
          <w:rPr>
            <w:rFonts w:ascii="Cambria Math" w:hAnsi="Cambria Math"/>
          </w:rPr>
        </m:r>
      </m:oMath>
      <w:r>
        <w:t xml:space="preserve">，测试范围为</w:t>
      </w:r>
      <w:r>
        <w:t xml:space="preserve"> </w:t>
      </w:r>
      <m:oMath>
        <m:r>
          <m:rPr>
            <m:sty m:val="p"/>
          </m:rPr>
          <m:t>[</m:t>
          <w:rPr>
            <w:rFonts w:ascii="Cambria Math" w:hAnsi="Cambria Math"/>
          </w:rPr>
        </m:r>
        <m:r>
          <m:rPr>
            <m:sty m:val="p"/>
          </m:rPr>
          <m:t>−</m:t>
          <w:rPr>
            <w:rFonts w:ascii="Cambria Math" w:hAnsi="Cambria Math"/>
          </w:rPr>
        </m:r>
        <m:r>
          <m:t>7</m:t>
          <w:rPr>
            <w:rFonts w:ascii="Cambria Math" w:hAnsi="Cambria Math"/>
          </w:rPr>
        </m:r>
        <m:r>
          <m:rPr>
            <m:sty m:val="p"/>
          </m:rPr>
          <m:t>,</m:t>
          <w:rPr>
            <w:rFonts w:ascii="Cambria Math" w:hAnsi="Cambria Math"/>
          </w:rPr>
        </m:r>
        <m:r>
          <m:t>7</m:t>
          <w:rPr>
            <w:rFonts w:ascii="Cambria Math" w:hAnsi="Cambria Math"/>
          </w:rPr>
        </m:r>
        <m:r>
          <m:rPr>
            <m:sty m:val="p"/>
          </m:rPr>
          <m:t>]</m:t>
          <w:rPr>
            <w:rFonts w:ascii="Cambria Math" w:hAnsi="Cambria Math"/>
          </w:rPr>
        </m:r>
      </m:oMath>
      <w:r>
        <w:t xml:space="preserve">。【原文6页与图1】没有时间轴、采集期或窗口。它属于合成回归，非真实传感器时间序列。</w:t>
      </w:r>
    </w:p>
    <w:p>
      <w:pPr>
        <w:pStyle w:val="BodyText"/>
        <w:widowControl/>
      </w:pPr>
      <w:r>
        <w:t xml:space="preserve">回归真实值由函数加噪声生成，学习外标签可由是否超出训练范围构造。训练外部分明确属于①，作为逐点输入可映射为Point Anomaly式评价，但作者并未按一般异常类型组织实验。样本数、训练测试比例、测试采样分布和实际OOD比例未在相应正文给出；不能仅凭区间长度计算其实际OOD比例。若均匀采样才会得到</w:t>
      </w:r>
      <w:r>
        <w:t xml:space="preserve"> </w:t>
      </w:r>
      <m:oMath>
        <m:r>
          <m:t>6</m:t>
          <w:rPr>
            <w:rFonts w:ascii="Cambria Math" w:hAnsi="Cambria Math"/>
          </w:rPr>
        </m:r>
        <m:r>
          <m:rPr>
            <m:sty m:val="p"/>
          </m:rPr>
          <m:t>/</m:t>
          <w:rPr>
            <w:rFonts w:ascii="Cambria Math" w:hAnsi="Cambria Math"/>
          </w:rPr>
        </m:r>
        <m:r>
          <m:t>14</m:t>
          <w:rPr>
            <w:rFonts w:ascii="Cambria Math" w:hAnsi="Cambria Math"/>
          </w:rPr>
        </m:r>
      </m:oMath>
      <w:r>
        <w:t xml:space="preserve">的理论区间占比，这不是论文报告值。</w:t>
      </w:r>
    </w:p>
    <w:p>
      <w:pPr>
        <w:pStyle w:val="BodyText"/>
        <w:widowControl/>
      </w:pPr>
      <w:r>
        <w:t xml:space="preserve">生成方法公开，作者仓库提供示例；不涉及采集者的真实异常标注。代码许可与生成数据发布许可需分开；不把仓库许可自动扩展到所有基准数据。</w:t>
      </w:r>
    </w:p>
    <w:bookmarkEnd w:id="50"/>
    <w:bookmarkStart w:id="53" w:name="jena天气时间序列"/>
    <w:p>
      <w:pPr>
        <w:pStyle w:val="Heading3"/>
        <w:widowControl/>
      </w:pPr>
      <w:r>
        <w:rPr>
          <w:color w:val="000000"/>
        </w:rPr>
        <w:t xml:space="preserve">7 3 Jena天气时间序列</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调查项目</w:t>
            </w:r>
          </w:p>
        </w:tc>
        <w:tc>
          <w:tcPr>
            <w:tcW w:type="dxa" w:w="7497"/>
            <w:vAlign w:val="center"/>
            <w:shd w:fill="E7EDF3"/>
          </w:tcPr>
          <w:p>
            <w:pPr>
              <w:pStyle w:val="Compact"/>
              <w:keepNext w:val="0"/>
              <w:spacing w:after="40" w:before="40" w:line="264" w:lineRule="auto"/>
              <w:jc w:val="left"/>
            </w:pPr>
            <w:r>
              <w:rPr>
                <w:b/>
                <w:color w:val="000000"/>
                <w:sz w:val="19"/>
              </w:rPr>
              <w:t xml:space="preserve">核验结果</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输入与输出</w:t>
            </w:r>
          </w:p>
        </w:tc>
        <w:tc>
          <w:tcPr>
            <w:tcW w:type="dxa" w:w="7497"/>
            <w:vAlign w:val="center"/>
            <w:shd w:fill="FFFFFF"/>
          </w:tcPr>
          <w:p>
            <w:pPr>
              <w:pStyle w:val="Compact"/>
              <w:keepNext w:val="0"/>
              <w:spacing w:after="40" w:before="40" w:line="264" w:lineRule="auto"/>
              <w:jc w:val="left"/>
            </w:pPr>
            <w:r>
              <w:rPr>
                <w:color w:val="000000"/>
                <w:sz w:val="19"/>
              </w:rPr>
              <w:t xml:space="preserve">原文说明14个气象特征，例为气温、气压、湿度；输出为逐小时温度。最终输入列是否经过衍生和删改未确认</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时间粒度</w:t>
            </w:r>
          </w:p>
        </w:tc>
        <w:tc>
          <w:tcPr>
            <w:tcW w:type="dxa" w:w="7497"/>
            <w:vAlign w:val="center"/>
            <w:shd w:fill="F7F8FA"/>
          </w:tcPr>
          <w:p>
            <w:pPr>
              <w:pStyle w:val="Compact"/>
              <w:keepNext w:val="0"/>
              <w:spacing w:after="40" w:before="40" w:line="264" w:lineRule="auto"/>
              <w:jc w:val="left"/>
            </w:pPr>
            <w:r>
              <w:rPr>
                <w:color w:val="000000"/>
                <w:sz w:val="19"/>
              </w:rPr>
              <w:t xml:space="preserve">原始采集10分钟；预测目标按小时。两者不能混写</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采集期与域</w:t>
            </w:r>
          </w:p>
        </w:tc>
        <w:tc>
          <w:tcPr>
            <w:tcW w:type="dxa" w:w="7497"/>
            <w:vAlign w:val="center"/>
            <w:shd w:fill="FFFFFF"/>
          </w:tcPr>
          <w:p>
            <w:pPr>
              <w:pStyle w:val="Compact"/>
              <w:keepNext w:val="0"/>
              <w:spacing w:after="40" w:before="40" w:line="264" w:lineRule="auto"/>
              <w:jc w:val="left"/>
            </w:pPr>
            <w:r>
              <w:rPr>
                <w:color w:val="000000"/>
                <w:sz w:val="19"/>
              </w:rPr>
              <w:t xml:space="preserve">Beutenberg 2009–2016作为训练及IID域；Saaleaue 2022作为OOD域，见表2</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一次输入几个时刻</w:t>
            </w:r>
          </w:p>
        </w:tc>
        <w:tc>
          <w:tcPr>
            <w:tcW w:type="dxa" w:w="7497"/>
            <w:vAlign w:val="center"/>
            <w:shd w:fill="F7F8FA"/>
          </w:tcPr>
          <w:p>
            <w:pPr>
              <w:pStyle w:val="Compact"/>
              <w:keepNext w:val="0"/>
              <w:spacing w:after="40" w:before="40" w:line="264" w:lineRule="auto"/>
              <w:jc w:val="left"/>
            </w:pPr>
            <w:r>
              <w:rPr>
                <w:color w:val="000000"/>
                <w:sz w:val="19"/>
              </w:rPr>
              <w:t xml:space="preserve">原文未给出可唯一确定的窗口配置；不能确认只输入当前时刻或一次输入24小时</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窗口长度与步长</w:t>
            </w:r>
          </w:p>
        </w:tc>
        <w:tc>
          <w:tcPr>
            <w:tcW w:type="dxa" w:w="7497"/>
            <w:vAlign w:val="center"/>
            <w:shd w:fill="FFFFFF"/>
          </w:tcPr>
          <w:p>
            <w:pPr>
              <w:pStyle w:val="Compact"/>
              <w:keepNext w:val="0"/>
              <w:spacing w:after="40" w:before="40" w:line="264" w:lineRule="auto"/>
              <w:jc w:val="left"/>
            </w:pPr>
            <w:r>
              <w:rPr>
                <w:color w:val="000000"/>
                <w:sz w:val="19"/>
              </w:rPr>
              <w:t xml:space="preserve">未报告清楚；逐日预测图不等于输入窗口为24小时</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样本数与规模</w:t>
            </w:r>
          </w:p>
        </w:tc>
        <w:tc>
          <w:tcPr>
            <w:tcW w:type="dxa" w:w="7497"/>
            <w:vAlign w:val="center"/>
            <w:shd w:fill="F7F8FA"/>
          </w:tcPr>
          <w:p>
            <w:pPr>
              <w:pStyle w:val="Compact"/>
              <w:keepNext w:val="0"/>
              <w:spacing w:after="40" w:before="40" w:line="264" w:lineRule="auto"/>
              <w:jc w:val="left"/>
            </w:pPr>
            <w:r>
              <w:rPr>
                <w:color w:val="000000"/>
                <w:sz w:val="19"/>
              </w:rPr>
              <w:t xml:space="preserve">本文实际清洗后记录数、窗口数、字节规模未报告；长时段原始记录不能等同训练样本数</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真实标签</w:t>
            </w:r>
          </w:p>
        </w:tc>
        <w:tc>
          <w:tcPr>
            <w:tcW w:type="dxa" w:w="7497"/>
            <w:vAlign w:val="center"/>
            <w:shd w:fill="FFFFFF"/>
          </w:tcPr>
          <w:p>
            <w:pPr>
              <w:pStyle w:val="Compact"/>
              <w:keepNext w:val="0"/>
              <w:spacing w:after="40" w:before="40" w:line="264" w:lineRule="auto"/>
              <w:jc w:val="left"/>
            </w:pPr>
            <w:r>
              <w:rPr>
                <w:color w:val="000000"/>
                <w:sz w:val="19"/>
              </w:rPr>
              <w:t xml:space="preserve">有温度观测用于回归评价；ID/OOD由站点及年份域构造，不是人工故障标签</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划分与比例</w:t>
            </w:r>
          </w:p>
        </w:tc>
        <w:tc>
          <w:tcPr>
            <w:tcW w:type="dxa" w:w="7497"/>
            <w:vAlign w:val="center"/>
            <w:shd w:fill="F7F8FA"/>
          </w:tcPr>
          <w:p>
            <w:pPr>
              <w:pStyle w:val="Compact"/>
              <w:keepNext w:val="0"/>
              <w:spacing w:after="40" w:before="40" w:line="264" w:lineRule="auto"/>
              <w:jc w:val="left"/>
            </w:pPr>
            <w:r>
              <w:rPr>
                <w:color w:val="000000"/>
                <w:sz w:val="19"/>
              </w:rPr>
              <w:t xml:space="preserve">训练与IID来自同一指定域；具体训练验证测试比例未确认；OOD单独评价，未给混合比例</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分类与异常类型</w:t>
            </w:r>
          </w:p>
        </w:tc>
        <w:tc>
          <w:tcPr>
            <w:tcW w:type="dxa" w:w="7497"/>
            <w:vAlign w:val="center"/>
            <w:shd w:fill="FFFFFF"/>
          </w:tcPr>
          <w:p>
            <w:pPr>
              <w:pStyle w:val="Compact"/>
              <w:keepNext w:val="0"/>
              <w:spacing w:after="40" w:before="40" w:line="264" w:lineRule="auto"/>
              <w:jc w:val="left"/>
            </w:pPr>
            <w:r>
              <w:rPr>
                <w:color w:val="000000"/>
                <w:sz w:val="19"/>
              </w:rPr>
              <w:t xml:space="preserve">原数据按站点和时间组织；①域分布变化明确。②③可能发生但未隔离验证；上下文或群体异常需额外标签</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公开与下载</w:t>
            </w:r>
          </w:p>
        </w:tc>
        <w:tc>
          <w:tcPr>
            <w:tcW w:type="dxa" w:w="7497"/>
            <w:vAlign w:val="center"/>
            <w:shd w:fill="F7F8FA"/>
          </w:tcPr>
          <w:p>
            <w:pPr>
              <w:pStyle w:val="Compact"/>
              <w:keepNext w:val="0"/>
              <w:spacing w:after="40" w:before="40" w:line="264" w:lineRule="auto"/>
              <w:jc w:val="left"/>
            </w:pPr>
            <w:hyperlink r:id="rId51">
              <w:r>
                <w:rPr>
                  <w:rStyle w:val="Hyperlink"/>
                </w:rPr>
                <w:t xml:space="preserve">MPI官方分站点分年份ZIP下载</w:t>
              </w:r>
            </w:hyperlink>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使用条件</w:t>
            </w:r>
          </w:p>
        </w:tc>
        <w:tc>
          <w:tcPr>
            <w:tcW w:type="dxa" w:w="7497"/>
            <w:vAlign w:val="center"/>
            <w:shd w:fill="FFFFFF"/>
          </w:tcPr>
          <w:p>
            <w:pPr>
              <w:pStyle w:val="Compact"/>
              <w:keepNext w:val="0"/>
              <w:spacing w:after="40" w:before="40" w:line="264" w:lineRule="auto"/>
              <w:jc w:val="left"/>
            </w:pPr>
            <w:r>
              <w:rPr>
                <w:color w:val="000000"/>
                <w:sz w:val="19"/>
              </w:rPr>
              <w:t xml:space="preserve">官方下载页标CC BY 4.0，应署名并说明修改；本文具体处理后切分文件是否全部可下载未确认</w:t>
            </w:r>
          </w:p>
        </w:tc>
      </w:tr>
    </w:tbl>
    <w:p>
      <w:pPr>
        <w:pStyle w:val="BodyText"/>
        <w:widowControl/>
      </w:pPr>
      <w:r>
        <w:t xml:space="preserve">【外部补充】</w:t>
      </w:r>
      <w:hyperlink r:id="rId52">
        <w:r>
          <w:rPr>
            <w:rStyle w:val="Hyperlink"/>
          </w:rPr>
          <w:t xml:space="preserve">TensorFlow时间序列教程</w:t>
        </w:r>
      </w:hyperlink>
      <w:r>
        <w:t xml:space="preserve">提供窗口化、按时间切分和训练统计量归一化的参考，但包含多个预测任务，因此不能从</w:t>
      </w:r>
      <w:r>
        <w:t xml:space="preserve">“</w:t>
      </w:r>
      <w:r>
        <w:t xml:space="preserve">沿用教程</w:t>
      </w:r>
      <w:r>
        <w:t xml:space="preserve">”</w:t>
      </w:r>
      <w:r>
        <w:t xml:space="preserve">直接断定本文使用的唯一窗口。对末端压力研究而言，最需要追加确认的正是输入窗口、预测提前量和最终输入变量。</w:t>
      </w:r>
    </w:p>
    <w:bookmarkEnd w:id="53"/>
    <w:bookmarkStart w:id="55" w:name="wine-quality"/>
    <w:p>
      <w:pPr>
        <w:pStyle w:val="Heading3"/>
        <w:widowControl/>
      </w:pPr>
      <w:r>
        <w:rPr>
          <w:color w:val="000000"/>
        </w:rPr>
        <w:t xml:space="preserve">7 4 Wine Quality</w:t>
      </w:r>
    </w:p>
    <w:p>
      <w:pPr>
        <w:pStyle w:val="FirstParagraph"/>
        <w:widowControl/>
      </w:pPr>
      <w:r>
        <w:t xml:space="preserve">原始数据包含红葡萄酒和白葡萄酒；输入11项理化指标：固定酸度、挥发酸度、柠檬酸、残糖、氯化物、游离二氧化硫、总二氧化硫、密度、pH、硫酸盐、酒精度；输出为感官品质评分。原始红酒1599条、白酒4898条，合计6497条；原始总量不等于本文训练量。官方页面文件包括两个CSV及说明文件。</w:t>
      </w:r>
      <w:hyperlink r:id="rId54">
        <w:r>
          <w:rPr>
            <w:rStyle w:val="Hyperlink"/>
          </w:rPr>
          <w:t xml:space="preserve">UCI Wine Quality</w:t>
        </w:r>
      </w:hyperlink>
    </w:p>
    <w:p>
      <w:pPr>
        <w:pStyle w:val="BodyText"/>
        <w:widowControl/>
      </w:pPr>
      <w:r>
        <w:t xml:space="preserve">【原文7–8页】红酒用于训练和IID评价，白酒用于OOD评价；具体红酒内部切分比例未报告。质量评分是真实回归标签，红白类别是作者据以定义域的依据；没有</w:t>
      </w:r>
      <w:r>
        <w:t xml:space="preserve">“</w:t>
      </w:r>
      <w:r>
        <w:t xml:space="preserve">学习外故障</w:t>
      </w:r>
      <w:r>
        <w:t xml:space="preserve">”</w:t>
      </w:r>
      <w:r>
        <w:t xml:space="preserve">原生标注。不是时间序列，无采样间隔或时间窗口，每次输入一个样本的多变量指标。</w:t>
      </w:r>
    </w:p>
    <w:p>
      <w:pPr>
        <w:pStyle w:val="BodyText"/>
        <w:widowControl/>
      </w:pPr>
      <w:r>
        <w:t xml:space="preserve">【研究分类】属于①分布变化；可能伴随②低密度和③理化指标关系变化，但论文未分别标注验证。可按单条记录构造点级OOD评价，不能把所有白酒叫作Point Anomaly物理异常。数据创建者有红白分组与质量等级，不等同于异常分类。公开下载，UCI当前许可为CC BY 4.0；应引用创建者。本文没有指定混合ID/OOD测试比例，不能把原始白酒占比75.4%当作实验中的OOD比例。</w:t>
      </w:r>
    </w:p>
    <w:bookmarkEnd w:id="55"/>
    <w:bookmarkStart w:id="57" w:name="nyu-depth-v2与扰动cood"/>
    <w:p>
      <w:pPr>
        <w:pStyle w:val="Heading3"/>
        <w:widowControl/>
      </w:pPr>
      <w:r>
        <w:rPr>
          <w:color w:val="000000"/>
        </w:rPr>
        <w:t xml:space="preserve">7 5 NYU Depth V2与扰动cOOD</w:t>
      </w:r>
    </w:p>
    <w:p>
      <w:pPr>
        <w:pStyle w:val="FirstParagraph"/>
        <w:widowControl/>
      </w:pPr>
      <w:r>
        <w:t xml:space="preserve">【原文8页】输入RGB图像，输出每像素深度；采用U-Net，训练使用约27000对RGB与深度图。IID来自室内NYU域，cOOD通过FGSM扰动构造。训练样本数不能误写成NYU官方语义标注子集1449张。</w:t>
      </w:r>
    </w:p>
    <w:p>
      <w:pPr>
        <w:pStyle w:val="BodyText"/>
        <w:widowControl/>
      </w:pPr>
      <w:r>
        <w:t xml:space="preserve">【外部核验】原始NYU数据由Kinect室内RGB与深度序列组成；官方列出1449对密集标注图像、464个场景及407024个未作该类密集标注的帧。标注包约2.8GB，原始包约428GB；原始视频采样率约20–30FPS。这里</w:t>
      </w:r>
      <w:r>
        <w:t xml:space="preserve">“</w:t>
      </w:r>
      <w:r>
        <w:t xml:space="preserve">未标注帧</w:t>
      </w:r>
      <w:r>
        <w:t xml:space="preserve">”</w:t>
      </w:r>
      <w:r>
        <w:t xml:space="preserve">不应误解为完全没有深度传感数据。</w:t>
      </w:r>
      <w:hyperlink r:id="rId56">
        <w:r>
          <w:rPr>
            <w:rStyle w:val="Hyperlink"/>
          </w:rPr>
          <w:t xml:space="preserve">NYU官方数据页面</w:t>
        </w:r>
      </w:hyperlink>
    </w:p>
    <w:p>
      <w:pPr>
        <w:pStyle w:val="BodyText"/>
        <w:widowControl/>
      </w:pPr>
      <w:r>
        <w:t xml:space="preserve">原文采用单目图像预测，未表明输入连续视频窗口，因此实验单位应写图像而非多时刻数值窗口。实际图像尺寸、裁剪、训练测试比例、cOOD样本数量及扰动集混合比例未充分报告。图4与补充图6展示的扰动强度不同，不能把一个示意图的参数当作整个测试集唯一设置。</w:t>
      </w:r>
    </w:p>
    <w:p>
      <w:pPr>
        <w:pStyle w:val="BodyText"/>
        <w:widowControl/>
      </w:pPr>
      <w:r>
        <w:t xml:space="preserve">深度真值来自深度测量及数据处理，ID/OOD标签来自域或扰动协议。cOOD属于输入扰动形式的①；它不必越过每个像素的合法范围，也不是独立验证③变量关系变化。图像整幅或像素级异常与时间序列的点、上下文、群体分类没有唯一对应，需先定义评价单位。</w:t>
      </w:r>
    </w:p>
    <w:p>
      <w:pPr>
        <w:pStyle w:val="BodyText"/>
        <w:widowControl/>
      </w:pPr>
      <w:r>
        <w:t xml:space="preserve">官方页面提供下载并要求引用，但本次页面没有确认明确命名的数据许可条款，商业复用许可标为未确认，不能套用作者代码的Apache许可。数据创建者提供场景、对象类别与实例标签；这些是场景语义标注，不是模型学习内外标签。</w:t>
      </w:r>
    </w:p>
    <w:bookmarkEnd w:id="57"/>
    <w:bookmarkStart w:id="58" w:name="apolloscape室外域"/>
    <w:p>
      <w:pPr>
        <w:pStyle w:val="Heading3"/>
        <w:widowControl/>
      </w:pPr>
      <w:r>
        <w:rPr>
          <w:color w:val="000000"/>
        </w:rPr>
        <w:t xml:space="preserve">7 6 ApolloScape室外域</w:t>
      </w:r>
    </w:p>
    <w:p>
      <w:pPr>
        <w:pStyle w:val="FirstParagraph"/>
        <w:widowControl/>
      </w:pPr>
      <w:r>
        <w:t xml:space="preserve">【原文8–9页】将室内训练模型用于ApolloScape室外深度估计，输入RGB图像、输出深度；原文表4将其设为OOD域。论文使用的具体子集、图像数、分辨率、采集期、帧间隔、深度处理和与NYU尺度对齐方式没有充分列出，不能用整个ApolloScape项目总规模替代本文规模。</w:t>
      </w:r>
    </w:p>
    <w:p>
      <w:pPr>
        <w:pStyle w:val="BodyText"/>
        <w:widowControl/>
      </w:pPr>
      <w:r>
        <w:t xml:space="preserve">【研究分类】属于①跨场景分布变化。室内外在语义与结构上可能出现③关系差异，但原文没有将其独立控制。原始视频来源不代表模型一次使用多个帧；本篇未展示多帧序列输入。域标签可用作OOD基准标签，但户外图像本身不是物理异常。</w:t>
      </w:r>
    </w:p>
    <w:p>
      <w:pPr>
        <w:pStyle w:val="BodyText"/>
        <w:widowControl/>
      </w:pPr>
      <w:r>
        <w:t xml:space="preserve">论文引用公开ApolloScape项目；本次未成功核验对应深度子集的现行下载入口和明确许可。数据是否仍可直接取得、是否需注册以及商用条件均标为未确认。报告不提供未经核实的下载承诺。域内外分别报告指标，没有给混合比例或学习外告警阈值。</w:t>
      </w:r>
    </w:p>
    <w:bookmarkEnd w:id="58"/>
    <w:bookmarkStart w:id="59" w:name="附录uci各数据集的输入-输出与规模"/>
    <w:p>
      <w:pPr>
        <w:pStyle w:val="Heading3"/>
        <w:widowControl/>
      </w:pPr>
      <w:r>
        <w:rPr>
          <w:color w:val="000000"/>
        </w:rPr>
        <w:t xml:space="preserve">7 7 附录UCI各数据集的输入 输出与规模</w:t>
      </w:r>
    </w:p>
    <w:p>
      <w:pPr>
        <w:pStyle w:val="FirstParagraph"/>
        <w:widowControl/>
      </w:pPr>
      <w:r>
        <w:t xml:space="preserve">下表原始规模主要为外部数据集资料，非本文实际切分规模。对可核验UCI页面，链接见下节。Boston与Kin8nm的原始规模是常用版本说明，本次未核验其具体下载副本，复现时应核对版本。</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282"/>
        <w:gridCol w:w="2170"/>
        <w:gridCol w:w="3749"/>
        <w:gridCol w:w="2663"/>
      </w:tblGrid>
      <w:tr>
        <w:trPr>
          <w:cantSplit/>
          <w:tblHeader/>
        </w:trPr>
        <w:tc>
          <w:tcPr>
            <w:tcW w:type="dxa" w:w="1282"/>
            <w:vAlign w:val="center"/>
            <w:shd w:fill="E7EDF3"/>
          </w:tcPr>
          <w:p>
            <w:pPr>
              <w:pStyle w:val="Compact"/>
              <w:keepNext w:val="0"/>
              <w:spacing w:after="40" w:before="40" w:line="264" w:lineRule="auto"/>
              <w:jc w:val="left"/>
            </w:pPr>
            <w:r>
              <w:rPr>
                <w:b/>
                <w:color w:val="000000"/>
                <w:sz w:val="19"/>
              </w:rPr>
              <w:t xml:space="preserve">数据集</w:t>
            </w:r>
          </w:p>
        </w:tc>
        <w:tc>
          <w:tcPr>
            <w:tcW w:type="dxa" w:w="2170"/>
            <w:vAlign w:val="center"/>
            <w:shd w:fill="E7EDF3"/>
          </w:tcPr>
          <w:p>
            <w:pPr>
              <w:pStyle w:val="Compact"/>
              <w:keepNext w:val="0"/>
              <w:spacing w:after="40" w:before="40" w:line="264" w:lineRule="auto"/>
              <w:jc w:val="left"/>
            </w:pPr>
            <w:r>
              <w:rPr>
                <w:b/>
                <w:color w:val="000000"/>
                <w:sz w:val="19"/>
              </w:rPr>
              <w:t xml:space="preserve">原始样本数和输入维度</w:t>
            </w:r>
          </w:p>
        </w:tc>
        <w:tc>
          <w:tcPr>
            <w:tcW w:type="dxa" w:w="3749"/>
            <w:vAlign w:val="center"/>
            <w:shd w:fill="E7EDF3"/>
          </w:tcPr>
          <w:p>
            <w:pPr>
              <w:pStyle w:val="Compact"/>
              <w:keepNext w:val="0"/>
              <w:spacing w:after="40" w:before="40" w:line="264" w:lineRule="auto"/>
              <w:jc w:val="left"/>
            </w:pPr>
            <w:r>
              <w:rPr>
                <w:b/>
                <w:color w:val="000000"/>
                <w:sz w:val="19"/>
              </w:rPr>
              <w:t xml:space="preserve">输入变量</w:t>
            </w:r>
          </w:p>
        </w:tc>
        <w:tc>
          <w:tcPr>
            <w:tcW w:type="dxa" w:w="2663"/>
            <w:vAlign w:val="center"/>
            <w:shd w:fill="E7EDF3"/>
          </w:tcPr>
          <w:p>
            <w:pPr>
              <w:pStyle w:val="Compact"/>
              <w:keepNext w:val="0"/>
              <w:spacing w:after="40" w:before="40" w:line="264" w:lineRule="auto"/>
              <w:jc w:val="left"/>
            </w:pPr>
            <w:r>
              <w:rPr>
                <w:b/>
                <w:color w:val="000000"/>
                <w:sz w:val="19"/>
              </w:rPr>
              <w:t xml:space="preserve">输出变量</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Boston</w:t>
            </w:r>
          </w:p>
        </w:tc>
        <w:tc>
          <w:tcPr>
            <w:tcW w:type="dxa" w:w="2170"/>
            <w:vAlign w:val="center"/>
            <w:shd w:fill="FFFFFF"/>
          </w:tcPr>
          <w:p>
            <w:pPr>
              <w:pStyle w:val="Compact"/>
              <w:keepNext w:val="0"/>
              <w:spacing w:after="40" w:before="40" w:line="264" w:lineRule="auto"/>
              <w:jc w:val="left"/>
            </w:pPr>
            <w:r>
              <w:rPr>
                <w:color w:val="000000"/>
                <w:sz w:val="19"/>
              </w:rPr>
              <w:t xml:space="preserve">常用版本506 × 13</w:t>
            </w:r>
          </w:p>
        </w:tc>
        <w:tc>
          <w:tcPr>
            <w:tcW w:type="dxa" w:w="3749"/>
            <w:vAlign w:val="center"/>
            <w:shd w:fill="FFFFFF"/>
          </w:tcPr>
          <w:p>
            <w:pPr>
              <w:pStyle w:val="Compact"/>
              <w:keepNext w:val="0"/>
              <w:spacing w:after="40" w:before="40" w:line="264" w:lineRule="auto"/>
              <w:jc w:val="left"/>
            </w:pPr>
            <w:r>
              <w:rPr>
                <w:color w:val="000000"/>
                <w:sz w:val="19"/>
              </w:rPr>
              <w:t xml:space="preserve">犯罪率、住宅用地、非零售用地、河流指示、氮氧化物、房间数、房龄、就业距离、公路可达性、税率、师生比、历史人口构成指标、低收入比例</w:t>
            </w:r>
          </w:p>
        </w:tc>
        <w:tc>
          <w:tcPr>
            <w:tcW w:type="dxa" w:w="2663"/>
            <w:vAlign w:val="center"/>
            <w:shd w:fill="FFFFFF"/>
          </w:tcPr>
          <w:p>
            <w:pPr>
              <w:pStyle w:val="Compact"/>
              <w:keepNext w:val="0"/>
              <w:spacing w:after="40" w:before="40" w:line="264" w:lineRule="auto"/>
              <w:jc w:val="left"/>
            </w:pPr>
            <w:r>
              <w:rPr>
                <w:color w:val="000000"/>
                <w:sz w:val="19"/>
              </w:rPr>
              <w:t xml:space="preserve">房价中位数</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Concrete</w:t>
            </w:r>
          </w:p>
        </w:tc>
        <w:tc>
          <w:tcPr>
            <w:tcW w:type="dxa" w:w="2170"/>
            <w:vAlign w:val="center"/>
            <w:shd w:fill="F7F8FA"/>
          </w:tcPr>
          <w:p>
            <w:pPr>
              <w:pStyle w:val="Compact"/>
              <w:keepNext w:val="0"/>
              <w:spacing w:after="40" w:before="40" w:line="264" w:lineRule="auto"/>
              <w:jc w:val="center"/>
            </w:pPr>
            <w:r>
              <w:rPr>
                <w:color w:val="000000"/>
                <w:sz w:val="19"/>
              </w:rPr>
              <w:t xml:space="preserve">1030 × 8</w:t>
            </w:r>
          </w:p>
        </w:tc>
        <w:tc>
          <w:tcPr>
            <w:tcW w:type="dxa" w:w="3749"/>
            <w:vAlign w:val="center"/>
            <w:shd w:fill="F7F8FA"/>
          </w:tcPr>
          <w:p>
            <w:pPr>
              <w:pStyle w:val="Compact"/>
              <w:keepNext w:val="0"/>
              <w:spacing w:after="40" w:before="40" w:line="264" w:lineRule="auto"/>
              <w:jc w:val="left"/>
            </w:pPr>
            <w:r>
              <w:rPr>
                <w:color w:val="000000"/>
                <w:sz w:val="19"/>
              </w:rPr>
              <w:t xml:space="preserve">水泥、炉渣、粉煤灰、水、减水剂、粗骨料、细骨料、龄期</w:t>
            </w:r>
          </w:p>
        </w:tc>
        <w:tc>
          <w:tcPr>
            <w:tcW w:type="dxa" w:w="2663"/>
            <w:vAlign w:val="center"/>
            <w:shd w:fill="F7F8FA"/>
          </w:tcPr>
          <w:p>
            <w:pPr>
              <w:pStyle w:val="Compact"/>
              <w:keepNext w:val="0"/>
              <w:spacing w:after="40" w:before="40" w:line="264" w:lineRule="auto"/>
              <w:jc w:val="left"/>
            </w:pPr>
            <w:r>
              <w:rPr>
                <w:color w:val="000000"/>
                <w:sz w:val="19"/>
              </w:rPr>
              <w:t xml:space="preserve">抗压强度MPa</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Energy</w:t>
            </w:r>
          </w:p>
        </w:tc>
        <w:tc>
          <w:tcPr>
            <w:tcW w:type="dxa" w:w="2170"/>
            <w:vAlign w:val="center"/>
            <w:shd w:fill="FFFFFF"/>
          </w:tcPr>
          <w:p>
            <w:pPr>
              <w:pStyle w:val="Compact"/>
              <w:keepNext w:val="0"/>
              <w:spacing w:after="40" w:before="40" w:line="264" w:lineRule="auto"/>
              <w:jc w:val="center"/>
            </w:pPr>
            <w:r>
              <w:rPr>
                <w:color w:val="000000"/>
                <w:sz w:val="19"/>
              </w:rPr>
              <w:t xml:space="preserve">768 × 8</w:t>
            </w:r>
          </w:p>
        </w:tc>
        <w:tc>
          <w:tcPr>
            <w:tcW w:type="dxa" w:w="3749"/>
            <w:vAlign w:val="center"/>
            <w:shd w:fill="FFFFFF"/>
          </w:tcPr>
          <w:p>
            <w:pPr>
              <w:pStyle w:val="Compact"/>
              <w:keepNext w:val="0"/>
              <w:spacing w:after="40" w:before="40" w:line="264" w:lineRule="auto"/>
              <w:jc w:val="left"/>
            </w:pPr>
            <w:r>
              <w:rPr>
                <w:color w:val="000000"/>
                <w:sz w:val="19"/>
              </w:rPr>
              <w:t xml:space="preserve">相对紧凑度、表面积、墙面积、屋顶面积、总高度、朝向、玻璃面积、玻璃分布</w:t>
            </w:r>
          </w:p>
        </w:tc>
        <w:tc>
          <w:tcPr>
            <w:tcW w:type="dxa" w:w="2663"/>
            <w:vAlign w:val="center"/>
            <w:shd w:fill="FFFFFF"/>
          </w:tcPr>
          <w:p>
            <w:pPr>
              <w:pStyle w:val="Compact"/>
              <w:keepNext w:val="0"/>
              <w:spacing w:after="40" w:before="40" w:line="264" w:lineRule="auto"/>
              <w:jc w:val="left"/>
            </w:pPr>
            <w:r>
              <w:rPr>
                <w:color w:val="000000"/>
                <w:sz w:val="19"/>
              </w:rPr>
              <w:t xml:space="preserve">原数据有供暖和制冷负荷；本文具体选取未确认</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Kin8nm</w:t>
            </w:r>
          </w:p>
        </w:tc>
        <w:tc>
          <w:tcPr>
            <w:tcW w:type="dxa" w:w="2170"/>
            <w:vAlign w:val="center"/>
            <w:shd w:fill="F7F8FA"/>
          </w:tcPr>
          <w:p>
            <w:pPr>
              <w:pStyle w:val="Compact"/>
              <w:keepNext w:val="0"/>
              <w:spacing w:after="40" w:before="40" w:line="264" w:lineRule="auto"/>
              <w:jc w:val="left"/>
            </w:pPr>
            <w:r>
              <w:rPr>
                <w:color w:val="000000"/>
                <w:sz w:val="19"/>
              </w:rPr>
              <w:t xml:space="preserve">常用版本8192 × 8</w:t>
            </w:r>
          </w:p>
        </w:tc>
        <w:tc>
          <w:tcPr>
            <w:tcW w:type="dxa" w:w="3749"/>
            <w:vAlign w:val="center"/>
            <w:shd w:fill="F7F8FA"/>
          </w:tcPr>
          <w:p>
            <w:pPr>
              <w:pStyle w:val="Compact"/>
              <w:keepNext w:val="0"/>
              <w:spacing w:after="40" w:before="40" w:line="264" w:lineRule="auto"/>
              <w:jc w:val="left"/>
            </w:pPr>
            <w:r>
              <w:rPr>
                <w:color w:val="000000"/>
                <w:sz w:val="19"/>
              </w:rPr>
              <w:t xml:space="preserve">机器人运动学的8个输入参数；本文未逐列列名</w:t>
            </w:r>
          </w:p>
        </w:tc>
        <w:tc>
          <w:tcPr>
            <w:tcW w:type="dxa" w:w="2663"/>
            <w:vAlign w:val="center"/>
            <w:shd w:fill="F7F8FA"/>
          </w:tcPr>
          <w:p>
            <w:pPr>
              <w:pStyle w:val="Compact"/>
              <w:keepNext w:val="0"/>
              <w:spacing w:after="40" w:before="40" w:line="264" w:lineRule="auto"/>
              <w:jc w:val="left"/>
            </w:pPr>
            <w:r>
              <w:rPr>
                <w:color w:val="000000"/>
                <w:sz w:val="19"/>
              </w:rPr>
              <w:t xml:space="preserve">连续运动学响应；精确定义待版本核实</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Naval</w:t>
            </w:r>
          </w:p>
        </w:tc>
        <w:tc>
          <w:tcPr>
            <w:tcW w:type="dxa" w:w="2170"/>
            <w:vAlign w:val="center"/>
            <w:shd w:fill="FFFFFF"/>
          </w:tcPr>
          <w:p>
            <w:pPr>
              <w:pStyle w:val="Compact"/>
              <w:keepNext w:val="0"/>
              <w:spacing w:after="40" w:before="40" w:line="264" w:lineRule="auto"/>
              <w:jc w:val="center"/>
            </w:pPr>
            <w:r>
              <w:rPr>
                <w:color w:val="000000"/>
                <w:sz w:val="19"/>
              </w:rPr>
              <w:t xml:space="preserve">11934 × 16</w:t>
            </w:r>
          </w:p>
        </w:tc>
        <w:tc>
          <w:tcPr>
            <w:tcW w:type="dxa" w:w="3749"/>
            <w:vAlign w:val="center"/>
            <w:shd w:fill="FFFFFF"/>
          </w:tcPr>
          <w:p>
            <w:pPr>
              <w:pStyle w:val="Compact"/>
              <w:keepNext w:val="0"/>
              <w:spacing w:after="40" w:before="40" w:line="264" w:lineRule="auto"/>
              <w:jc w:val="left"/>
            </w:pPr>
            <w:r>
              <w:rPr>
                <w:color w:val="000000"/>
                <w:sz w:val="19"/>
              </w:rPr>
              <w:t xml:space="preserve">操纵杆、航速、轴转矩、转速、螺旋桨转矩、燃机与压气机温压、燃料控制等16项</w:t>
            </w:r>
          </w:p>
        </w:tc>
        <w:tc>
          <w:tcPr>
            <w:tcW w:type="dxa" w:w="2663"/>
            <w:vAlign w:val="center"/>
            <w:shd w:fill="FFFFFF"/>
          </w:tcPr>
          <w:p>
            <w:pPr>
              <w:pStyle w:val="Compact"/>
              <w:keepNext w:val="0"/>
              <w:spacing w:after="40" w:before="40" w:line="264" w:lineRule="auto"/>
              <w:jc w:val="left"/>
            </w:pPr>
            <w:r>
              <w:rPr>
                <w:color w:val="000000"/>
                <w:sz w:val="19"/>
              </w:rPr>
              <w:t xml:space="preserve">压气机与涡轮退化系数；本文目标选取未确认</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Power</w:t>
            </w:r>
          </w:p>
        </w:tc>
        <w:tc>
          <w:tcPr>
            <w:tcW w:type="dxa" w:w="2170"/>
            <w:vAlign w:val="center"/>
            <w:shd w:fill="F7F8FA"/>
          </w:tcPr>
          <w:p>
            <w:pPr>
              <w:pStyle w:val="Compact"/>
              <w:keepNext w:val="0"/>
              <w:spacing w:after="40" w:before="40" w:line="264" w:lineRule="auto"/>
              <w:jc w:val="center"/>
            </w:pPr>
            <w:r>
              <w:rPr>
                <w:color w:val="000000"/>
                <w:sz w:val="19"/>
              </w:rPr>
              <w:t xml:space="preserve">9568 × 4</w:t>
            </w:r>
          </w:p>
        </w:tc>
        <w:tc>
          <w:tcPr>
            <w:tcW w:type="dxa" w:w="3749"/>
            <w:vAlign w:val="center"/>
            <w:shd w:fill="F7F8FA"/>
          </w:tcPr>
          <w:p>
            <w:pPr>
              <w:pStyle w:val="Compact"/>
              <w:keepNext w:val="0"/>
              <w:spacing w:after="40" w:before="40" w:line="264" w:lineRule="auto"/>
              <w:jc w:val="left"/>
            </w:pPr>
            <w:r>
              <w:rPr>
                <w:color w:val="000000"/>
                <w:sz w:val="19"/>
              </w:rPr>
              <w:t xml:space="preserve">环境温度、排气真空、环境气压、相对湿度</w:t>
            </w:r>
          </w:p>
        </w:tc>
        <w:tc>
          <w:tcPr>
            <w:tcW w:type="dxa" w:w="2663"/>
            <w:vAlign w:val="center"/>
            <w:shd w:fill="F7F8FA"/>
          </w:tcPr>
          <w:p>
            <w:pPr>
              <w:pStyle w:val="Compact"/>
              <w:keepNext w:val="0"/>
              <w:spacing w:after="40" w:before="40" w:line="264" w:lineRule="auto"/>
              <w:jc w:val="left"/>
            </w:pPr>
            <w:r>
              <w:rPr>
                <w:color w:val="000000"/>
                <w:sz w:val="19"/>
              </w:rPr>
              <w:t xml:space="preserve">净发电功率MW</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Protein</w:t>
            </w:r>
          </w:p>
        </w:tc>
        <w:tc>
          <w:tcPr>
            <w:tcW w:type="dxa" w:w="2170"/>
            <w:vAlign w:val="center"/>
            <w:shd w:fill="FFFFFF"/>
          </w:tcPr>
          <w:p>
            <w:pPr>
              <w:pStyle w:val="Compact"/>
              <w:keepNext w:val="0"/>
              <w:spacing w:after="40" w:before="40" w:line="264" w:lineRule="auto"/>
              <w:jc w:val="center"/>
            </w:pPr>
            <w:r>
              <w:rPr>
                <w:color w:val="000000"/>
                <w:sz w:val="19"/>
              </w:rPr>
              <w:t xml:space="preserve">45730 × 9</w:t>
            </w:r>
          </w:p>
        </w:tc>
        <w:tc>
          <w:tcPr>
            <w:tcW w:type="dxa" w:w="3749"/>
            <w:vAlign w:val="center"/>
            <w:shd w:fill="FFFFFF"/>
          </w:tcPr>
          <w:p>
            <w:pPr>
              <w:pStyle w:val="Compact"/>
              <w:keepNext w:val="0"/>
              <w:spacing w:after="40" w:before="40" w:line="264" w:lineRule="auto"/>
              <w:jc w:val="left"/>
            </w:pPr>
            <w:r>
              <w:rPr>
                <w:color w:val="000000"/>
                <w:sz w:val="19"/>
              </w:rPr>
              <w:t xml:space="preserve">总表面积、非极性暴露面积及比例、质量加权暴露面积、标准面积偏离、欧氏距离、二级结构惩罚、空间分布约束</w:t>
            </w:r>
          </w:p>
        </w:tc>
        <w:tc>
          <w:tcPr>
            <w:tcW w:type="dxa" w:w="2663"/>
            <w:vAlign w:val="center"/>
            <w:shd w:fill="FFFFFF"/>
          </w:tcPr>
          <w:p>
            <w:pPr>
              <w:pStyle w:val="Compact"/>
              <w:keepNext w:val="0"/>
              <w:spacing w:after="40" w:before="40" w:line="264" w:lineRule="auto"/>
              <w:jc w:val="left"/>
            </w:pPr>
            <w:r>
              <w:rPr>
                <w:color w:val="000000"/>
                <w:sz w:val="19"/>
              </w:rPr>
              <w:t xml:space="preserve">RMSD</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Yacht</w:t>
            </w:r>
          </w:p>
        </w:tc>
        <w:tc>
          <w:tcPr>
            <w:tcW w:type="dxa" w:w="2170"/>
            <w:vAlign w:val="center"/>
            <w:shd w:fill="F7F8FA"/>
          </w:tcPr>
          <w:p>
            <w:pPr>
              <w:pStyle w:val="Compact"/>
              <w:keepNext w:val="0"/>
              <w:spacing w:after="40" w:before="40" w:line="264" w:lineRule="auto"/>
              <w:jc w:val="center"/>
            </w:pPr>
            <w:r>
              <w:rPr>
                <w:color w:val="000000"/>
                <w:sz w:val="19"/>
              </w:rPr>
              <w:t xml:space="preserve">308 × 6</w:t>
            </w:r>
          </w:p>
        </w:tc>
        <w:tc>
          <w:tcPr>
            <w:tcW w:type="dxa" w:w="3749"/>
            <w:vAlign w:val="center"/>
            <w:shd w:fill="F7F8FA"/>
          </w:tcPr>
          <w:p>
            <w:pPr>
              <w:pStyle w:val="Compact"/>
              <w:keepNext w:val="0"/>
              <w:spacing w:after="40" w:before="40" w:line="264" w:lineRule="auto"/>
              <w:jc w:val="left"/>
            </w:pPr>
            <w:r>
              <w:rPr>
                <w:color w:val="000000"/>
                <w:sz w:val="19"/>
              </w:rPr>
              <w:t xml:space="preserve">浮心纵向位置、棱形系数、长排水量比、宽吃水比、长宽比、Froude数</w:t>
            </w:r>
          </w:p>
        </w:tc>
        <w:tc>
          <w:tcPr>
            <w:tcW w:type="dxa" w:w="2663"/>
            <w:vAlign w:val="center"/>
            <w:shd w:fill="F7F8FA"/>
          </w:tcPr>
          <w:p>
            <w:pPr>
              <w:pStyle w:val="Compact"/>
              <w:keepNext w:val="0"/>
              <w:spacing w:after="40" w:before="40" w:line="264" w:lineRule="auto"/>
              <w:jc w:val="left"/>
            </w:pPr>
            <w:r>
              <w:rPr>
                <w:color w:val="000000"/>
                <w:sz w:val="19"/>
              </w:rPr>
              <w:t xml:space="preserve">单位排水重量剩余阻力</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YearPredictionMSD</w:t>
            </w:r>
          </w:p>
        </w:tc>
        <w:tc>
          <w:tcPr>
            <w:tcW w:type="dxa" w:w="2170"/>
            <w:vAlign w:val="center"/>
            <w:shd w:fill="FFFFFF"/>
          </w:tcPr>
          <w:p>
            <w:pPr>
              <w:pStyle w:val="Compact"/>
              <w:keepNext w:val="0"/>
              <w:spacing w:after="40" w:before="40" w:line="264" w:lineRule="auto"/>
              <w:jc w:val="center"/>
            </w:pPr>
            <w:r>
              <w:rPr>
                <w:color w:val="000000"/>
                <w:sz w:val="19"/>
              </w:rPr>
              <w:t xml:space="preserve">515345 × 90</w:t>
            </w:r>
          </w:p>
        </w:tc>
        <w:tc>
          <w:tcPr>
            <w:tcW w:type="dxa" w:w="3749"/>
            <w:vAlign w:val="center"/>
            <w:shd w:fill="FFFFFF"/>
          </w:tcPr>
          <w:p>
            <w:pPr>
              <w:pStyle w:val="Compact"/>
              <w:keepNext w:val="0"/>
              <w:spacing w:after="40" w:before="40" w:line="264" w:lineRule="auto"/>
              <w:jc w:val="left"/>
            </w:pPr>
            <w:r>
              <w:rPr>
                <w:color w:val="000000"/>
                <w:sz w:val="19"/>
              </w:rPr>
              <w:t xml:space="preserve">12个音色均值和78个协方差特征</w:t>
            </w:r>
          </w:p>
        </w:tc>
        <w:tc>
          <w:tcPr>
            <w:tcW w:type="dxa" w:w="2663"/>
            <w:vAlign w:val="center"/>
            <w:shd w:fill="FFFFFF"/>
          </w:tcPr>
          <w:p>
            <w:pPr>
              <w:pStyle w:val="Compact"/>
              <w:keepNext w:val="0"/>
              <w:spacing w:after="40" w:before="40" w:line="264" w:lineRule="auto"/>
              <w:jc w:val="left"/>
            </w:pPr>
            <w:r>
              <w:rPr>
                <w:color w:val="000000"/>
                <w:sz w:val="19"/>
              </w:rPr>
              <w:t xml:space="preserve">歌曲发行年份</w:t>
            </w:r>
          </w:p>
        </w:tc>
      </w:tr>
    </w:tbl>
    <w:p>
      <w:pPr>
        <w:pStyle w:val="BodyText"/>
        <w:widowControl/>
      </w:pPr>
      <w:r>
        <w:t xml:space="preserve">每个数据集在本篇都用于表5–13的IID回归。没有原生</w:t>
      </w:r>
      <w:r>
        <w:t xml:space="preserve">“</w:t>
      </w:r>
      <w:r>
        <w:t xml:space="preserve">学习内／学习外</w:t>
      </w:r>
      <w:r>
        <w:t xml:space="preserve">”</w:t>
      </w:r>
      <w:r>
        <w:t xml:space="preserve">标签被本文用来检验检测器；回归目标标签不能替代该标签。没有独立OOD样本构造或比例可报告，所以①②③及三种异常类型在这些实验中均为</w:t>
      </w:r>
      <w:r>
        <w:t xml:space="preserve">“</w:t>
      </w:r>
      <w:r>
        <w:t xml:space="preserve">未专门设置</w:t>
      </w:r>
      <w:r>
        <w:t xml:space="preserve">”</w:t>
      </w:r>
      <w:r>
        <w:t xml:space="preserve">，不能因名称含动力系统就自动归为时间序列异常。</w:t>
      </w:r>
    </w:p>
    <w:bookmarkEnd w:id="59"/>
    <w:bookmarkStart w:id="67" w:name="uci使用条件-时间属性与划分"/>
    <w:p>
      <w:pPr>
        <w:pStyle w:val="Heading3"/>
        <w:widowControl/>
      </w:pPr>
      <w:r>
        <w:rPr>
          <w:color w:val="000000"/>
        </w:rPr>
        <w:t xml:space="preserve">7 8 UCI使用条件 时间属性与划分</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282"/>
        <w:gridCol w:w="2170"/>
        <w:gridCol w:w="3749"/>
        <w:gridCol w:w="2663"/>
      </w:tblGrid>
      <w:tr>
        <w:trPr>
          <w:cantSplit/>
          <w:tblHeader/>
        </w:trPr>
        <w:tc>
          <w:tcPr>
            <w:tcW w:type="dxa" w:w="1282"/>
            <w:vAlign w:val="center"/>
            <w:shd w:fill="E7EDF3"/>
          </w:tcPr>
          <w:p>
            <w:pPr>
              <w:pStyle w:val="Compact"/>
              <w:keepNext w:val="0"/>
              <w:spacing w:after="40" w:before="40" w:line="264" w:lineRule="auto"/>
              <w:jc w:val="left"/>
            </w:pPr>
            <w:r>
              <w:rPr>
                <w:b/>
                <w:color w:val="000000"/>
                <w:sz w:val="19"/>
              </w:rPr>
              <w:t xml:space="preserve">数据集</w:t>
            </w:r>
          </w:p>
        </w:tc>
        <w:tc>
          <w:tcPr>
            <w:tcW w:type="dxa" w:w="2170"/>
            <w:vAlign w:val="center"/>
            <w:shd w:fill="E7EDF3"/>
          </w:tcPr>
          <w:p>
            <w:pPr>
              <w:pStyle w:val="Compact"/>
              <w:keepNext w:val="0"/>
              <w:spacing w:after="40" w:before="40" w:line="264" w:lineRule="auto"/>
              <w:jc w:val="left"/>
            </w:pPr>
            <w:r>
              <w:rPr>
                <w:b/>
                <w:color w:val="000000"/>
                <w:sz w:val="19"/>
              </w:rPr>
              <w:t xml:space="preserve">时间及输入单位</w:t>
            </w:r>
          </w:p>
        </w:tc>
        <w:tc>
          <w:tcPr>
            <w:tcW w:type="dxa" w:w="3749"/>
            <w:vAlign w:val="center"/>
            <w:shd w:fill="E7EDF3"/>
          </w:tcPr>
          <w:p>
            <w:pPr>
              <w:pStyle w:val="Compact"/>
              <w:keepNext w:val="0"/>
              <w:spacing w:after="40" w:before="40" w:line="264" w:lineRule="auto"/>
              <w:jc w:val="left"/>
            </w:pPr>
            <w:r>
              <w:rPr>
                <w:b/>
                <w:color w:val="000000"/>
                <w:sz w:val="19"/>
              </w:rPr>
              <w:t xml:space="preserve">划分与分类信息</w:t>
            </w:r>
          </w:p>
        </w:tc>
        <w:tc>
          <w:tcPr>
            <w:tcW w:type="dxa" w:w="2663"/>
            <w:vAlign w:val="center"/>
            <w:shd w:fill="E7EDF3"/>
          </w:tcPr>
          <w:p>
            <w:pPr>
              <w:pStyle w:val="Compact"/>
              <w:keepNext w:val="0"/>
              <w:spacing w:after="40" w:before="40" w:line="264" w:lineRule="auto"/>
              <w:jc w:val="left"/>
            </w:pPr>
            <w:r>
              <w:rPr>
                <w:b/>
                <w:color w:val="000000"/>
                <w:sz w:val="19"/>
              </w:rPr>
              <w:t xml:space="preserve">公开与许可及获取</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Boston</w:t>
            </w:r>
          </w:p>
        </w:tc>
        <w:tc>
          <w:tcPr>
            <w:tcW w:type="dxa" w:w="2170"/>
            <w:vAlign w:val="center"/>
            <w:shd w:fill="FFFFFF"/>
          </w:tcPr>
          <w:p>
            <w:pPr>
              <w:pStyle w:val="Compact"/>
              <w:keepNext w:val="0"/>
              <w:spacing w:after="40" w:before="40" w:line="264" w:lineRule="auto"/>
              <w:jc w:val="left"/>
            </w:pPr>
            <w:r>
              <w:rPr>
                <w:color w:val="000000"/>
                <w:sz w:val="19"/>
              </w:rPr>
              <w:t xml:space="preserve">地区级静态记录；窗口不适用；本文采集期未列出</w:t>
            </w:r>
          </w:p>
        </w:tc>
        <w:tc>
          <w:tcPr>
            <w:tcW w:type="dxa" w:w="3749"/>
            <w:vAlign w:val="center"/>
            <w:shd w:fill="FFFFFF"/>
          </w:tcPr>
          <w:p>
            <w:pPr>
              <w:pStyle w:val="Compact"/>
              <w:keepNext w:val="0"/>
              <w:spacing w:after="40" w:before="40" w:line="264" w:lineRule="auto"/>
              <w:jc w:val="left"/>
            </w:pPr>
            <w:r>
              <w:rPr>
                <w:color w:val="000000"/>
                <w:sz w:val="19"/>
              </w:rPr>
              <w:t xml:space="preserve">本文具体切分未报告，无OOD配置</w:t>
            </w:r>
          </w:p>
        </w:tc>
        <w:tc>
          <w:tcPr>
            <w:tcW w:type="dxa" w:w="2663"/>
            <w:vAlign w:val="center"/>
            <w:shd w:fill="FFFFFF"/>
          </w:tcPr>
          <w:p>
            <w:pPr>
              <w:pStyle w:val="Compact"/>
              <w:keepNext w:val="0"/>
              <w:spacing w:after="40" w:before="40" w:line="264" w:lineRule="auto"/>
              <w:jc w:val="left"/>
            </w:pPr>
            <w:r>
              <w:rPr>
                <w:color w:val="000000"/>
                <w:sz w:val="19"/>
              </w:rPr>
              <w:t xml:space="preserve">原始版本和授权未在本次确认；不将普通镜像当权威许可</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Concrete</w:t>
            </w:r>
          </w:p>
        </w:tc>
        <w:tc>
          <w:tcPr>
            <w:tcW w:type="dxa" w:w="2170"/>
            <w:vAlign w:val="center"/>
            <w:shd w:fill="F7F8FA"/>
          </w:tcPr>
          <w:p>
            <w:pPr>
              <w:pStyle w:val="Compact"/>
              <w:keepNext w:val="0"/>
              <w:spacing w:after="40" w:before="40" w:line="264" w:lineRule="auto"/>
              <w:jc w:val="left"/>
            </w:pPr>
            <w:r>
              <w:rPr>
                <w:color w:val="000000"/>
                <w:sz w:val="19"/>
              </w:rPr>
              <w:t xml:space="preserve">一次配方和龄期记录；龄期不是序列窗口</w:t>
            </w:r>
          </w:p>
        </w:tc>
        <w:tc>
          <w:tcPr>
            <w:tcW w:type="dxa" w:w="3749"/>
            <w:vAlign w:val="center"/>
            <w:shd w:fill="F7F8FA"/>
          </w:tcPr>
          <w:p>
            <w:pPr>
              <w:pStyle w:val="Compact"/>
              <w:keepNext w:val="0"/>
              <w:spacing w:after="40" w:before="40" w:line="264" w:lineRule="auto"/>
              <w:jc w:val="left"/>
            </w:pPr>
            <w:r>
              <w:rPr>
                <w:color w:val="000000"/>
                <w:sz w:val="19"/>
              </w:rPr>
              <w:t xml:space="preserve">回归数据；本文训练测试比例未明确</w:t>
            </w:r>
          </w:p>
        </w:tc>
        <w:tc>
          <w:tcPr>
            <w:tcW w:type="dxa" w:w="2663"/>
            <w:vAlign w:val="center"/>
            <w:shd w:fill="F7F8FA"/>
          </w:tcPr>
          <w:p>
            <w:pPr>
              <w:pStyle w:val="Compact"/>
              <w:keepNext w:val="0"/>
              <w:spacing w:after="40" w:before="40" w:line="264" w:lineRule="auto"/>
              <w:jc w:val="left"/>
            </w:pPr>
            <w:hyperlink r:id="rId60">
              <w:r>
                <w:rPr>
                  <w:rStyle w:val="Hyperlink"/>
                </w:rPr>
                <w:t xml:space="preserve">UCI165</w:t>
              </w:r>
            </w:hyperlink>
            <w:r>
              <w:rPr>
                <w:color w:val="000000"/>
                <w:sz w:val="19"/>
              </w:rPr>
              <w:t xml:space="preserve">，CC BY 4.0；XLS约122KB</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Energy</w:t>
            </w:r>
          </w:p>
        </w:tc>
        <w:tc>
          <w:tcPr>
            <w:tcW w:type="dxa" w:w="2170"/>
            <w:vAlign w:val="center"/>
            <w:shd w:fill="FFFFFF"/>
          </w:tcPr>
          <w:p>
            <w:pPr>
              <w:pStyle w:val="Compact"/>
              <w:keepNext w:val="0"/>
              <w:spacing w:after="40" w:before="40" w:line="264" w:lineRule="auto"/>
              <w:jc w:val="left"/>
            </w:pPr>
            <w:r>
              <w:rPr>
                <w:color w:val="000000"/>
                <w:sz w:val="19"/>
              </w:rPr>
              <w:t xml:space="preserve">建筑设计仿真；不是逐时负荷序列</w:t>
            </w:r>
          </w:p>
        </w:tc>
        <w:tc>
          <w:tcPr>
            <w:tcW w:type="dxa" w:w="3749"/>
            <w:vAlign w:val="center"/>
            <w:shd w:fill="FFFFFF"/>
          </w:tcPr>
          <w:p>
            <w:pPr>
              <w:pStyle w:val="Compact"/>
              <w:keepNext w:val="0"/>
              <w:spacing w:after="40" w:before="40" w:line="264" w:lineRule="auto"/>
              <w:jc w:val="left"/>
            </w:pPr>
            <w:r>
              <w:rPr>
                <w:color w:val="000000"/>
                <w:sz w:val="19"/>
              </w:rPr>
              <w:t xml:space="preserve">按建筑参数组合生成；本文目标与切分待核</w:t>
            </w:r>
          </w:p>
        </w:tc>
        <w:tc>
          <w:tcPr>
            <w:tcW w:type="dxa" w:w="2663"/>
            <w:vAlign w:val="center"/>
            <w:shd w:fill="FFFFFF"/>
          </w:tcPr>
          <w:p>
            <w:pPr>
              <w:pStyle w:val="Compact"/>
              <w:keepNext w:val="0"/>
              <w:spacing w:after="40" w:before="40" w:line="264" w:lineRule="auto"/>
              <w:jc w:val="left"/>
            </w:pPr>
            <w:hyperlink r:id="rId61">
              <w:r>
                <w:rPr>
                  <w:rStyle w:val="Hyperlink"/>
                </w:rPr>
                <w:t xml:space="preserve">UCI242</w:t>
              </w:r>
            </w:hyperlink>
            <w:r>
              <w:rPr>
                <w:color w:val="000000"/>
                <w:sz w:val="19"/>
              </w:rPr>
              <w:t xml:space="preserve">，CC BY 4.0；XLSX约74.4KB</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Kin8nm</w:t>
            </w:r>
          </w:p>
        </w:tc>
        <w:tc>
          <w:tcPr>
            <w:tcW w:type="dxa" w:w="2170"/>
            <w:vAlign w:val="center"/>
            <w:shd w:fill="F7F8FA"/>
          </w:tcPr>
          <w:p>
            <w:pPr>
              <w:pStyle w:val="Compact"/>
              <w:keepNext w:val="0"/>
              <w:spacing w:after="40" w:before="40" w:line="264" w:lineRule="auto"/>
              <w:jc w:val="left"/>
            </w:pPr>
            <w:r>
              <w:rPr>
                <w:color w:val="000000"/>
                <w:sz w:val="19"/>
              </w:rPr>
              <w:t xml:space="preserve">静态运动学记录；无已确认时间窗口</w:t>
            </w:r>
          </w:p>
        </w:tc>
        <w:tc>
          <w:tcPr>
            <w:tcW w:type="dxa" w:w="3749"/>
            <w:vAlign w:val="center"/>
            <w:shd w:fill="F7F8FA"/>
          </w:tcPr>
          <w:p>
            <w:pPr>
              <w:pStyle w:val="Compact"/>
              <w:keepNext w:val="0"/>
              <w:spacing w:after="40" w:before="40" w:line="264" w:lineRule="auto"/>
              <w:jc w:val="left"/>
            </w:pPr>
            <w:r>
              <w:rPr>
                <w:color w:val="000000"/>
                <w:sz w:val="19"/>
              </w:rPr>
              <w:t xml:space="preserve">本文实际分割及变量版本未明确</w:t>
            </w:r>
          </w:p>
        </w:tc>
        <w:tc>
          <w:tcPr>
            <w:tcW w:type="dxa" w:w="2663"/>
            <w:vAlign w:val="center"/>
            <w:shd w:fill="F7F8FA"/>
          </w:tcPr>
          <w:p>
            <w:pPr>
              <w:pStyle w:val="Compact"/>
              <w:keepNext w:val="0"/>
              <w:spacing w:after="40" w:before="40" w:line="264" w:lineRule="auto"/>
              <w:jc w:val="left"/>
            </w:pPr>
            <w:r>
              <w:rPr>
                <w:color w:val="000000"/>
                <w:sz w:val="19"/>
              </w:rPr>
              <w:t xml:space="preserve">原始来源和许可未确认，复现需固定数据副本</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Naval</w:t>
            </w:r>
          </w:p>
        </w:tc>
        <w:tc>
          <w:tcPr>
            <w:tcW w:type="dxa" w:w="2170"/>
            <w:vAlign w:val="center"/>
            <w:shd w:fill="FFFFFF"/>
          </w:tcPr>
          <w:p>
            <w:pPr>
              <w:pStyle w:val="Compact"/>
              <w:keepNext w:val="0"/>
              <w:spacing w:after="40" w:before="40" w:line="264" w:lineRule="auto"/>
              <w:jc w:val="left"/>
            </w:pPr>
            <w:r>
              <w:rPr>
                <w:color w:val="000000"/>
                <w:sz w:val="19"/>
              </w:rPr>
              <w:t xml:space="preserve">推进系统仿真工况；本文按表格输入</w:t>
            </w:r>
          </w:p>
        </w:tc>
        <w:tc>
          <w:tcPr>
            <w:tcW w:type="dxa" w:w="3749"/>
            <w:vAlign w:val="center"/>
            <w:shd w:fill="FFFFFF"/>
          </w:tcPr>
          <w:p>
            <w:pPr>
              <w:pStyle w:val="Compact"/>
              <w:keepNext w:val="0"/>
              <w:spacing w:after="40" w:before="40" w:line="264" w:lineRule="auto"/>
              <w:jc w:val="left"/>
            </w:pPr>
            <w:r>
              <w:rPr>
                <w:color w:val="000000"/>
                <w:sz w:val="19"/>
              </w:rPr>
              <w:t xml:space="preserve">退化状态是参数组合，不是本文异常类；比例未明确</w:t>
            </w:r>
          </w:p>
        </w:tc>
        <w:tc>
          <w:tcPr>
            <w:tcW w:type="dxa" w:w="2663"/>
            <w:vAlign w:val="center"/>
            <w:shd w:fill="FFFFFF"/>
          </w:tcPr>
          <w:p>
            <w:pPr>
              <w:pStyle w:val="Compact"/>
              <w:keepNext w:val="0"/>
              <w:spacing w:after="40" w:before="40" w:line="264" w:lineRule="auto"/>
              <w:jc w:val="left"/>
            </w:pPr>
            <w:hyperlink r:id="rId62">
              <w:r>
                <w:rPr>
                  <w:rStyle w:val="Hyperlink"/>
                </w:rPr>
                <w:t xml:space="preserve">UCI316</w:t>
              </w:r>
            </w:hyperlink>
            <w:r>
              <w:rPr>
                <w:color w:val="000000"/>
                <w:sz w:val="19"/>
              </w:rPr>
              <w:t xml:space="preserve">，可下载；许可应以页面为准，当前标CC BY 4.0</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Power</w:t>
            </w:r>
          </w:p>
        </w:tc>
        <w:tc>
          <w:tcPr>
            <w:tcW w:type="dxa" w:w="2170"/>
            <w:vAlign w:val="center"/>
            <w:shd w:fill="F7F8FA"/>
          </w:tcPr>
          <w:p>
            <w:pPr>
              <w:pStyle w:val="Compact"/>
              <w:keepNext w:val="0"/>
              <w:spacing w:after="40" w:before="40" w:line="264" w:lineRule="auto"/>
              <w:jc w:val="left"/>
            </w:pPr>
            <w:r>
              <w:rPr>
                <w:color w:val="000000"/>
                <w:sz w:val="19"/>
              </w:rPr>
              <w:t xml:space="preserve">2006–2011满载工况；每行小时平均值；本文未用多时刻窗口</w:t>
            </w:r>
          </w:p>
        </w:tc>
        <w:tc>
          <w:tcPr>
            <w:tcW w:type="dxa" w:w="3749"/>
            <w:vAlign w:val="center"/>
            <w:shd w:fill="F7F8FA"/>
          </w:tcPr>
          <w:p>
            <w:pPr>
              <w:pStyle w:val="Compact"/>
              <w:keepNext w:val="0"/>
              <w:spacing w:after="40" w:before="40" w:line="264" w:lineRule="auto"/>
              <w:jc w:val="left"/>
            </w:pPr>
            <w:r>
              <w:rPr>
                <w:color w:val="000000"/>
                <w:sz w:val="19"/>
              </w:rPr>
              <w:t xml:space="preserve">原发布含5次打乱用于5×2评价，不等于本文切分</w:t>
            </w:r>
          </w:p>
        </w:tc>
        <w:tc>
          <w:tcPr>
            <w:tcW w:type="dxa" w:w="2663"/>
            <w:vAlign w:val="center"/>
            <w:shd w:fill="F7F8FA"/>
          </w:tcPr>
          <w:p>
            <w:pPr>
              <w:pStyle w:val="Compact"/>
              <w:keepNext w:val="0"/>
              <w:spacing w:after="40" w:before="40" w:line="264" w:lineRule="auto"/>
              <w:jc w:val="left"/>
            </w:pPr>
            <w:hyperlink r:id="rId63">
              <w:r>
                <w:rPr>
                  <w:rStyle w:val="Hyperlink"/>
                </w:rPr>
                <w:t xml:space="preserve">UCI294</w:t>
              </w:r>
            </w:hyperlink>
            <w:r>
              <w:rPr>
                <w:color w:val="000000"/>
                <w:sz w:val="19"/>
              </w:rPr>
              <w:t xml:space="preserve">，CC BY 4.0；XLSX约1.9MB</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Protein</w:t>
            </w:r>
          </w:p>
        </w:tc>
        <w:tc>
          <w:tcPr>
            <w:tcW w:type="dxa" w:w="2170"/>
            <w:vAlign w:val="center"/>
            <w:shd w:fill="FFFFFF"/>
          </w:tcPr>
          <w:p>
            <w:pPr>
              <w:pStyle w:val="Compact"/>
              <w:keepNext w:val="0"/>
              <w:spacing w:after="40" w:before="40" w:line="264" w:lineRule="auto"/>
              <w:jc w:val="left"/>
            </w:pPr>
            <w:r>
              <w:rPr>
                <w:color w:val="000000"/>
                <w:sz w:val="19"/>
              </w:rPr>
              <w:t xml:space="preserve">结构候选体静态特征，非数值时间序列</w:t>
            </w:r>
          </w:p>
        </w:tc>
        <w:tc>
          <w:tcPr>
            <w:tcW w:type="dxa" w:w="3749"/>
            <w:vAlign w:val="center"/>
            <w:shd w:fill="FFFFFF"/>
          </w:tcPr>
          <w:p>
            <w:pPr>
              <w:pStyle w:val="Compact"/>
              <w:keepNext w:val="0"/>
              <w:spacing w:after="40" w:before="40" w:line="264" w:lineRule="auto"/>
              <w:jc w:val="left"/>
            </w:pPr>
            <w:r>
              <w:rPr>
                <w:color w:val="000000"/>
                <w:sz w:val="19"/>
              </w:rPr>
              <w:t xml:space="preserve">CASP来源；本文比例未明确</w:t>
            </w:r>
          </w:p>
        </w:tc>
        <w:tc>
          <w:tcPr>
            <w:tcW w:type="dxa" w:w="2663"/>
            <w:vAlign w:val="center"/>
            <w:shd w:fill="FFFFFF"/>
          </w:tcPr>
          <w:p>
            <w:pPr>
              <w:pStyle w:val="Compact"/>
              <w:keepNext w:val="0"/>
              <w:spacing w:after="40" w:before="40" w:line="264" w:lineRule="auto"/>
              <w:jc w:val="left"/>
            </w:pPr>
            <w:hyperlink r:id="rId64">
              <w:r>
                <w:rPr>
                  <w:rStyle w:val="Hyperlink"/>
                </w:rPr>
                <w:t xml:space="preserve">UCI265</w:t>
              </w:r>
            </w:hyperlink>
            <w:r>
              <w:rPr>
                <w:color w:val="000000"/>
                <w:sz w:val="19"/>
              </w:rPr>
              <w:t xml:space="preserve">，CC BY 4.0；CSV约3.4MB</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Yacht</w:t>
            </w:r>
          </w:p>
        </w:tc>
        <w:tc>
          <w:tcPr>
            <w:tcW w:type="dxa" w:w="2170"/>
            <w:vAlign w:val="center"/>
            <w:shd w:fill="F7F8FA"/>
          </w:tcPr>
          <w:p>
            <w:pPr>
              <w:pStyle w:val="Compact"/>
              <w:keepNext w:val="0"/>
              <w:spacing w:after="40" w:before="40" w:line="264" w:lineRule="auto"/>
              <w:jc w:val="left"/>
            </w:pPr>
            <w:r>
              <w:rPr>
                <w:color w:val="000000"/>
                <w:sz w:val="19"/>
              </w:rPr>
              <w:t xml:space="preserve">船型和速度实验工况，一行一组</w:t>
            </w:r>
          </w:p>
        </w:tc>
        <w:tc>
          <w:tcPr>
            <w:tcW w:type="dxa" w:w="3749"/>
            <w:vAlign w:val="center"/>
            <w:shd w:fill="F7F8FA"/>
          </w:tcPr>
          <w:p>
            <w:pPr>
              <w:pStyle w:val="Compact"/>
              <w:keepNext w:val="0"/>
              <w:spacing w:after="40" w:before="40" w:line="264" w:lineRule="auto"/>
              <w:jc w:val="left"/>
            </w:pPr>
            <w:r>
              <w:rPr>
                <w:color w:val="000000"/>
                <w:sz w:val="19"/>
              </w:rPr>
              <w:t xml:space="preserve">原创建者包含不同船型；没有本文OOD标签</w:t>
            </w:r>
          </w:p>
        </w:tc>
        <w:tc>
          <w:tcPr>
            <w:tcW w:type="dxa" w:w="2663"/>
            <w:vAlign w:val="center"/>
            <w:shd w:fill="F7F8FA"/>
          </w:tcPr>
          <w:p>
            <w:pPr>
              <w:pStyle w:val="Compact"/>
              <w:keepNext w:val="0"/>
              <w:spacing w:after="40" w:before="40" w:line="264" w:lineRule="auto"/>
              <w:jc w:val="left"/>
            </w:pPr>
            <w:hyperlink r:id="rId65">
              <w:r>
                <w:rPr>
                  <w:rStyle w:val="Hyperlink"/>
                </w:rPr>
                <w:t xml:space="preserve">UCI243</w:t>
              </w:r>
            </w:hyperlink>
            <w:r>
              <w:rPr>
                <w:color w:val="000000"/>
                <w:sz w:val="19"/>
              </w:rPr>
              <w:t xml:space="preserve">，公开，当前CC BY 4.0</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Year</w:t>
            </w:r>
          </w:p>
        </w:tc>
        <w:tc>
          <w:tcPr>
            <w:tcW w:type="dxa" w:w="2170"/>
            <w:vAlign w:val="center"/>
            <w:shd w:fill="FFFFFF"/>
          </w:tcPr>
          <w:p>
            <w:pPr>
              <w:pStyle w:val="Compact"/>
              <w:keepNext w:val="0"/>
              <w:spacing w:after="40" w:before="40" w:line="264" w:lineRule="auto"/>
              <w:jc w:val="left"/>
            </w:pPr>
            <w:r>
              <w:rPr>
                <w:color w:val="000000"/>
                <w:sz w:val="19"/>
              </w:rPr>
              <w:t xml:space="preserve">音频段汇总特征；发行年为目标，不是输入时间步</w:t>
            </w:r>
          </w:p>
        </w:tc>
        <w:tc>
          <w:tcPr>
            <w:tcW w:type="dxa" w:w="3749"/>
            <w:vAlign w:val="center"/>
            <w:shd w:fill="FFFFFF"/>
          </w:tcPr>
          <w:p>
            <w:pPr>
              <w:pStyle w:val="Compact"/>
              <w:keepNext w:val="0"/>
              <w:spacing w:after="40" w:before="40" w:line="264" w:lineRule="auto"/>
              <w:jc w:val="left"/>
            </w:pPr>
            <w:r>
              <w:rPr>
                <w:color w:val="000000"/>
                <w:sz w:val="19"/>
              </w:rPr>
              <w:t xml:space="preserve">官方前463715条训练、后51630条测试以隔离艺人；本文是否完全沿用未核实</w:t>
            </w:r>
          </w:p>
        </w:tc>
        <w:tc>
          <w:tcPr>
            <w:tcW w:type="dxa" w:w="2663"/>
            <w:vAlign w:val="center"/>
            <w:shd w:fill="FFFFFF"/>
          </w:tcPr>
          <w:p>
            <w:pPr>
              <w:pStyle w:val="Compact"/>
              <w:keepNext w:val="0"/>
              <w:spacing w:after="40" w:before="40" w:line="264" w:lineRule="auto"/>
              <w:jc w:val="left"/>
            </w:pPr>
            <w:hyperlink r:id="rId66">
              <w:r>
                <w:rPr>
                  <w:rStyle w:val="Hyperlink"/>
                </w:rPr>
                <w:t xml:space="preserve">UCI203</w:t>
              </w:r>
            </w:hyperlink>
            <w:r>
              <w:rPr>
                <w:color w:val="000000"/>
                <w:sz w:val="19"/>
              </w:rPr>
              <w:t xml:space="preserve">，公开，当前CC BY 4.0；文本约427.8MB</w:t>
            </w:r>
          </w:p>
        </w:tc>
      </w:tr>
    </w:tbl>
    <w:p>
      <w:pPr>
        <w:pStyle w:val="BodyText"/>
        <w:widowControl/>
      </w:pPr>
      <w:r>
        <w:t xml:space="preserve">未逐项给出的采集起止日期、处理后字节规模和划分随机种子均为原文未报告或未核实。对上述静态任务，</w:t>
      </w:r>
      <w:r>
        <w:t xml:space="preserve">“</w:t>
      </w:r>
      <w:r>
        <w:t xml:space="preserve">时间粒度、多个时刻输入、窗口长度</w:t>
      </w:r>
      <w:r>
        <w:t xml:space="preserve">”</w:t>
      </w:r>
      <w:r>
        <w:t xml:space="preserve">应填写不适用或本文未采用，而不是空白。官方原始切分与论文实现切分必须分开记录。</w:t>
      </w:r>
    </w:p>
    <w:bookmarkEnd w:id="67"/>
    <w:bookmarkEnd w:id="68"/>
    <w:bookmarkStart w:id="73" w:name="八-社会基础设施监控与末端压力估计的适用性"/>
    <w:p>
      <w:pPr>
        <w:pStyle w:val="Heading2"/>
        <w:widowControl/>
      </w:pPr>
      <w:r>
        <w:rPr>
          <w:color w:val="000000"/>
        </w:rPr>
        <w:t xml:space="preserve">八 社会基础设施监控与末端压力估计的适用性</w:t>
      </w:r>
    </w:p>
    <w:bookmarkStart w:id="69" w:name="结论与应用对象"/>
    <w:p>
      <w:pPr>
        <w:pStyle w:val="Heading3"/>
        <w:widowControl/>
      </w:pPr>
      <w:r>
        <w:rPr>
          <w:color w:val="000000"/>
        </w:rPr>
        <w:t xml:space="preserve">8 1 结论与应用对象</w:t>
      </w:r>
    </w:p>
    <w:p>
      <w:pPr>
        <w:pStyle w:val="FirstParagraph"/>
        <w:widowControl/>
      </w:pPr>
      <w:r>
        <w:t xml:space="preserve">【研究分析】本方法适合作为可改造神经网络回归模型的不确定性候选方案，尤其是既要输出连续预测又要控制推理成本的监测任务。论文的实际验证包括天气预测、酒质预测和图像深度；没有提供供水管网末端压力系统、控制闭环或现场告警运行的实证。预期对象可包括压力、流量、温度、负荷等预测，但这是应用推论。</w:t>
      </w:r>
    </w:p>
    <w:p>
      <w:pPr>
        <w:pStyle w:val="BodyText"/>
        <w:widowControl/>
      </w:pPr>
      <w:r>
        <w:t xml:space="preserve">如果公司要求</w:t>
      </w:r>
      <w:r>
        <w:t xml:space="preserve">“</w:t>
      </w:r>
      <w:r>
        <w:t xml:space="preserve">完全独立于目标AI模型、只凭输入数据、不能改模型</w:t>
      </w:r>
      <w:r>
        <w:t xml:space="preserve">”</w:t>
      </w:r>
      <w:r>
        <w:t xml:space="preserve">，原方法并不直接满足。可以另行研究原始输入密度检测作为外部基线，但它已不同于完整Density-Regression。</w:t>
      </w:r>
    </w:p>
    <w:bookmarkEnd w:id="69"/>
    <w:bookmarkStart w:id="70" w:name="与末端压力模型的具体连接"/>
    <w:p>
      <w:pPr>
        <w:pStyle w:val="Heading3"/>
        <w:widowControl/>
      </w:pPr>
      <w:r>
        <w:rPr>
          <w:color w:val="000000"/>
        </w:rPr>
        <w:t xml:space="preserve">8 2 与末端压力模型的具体连接</w:t>
      </w:r>
    </w:p>
    <w:p>
      <w:pPr>
        <w:pStyle w:val="FirstParagraph"/>
        <w:widowControl/>
      </w:pPr>
      <w:r>
        <w:t xml:space="preserve">【应用建议】假设输入为流量、入口压力、泵状态等，输出为末端压力；这些变量不是已取得的公司真实配置。若系统是静态映射，可用同一时刻向量；若存在滞后、水力动态或调节过程，则需构造</w:t>
      </w:r>
      <w:r>
        <w:t xml:space="preserve"> </w:t>
      </w:r>
      <m:oMath>
        <m:sSub>
          <m:e>
            <m:r>
              <m:t>X</m:t>
              <w:rPr>
                <w:rFonts w:ascii="Cambria Math" w:hAnsi="Cambria Math"/>
              </w:rPr>
            </m:r>
          </m:e>
          <m:sub>
            <m:r>
              <m:t>t</m:t>
              <w:rPr>
                <w:rFonts w:ascii="Cambria Math" w:hAnsi="Cambria Math"/>
              </w:rPr>
            </m:r>
          </m:sub>
        </m:sSub>
        <m:r>
          <m:rPr>
            <m:sty m:val="p"/>
          </m:rPr>
          <m:t>=</m:t>
          <w:rPr>
            <w:rFonts w:ascii="Cambria Math" w:hAnsi="Cambria Math"/>
          </w:rPr>
        </m:r>
        <m:r>
          <m:rPr>
            <m:sty m:val="p"/>
          </m:rPr>
          <m:t>[</m:t>
          <w:rPr>
            <w:rFonts w:ascii="Cambria Math" w:hAnsi="Cambria Math"/>
          </w:rPr>
        </m:r>
        <m:sSub>
          <m:e>
            <m:r>
              <m:t>x</m:t>
              <w:rPr>
                <w:rFonts w:ascii="Cambria Math" w:hAnsi="Cambria Math"/>
              </w:rPr>
            </m:r>
          </m:e>
          <m:sub>
            <m:r>
              <m:t>t</m:t>
              <w:rPr>
                <w:rFonts w:ascii="Cambria Math" w:hAnsi="Cambria Math"/>
              </w:rPr>
            </m:r>
            <m:r>
              <m:rPr>
                <m:sty m:val="p"/>
              </m:rPr>
              <m:t>−</m:t>
              <w:rPr>
                <w:rFonts w:ascii="Cambria Math" w:hAnsi="Cambria Math"/>
              </w:rPr>
            </m:r>
            <m:r>
              <m:t>L</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t</m:t>
              <w:rPr>
                <w:rFonts w:ascii="Cambria Math" w:hAnsi="Cambria Math"/>
              </w:rPr>
            </m:r>
          </m:sub>
        </m:sSub>
        <m:r>
          <m:rPr>
            <m:sty m:val="p"/>
          </m:rPr>
          <m:t>]</m:t>
          <w:rPr>
            <w:rFonts w:ascii="Cambria Math" w:hAnsi="Cambria Math"/>
          </w:rPr>
        </m:r>
      </m:oMath>
      <w:r>
        <w:t xml:space="preserve">。</w:t>
      </w:r>
      <m:oMath>
        <m:r>
          <m:t>L</m:t>
          <w:rPr>
            <w:rFonts w:ascii="Cambria Math" w:hAnsi="Cambria Math"/>
          </w:rPr>
        </m:r>
      </m:oMath>
      <w:r>
        <w:t xml:space="preserve">是输入窗口长度，预测提前量记为</w:t>
      </w:r>
      <w:r>
        <w:t xml:space="preserve"> </w:t>
      </w:r>
      <m:oMath>
        <m:r>
          <m:t>h</m:t>
          <w:rPr>
            <w:rFonts w:ascii="Cambria Math" w:hAnsi="Cambria Math"/>
          </w:rPr>
        </m:r>
      </m:oMath>
      <w:r>
        <w:t xml:space="preserve">，目标为</w:t>
      </w:r>
      <w:r>
        <w:t xml:space="preserve"> </w:t>
      </w:r>
      <m:oMath>
        <m:sSub>
          <m:e>
            <m:r>
              <m:t>y</m:t>
              <w:rPr>
                <w:rFonts w:ascii="Cambria Math" w:hAnsi="Cambria Math"/>
              </w:rPr>
            </m:r>
          </m:e>
          <m:sub>
            <m:r>
              <m:t>t</m:t>
              <w:rPr>
                <w:rFonts w:ascii="Cambria Math" w:hAnsi="Cambria Math"/>
              </w:rPr>
            </m:r>
            <m:r>
              <m:rPr>
                <m:sty m:val="p"/>
              </m:rPr>
              <m:t>+</m:t>
              <w:rPr>
                <w:rFonts w:ascii="Cambria Math" w:hAnsi="Cambria Math"/>
              </w:rPr>
            </m:r>
            <m:r>
              <m:t>h</m:t>
              <w:rPr>
                <w:rFonts w:ascii="Cambria Math" w:hAnsi="Cambria Math"/>
              </w:rPr>
            </m:r>
          </m:sub>
        </m:sSub>
      </m:oMath>
      <w:r>
        <w:t xml:space="preserve">。</w:t>
      </w:r>
      <m:oMath>
        <m:r>
          <m:t>L</m:t>
          <w:rPr>
            <w:rFonts w:ascii="Cambria Math" w:hAnsi="Cambria Math"/>
          </w:rPr>
        </m:r>
        <m:r>
          <m:rPr>
            <m:sty m:val="p"/>
          </m:rPr>
          <m:t>,</m:t>
          <w:rPr>
            <w:rFonts w:ascii="Cambria Math" w:hAnsi="Cambria Math"/>
          </w:rPr>
        </m:r>
        <m:r>
          <m:t>h</m:t>
          <w:rPr>
            <w:rFonts w:ascii="Cambria Math" w:hAnsi="Cambria Math"/>
          </w:rPr>
        </m:r>
      </m:oMath>
      <w:r>
        <w:t xml:space="preserve">必须依据物理过程和数据采样率选择，不能沿用未经确认的天气窗口。</w:t>
      </w:r>
    </w:p>
    <w:p>
      <w:pPr>
        <w:pStyle w:val="BodyText"/>
        <w:widowControl/>
      </w:pPr>
      <w:r>
        <w:t xml:space="preserve">采用多变量时间序列的必要条件包括：传感器时间对齐；单位一致；缺失和异常值处理不使用未来信息；标准化只拟合训练集；编码器保留关键变量相关性和时间依赖；不同工况在训练中有足够覆盖；训练和测试窗口不跨越划分边界。在线使用完整历史窗口时，</w:t>
      </w:r>
      <w:r>
        <w:t xml:space="preserve">“</w:t>
      </w:r>
      <w:r>
        <w:t xml:space="preserve">只需输入</w:t>
      </w:r>
      <w:r>
        <w:t xml:space="preserve">”</w:t>
      </w:r>
      <w:r>
        <w:t xml:space="preserve">仍包含多个过去时刻，不是只读当前值。</w:t>
      </w:r>
    </w:p>
    <w:bookmarkEnd w:id="70"/>
    <w:bookmarkStart w:id="71" w:name="三类学习外数据的验证设计"/>
    <w:p>
      <w:pPr>
        <w:pStyle w:val="Heading3"/>
        <w:widowControl/>
      </w:pPr>
      <w:r>
        <w:rPr>
          <w:color w:val="000000"/>
        </w:rPr>
        <w:t xml:space="preserve">8 3 三类学习外数据的验证设计</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类别</w:t>
            </w:r>
          </w:p>
        </w:tc>
        <w:tc>
          <w:tcPr>
            <w:tcW w:type="dxa" w:w="2762"/>
            <w:vAlign w:val="center"/>
            <w:shd w:fill="E7EDF3"/>
          </w:tcPr>
          <w:p>
            <w:pPr>
              <w:pStyle w:val="Compact"/>
              <w:keepNext w:val="0"/>
              <w:spacing w:after="40" w:before="40" w:line="264" w:lineRule="auto"/>
              <w:jc w:val="left"/>
            </w:pPr>
            <w:r>
              <w:rPr>
                <w:b/>
                <w:color w:val="000000"/>
                <w:sz w:val="19"/>
              </w:rPr>
              <w:t xml:space="preserve">建议构造</w:t>
            </w:r>
          </w:p>
        </w:tc>
        <w:tc>
          <w:tcPr>
            <w:tcW w:type="dxa" w:w="2466"/>
            <w:vAlign w:val="center"/>
            <w:shd w:fill="E7EDF3"/>
          </w:tcPr>
          <w:p>
            <w:pPr>
              <w:pStyle w:val="Compact"/>
              <w:keepNext w:val="0"/>
              <w:spacing w:after="40" w:before="40" w:line="264" w:lineRule="auto"/>
              <w:jc w:val="left"/>
            </w:pPr>
            <w:r>
              <w:rPr>
                <w:b/>
                <w:color w:val="000000"/>
                <w:sz w:val="19"/>
              </w:rPr>
              <w:t xml:space="preserve">真实标签依据</w:t>
            </w:r>
          </w:p>
        </w:tc>
        <w:tc>
          <w:tcPr>
            <w:tcW w:type="dxa" w:w="2762"/>
            <w:vAlign w:val="center"/>
            <w:shd w:fill="E7EDF3"/>
          </w:tcPr>
          <w:p>
            <w:pPr>
              <w:pStyle w:val="Compact"/>
              <w:keepNext w:val="0"/>
              <w:spacing w:after="40" w:before="40" w:line="264" w:lineRule="auto"/>
              <w:jc w:val="left"/>
            </w:pPr>
            <w:r>
              <w:rPr>
                <w:b/>
                <w:color w:val="000000"/>
                <w:sz w:val="19"/>
              </w:rPr>
              <w:t xml:space="preserve">关键检查</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① 超范围或分布外</w:t>
            </w:r>
          </w:p>
        </w:tc>
        <w:tc>
          <w:tcPr>
            <w:tcW w:type="dxa" w:w="2762"/>
            <w:vAlign w:val="center"/>
            <w:shd w:fill="FFFFFF"/>
          </w:tcPr>
          <w:p>
            <w:pPr>
              <w:pStyle w:val="Compact"/>
              <w:keepNext w:val="0"/>
              <w:spacing w:after="40" w:before="40" w:line="264" w:lineRule="auto"/>
              <w:jc w:val="left"/>
            </w:pPr>
            <w:r>
              <w:rPr>
                <w:color w:val="000000"/>
                <w:sz w:val="19"/>
              </w:rPr>
              <w:t xml:space="preserve">留出高流量、不同泵组合、不同季节或新站点</w:t>
            </w:r>
          </w:p>
        </w:tc>
        <w:tc>
          <w:tcPr>
            <w:tcW w:type="dxa" w:w="2466"/>
            <w:vAlign w:val="center"/>
            <w:shd w:fill="FFFFFF"/>
          </w:tcPr>
          <w:p>
            <w:pPr>
              <w:pStyle w:val="Compact"/>
              <w:keepNext w:val="0"/>
              <w:spacing w:after="40" w:before="40" w:line="264" w:lineRule="auto"/>
              <w:jc w:val="left"/>
            </w:pPr>
            <w:r>
              <w:rPr>
                <w:color w:val="000000"/>
                <w:sz w:val="19"/>
              </w:rPr>
              <w:t xml:space="preserve">预先定义的工况留出协议</w:t>
            </w:r>
          </w:p>
        </w:tc>
        <w:tc>
          <w:tcPr>
            <w:tcW w:type="dxa" w:w="2762"/>
            <w:vAlign w:val="center"/>
            <w:shd w:fill="FFFFFF"/>
          </w:tcPr>
          <w:p>
            <w:pPr>
              <w:pStyle w:val="Compact"/>
              <w:keepNext w:val="0"/>
              <w:spacing w:after="40" w:before="40" w:line="264" w:lineRule="auto"/>
              <w:jc w:val="left"/>
            </w:pPr>
            <w:r>
              <w:rPr>
                <w:color w:val="000000"/>
                <w:sz w:val="19"/>
              </w:rPr>
              <w:t xml:space="preserve">分别检查原始范围和联合分布；不以分数本身当真值</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② 覆盖不足区域</w:t>
            </w:r>
          </w:p>
        </w:tc>
        <w:tc>
          <w:tcPr>
            <w:tcW w:type="dxa" w:w="2762"/>
            <w:vAlign w:val="center"/>
            <w:shd w:fill="F7F8FA"/>
          </w:tcPr>
          <w:p>
            <w:pPr>
              <w:pStyle w:val="Compact"/>
              <w:keepNext w:val="0"/>
              <w:spacing w:after="40" w:before="40" w:line="264" w:lineRule="auto"/>
              <w:jc w:val="left"/>
            </w:pPr>
            <w:r>
              <w:rPr>
                <w:color w:val="000000"/>
                <w:sz w:val="19"/>
              </w:rPr>
              <w:t xml:space="preserve">在物理可行工况中下采样特定区域</w:t>
            </w:r>
          </w:p>
        </w:tc>
        <w:tc>
          <w:tcPr>
            <w:tcW w:type="dxa" w:w="2466"/>
            <w:vAlign w:val="center"/>
            <w:shd w:fill="F7F8FA"/>
          </w:tcPr>
          <w:p>
            <w:pPr>
              <w:pStyle w:val="Compact"/>
              <w:keepNext w:val="0"/>
              <w:spacing w:after="40" w:before="40" w:line="264" w:lineRule="auto"/>
              <w:jc w:val="left"/>
            </w:pPr>
            <w:r>
              <w:rPr>
                <w:color w:val="000000"/>
                <w:sz w:val="19"/>
              </w:rPr>
              <w:t xml:space="preserve">已知采样方案及覆盖统计</w:t>
            </w:r>
          </w:p>
        </w:tc>
        <w:tc>
          <w:tcPr>
            <w:tcW w:type="dxa" w:w="2762"/>
            <w:vAlign w:val="center"/>
            <w:shd w:fill="F7F8FA"/>
          </w:tcPr>
          <w:p>
            <w:pPr>
              <w:pStyle w:val="Compact"/>
              <w:keepNext w:val="0"/>
              <w:spacing w:after="40" w:before="40" w:line="264" w:lineRule="auto"/>
              <w:jc w:val="left"/>
            </w:pPr>
            <w:r>
              <w:rPr>
                <w:color w:val="000000"/>
                <w:sz w:val="19"/>
              </w:rPr>
              <w:t xml:space="preserve">保留独立测试点，检查密度是否真实反映稀疏程度</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③ 新组合或关系</w:t>
            </w:r>
          </w:p>
        </w:tc>
        <w:tc>
          <w:tcPr>
            <w:tcW w:type="dxa" w:w="2762"/>
            <w:vAlign w:val="center"/>
            <w:shd w:fill="FFFFFF"/>
          </w:tcPr>
          <w:p>
            <w:pPr>
              <w:pStyle w:val="Compact"/>
              <w:keepNext w:val="0"/>
              <w:spacing w:after="40" w:before="40" w:line="264" w:lineRule="auto"/>
              <w:jc w:val="left"/>
            </w:pPr>
            <w:r>
              <w:rPr>
                <w:color w:val="000000"/>
                <w:sz w:val="19"/>
              </w:rPr>
              <w:t xml:space="preserve">保持各变量边缘范围，改变物理可行的相关结构</w:t>
            </w:r>
          </w:p>
        </w:tc>
        <w:tc>
          <w:tcPr>
            <w:tcW w:type="dxa" w:w="2466"/>
            <w:vAlign w:val="center"/>
            <w:shd w:fill="FFFFFF"/>
          </w:tcPr>
          <w:p>
            <w:pPr>
              <w:pStyle w:val="Compact"/>
              <w:keepNext w:val="0"/>
              <w:spacing w:after="40" w:before="40" w:line="264" w:lineRule="auto"/>
              <w:jc w:val="left"/>
            </w:pPr>
            <w:r>
              <w:rPr>
                <w:color w:val="000000"/>
                <w:sz w:val="19"/>
              </w:rPr>
              <w:t xml:space="preserve">仿真、工况记录或明确的数据变换</w:t>
            </w:r>
          </w:p>
        </w:tc>
        <w:tc>
          <w:tcPr>
            <w:tcW w:type="dxa" w:w="2762"/>
            <w:vAlign w:val="center"/>
            <w:shd w:fill="FFFFFF"/>
          </w:tcPr>
          <w:p>
            <w:pPr>
              <w:pStyle w:val="Compact"/>
              <w:keepNext w:val="0"/>
              <w:spacing w:after="40" w:before="40" w:line="264" w:lineRule="auto"/>
              <w:jc w:val="left"/>
            </w:pPr>
            <w:r>
              <w:rPr>
                <w:color w:val="000000"/>
                <w:sz w:val="19"/>
              </w:rPr>
              <w:t xml:space="preserve">避免仅由明显越界驱动；不以任意打乱制造不可能工况</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时间异常补充</w:t>
            </w:r>
          </w:p>
        </w:tc>
        <w:tc>
          <w:tcPr>
            <w:tcW w:type="dxa" w:w="2762"/>
            <w:vAlign w:val="center"/>
            <w:shd w:fill="F7F8FA"/>
          </w:tcPr>
          <w:p>
            <w:pPr>
              <w:pStyle w:val="Compact"/>
              <w:keepNext w:val="0"/>
              <w:spacing w:after="40" w:before="40" w:line="264" w:lineRule="auto"/>
              <w:jc w:val="left"/>
            </w:pPr>
            <w:r>
              <w:rPr>
                <w:color w:val="000000"/>
                <w:sz w:val="19"/>
              </w:rPr>
              <w:t xml:space="preserve">单点偏移、工况相关偏移、持续漂移或周期变化</w:t>
            </w:r>
          </w:p>
        </w:tc>
        <w:tc>
          <w:tcPr>
            <w:tcW w:type="dxa" w:w="2466"/>
            <w:vAlign w:val="center"/>
            <w:shd w:fill="F7F8FA"/>
          </w:tcPr>
          <w:p>
            <w:pPr>
              <w:pStyle w:val="Compact"/>
              <w:keepNext w:val="0"/>
              <w:spacing w:after="40" w:before="40" w:line="264" w:lineRule="auto"/>
              <w:jc w:val="left"/>
            </w:pPr>
            <w:r>
              <w:rPr>
                <w:color w:val="000000"/>
                <w:sz w:val="19"/>
              </w:rPr>
              <w:t xml:space="preserve">注入区间或真实事件记录</w:t>
            </w:r>
          </w:p>
        </w:tc>
        <w:tc>
          <w:tcPr>
            <w:tcW w:type="dxa" w:w="2762"/>
            <w:vAlign w:val="center"/>
            <w:shd w:fill="F7F8FA"/>
          </w:tcPr>
          <w:p>
            <w:pPr>
              <w:pStyle w:val="Compact"/>
              <w:keepNext w:val="0"/>
              <w:spacing w:after="40" w:before="40" w:line="264" w:lineRule="auto"/>
              <w:jc w:val="left"/>
            </w:pPr>
            <w:r>
              <w:rPr>
                <w:color w:val="000000"/>
                <w:sz w:val="19"/>
              </w:rPr>
              <w:t xml:space="preserve">点级指标与事件级召回、告警延迟同时报告</w:t>
            </w:r>
          </w:p>
        </w:tc>
      </w:tr>
    </w:tbl>
    <w:bookmarkEnd w:id="71"/>
    <w:bookmarkStart w:id="72" w:name="可执行的评价流程"/>
    <w:p>
      <w:pPr>
        <w:pStyle w:val="Heading3"/>
        <w:widowControl/>
      </w:pPr>
      <w:r>
        <w:rPr>
          <w:color w:val="000000"/>
        </w:rPr>
        <w:t xml:space="preserve">8 4 可执行的评价流程</w:t>
      </w:r>
    </w:p>
    <w:p>
      <w:pPr>
        <w:widowControl/>
        <w:numPr>
          <w:ilvl w:val="0"/>
          <w:numId w:val="1011"/>
        </w:numPr>
        <w:pStyle w:val="Compact"/>
      </w:pPr>
      <w:r>
        <w:t xml:space="preserve">按时间、设备或工况划分训练、校准、测试，记录实际样本数、窗口数与OOD比例。</w:t>
      </w:r>
    </w:p>
    <w:p>
      <w:pPr>
        <w:widowControl/>
        <w:numPr>
          <w:ilvl w:val="0"/>
          <w:numId w:val="1011"/>
        </w:numPr>
        <w:pStyle w:val="Compact"/>
      </w:pPr>
      <w:r>
        <w:t xml:space="preserve">训练普通高斯回归、Density-Regression及可负担的集成基线，并增加输入范围、输入或特征距离、密度分数基线以区分收益来源。</w:t>
      </w:r>
    </w:p>
    <w:p>
      <w:pPr>
        <w:widowControl/>
        <w:numPr>
          <w:ilvl w:val="0"/>
          <w:numId w:val="1011"/>
        </w:numPr>
        <w:pStyle w:val="Compact"/>
      </w:pPr>
      <w:r>
        <w:t xml:space="preserve">在独立校准集固定阈值；明确目标是检出训练外，还是检出大预测误差，分别制作真值标签。</w:t>
      </w:r>
    </w:p>
    <w:p>
      <w:pPr>
        <w:widowControl/>
        <w:numPr>
          <w:ilvl w:val="0"/>
          <w:numId w:val="1011"/>
        </w:numPr>
        <w:pStyle w:val="Compact"/>
      </w:pPr>
      <w:r>
        <w:t xml:space="preserve">同时报NLL、RMSE、分工况覆盖率、区间宽度，以及AUROC、AUPR、指定误报率下召回和每小时误告警次数。</w:t>
      </w:r>
    </w:p>
    <w:p>
      <w:pPr>
        <w:widowControl/>
        <w:numPr>
          <w:ilvl w:val="0"/>
          <w:numId w:val="1011"/>
        </w:numPr>
        <w:pStyle w:val="Compact"/>
      </w:pPr>
      <w:r>
        <w:t xml:space="preserve">在目标设备记录延迟和内存；检查低密度溢出、传感缺失、编码器更新后的密度失配。</w:t>
      </w:r>
    </w:p>
    <w:p>
      <w:pPr>
        <w:widowControl/>
        <w:numPr>
          <w:ilvl w:val="0"/>
          <w:numId w:val="1011"/>
        </w:numPr>
        <w:pStyle w:val="Compact"/>
      </w:pPr>
      <w:r>
        <w:t xml:space="preserve">先用于提示或人工复核；若希望影响控制动作，需要另外验证误报、漏报、延迟及控制策略的实际后果。论文并未完成该验证。</w:t>
      </w:r>
    </w:p>
    <w:p>
      <w:pPr>
        <w:pStyle w:val="FirstParagraph"/>
        <w:widowControl/>
      </w:pPr>
      <w:r>
        <w:t xml:space="preserve">无真实OOD标签时，应明确说</w:t>
      </w:r>
      <w:r>
        <w:t xml:space="preserve">“</w:t>
      </w:r>
      <w:r>
        <w:t xml:space="preserve">验证了预测风险关联或监测到了分数变化</w:t>
      </w:r>
      <w:r>
        <w:t xml:space="preserve">”</w:t>
      </w:r>
      <w:r>
        <w:t xml:space="preserve">，不能说</w:t>
      </w:r>
      <w:r>
        <w:t xml:space="preserve">“</w:t>
      </w:r>
      <w:r>
        <w:t xml:space="preserve">已经证明检出率高</w:t>
      </w:r>
      <w:r>
        <w:t xml:space="preserve">”</w:t>
      </w:r>
      <w:r>
        <w:t xml:space="preserve">。一旦取得真实压力，可以检查高分是否对应大残差，但这仍不等同于证明所有学习外输入都被发现。</w:t>
      </w:r>
    </w:p>
    <w:bookmarkEnd w:id="72"/>
    <w:bookmarkEnd w:id="73"/>
    <w:bookmarkStart w:id="74" w:name="九-优点-缺点与待确认事项"/>
    <w:p>
      <w:pPr>
        <w:pStyle w:val="Heading2"/>
        <w:widowControl/>
      </w:pPr>
      <w:r>
        <w:rPr>
          <w:color w:val="000000"/>
        </w:rPr>
        <w:t xml:space="preserve">九 优点 缺点与待确认事项</w:t>
      </w:r>
    </w:p>
    <w:p>
      <w:pPr>
        <w:pStyle w:val="FirstParagraph"/>
        <w:widowControl/>
      </w:pPr>
      <w:r>
        <w:t xml:space="preserve">优点是机制清楚、可计算密度、无需OOD训练样本、单次输出预测与方差，并在多个任务上提供校准与效率证据。对本研究最有价值的是把输入熟悉程度与回归输出连接起来，而不是只给出一个与预测模型脱节的异常分数。</w:t>
      </w:r>
    </w:p>
    <w:p>
      <w:pPr>
        <w:pStyle w:val="BodyText"/>
        <w:widowControl/>
      </w:pPr>
      <w:r>
        <w:t xml:space="preserve">缺点是依赖表示与密度质量；三阶段训练增加维护负担；高维或多工况下密度可能失真；高噪声与学习外可能混淆；理论全局条件不充分透明；没有独立检测阈值和检出率；多变量数值时间序列的关系变化尚未被隔离验证。模型或预处理更新后，密度与阈值应重新检查。</w:t>
      </w:r>
    </w:p>
    <w:p>
      <w:pPr>
        <w:pStyle w:val="BodyText"/>
        <w:widowControl/>
      </w:pPr>
      <w:r>
        <w:t xml:space="preserve">向作者或复现材料优先确认：天气最终变量与窗口、预测提前量、重采样规则和切分比例；各数据集确切样本数；Flow结构和超参数；Cal网格及像素和时间聚合方式；NLL与目标归一化；统计误差项含义；深度数据子集和扰动参数；代码版本与完整实验文件。仓库公开不等于所有实验配置已核验。</w:t>
      </w:r>
    </w:p>
    <w:bookmarkEnd w:id="74"/>
    <w:bookmarkStart w:id="75" w:name="十-后续总报告的标准化条目"/>
    <w:p>
      <w:pPr>
        <w:pStyle w:val="Heading2"/>
        <w:widowControl/>
      </w:pPr>
      <w:r>
        <w:rPr>
          <w:color w:val="000000"/>
        </w:rPr>
        <w:t xml:space="preserve">十 后续总报告的标准化条目</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字段</w:t>
            </w:r>
          </w:p>
        </w:tc>
        <w:tc>
          <w:tcPr>
            <w:tcW w:type="dxa" w:w="7497"/>
            <w:vAlign w:val="center"/>
            <w:shd w:fill="E7EDF3"/>
          </w:tcPr>
          <w:p>
            <w:pPr>
              <w:pStyle w:val="Compact"/>
              <w:keepNext w:val="0"/>
              <w:spacing w:after="40" w:before="40" w:line="264" w:lineRule="auto"/>
              <w:jc w:val="left"/>
            </w:pPr>
            <w:r>
              <w:rPr>
                <w:b/>
                <w:color w:val="000000"/>
                <w:sz w:val="19"/>
              </w:rPr>
              <w:t xml:space="preserve">本篇结论</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编号</w:t>
            </w:r>
          </w:p>
        </w:tc>
        <w:tc>
          <w:tcPr>
            <w:tcW w:type="dxa" w:w="7497"/>
            <w:vAlign w:val="center"/>
            <w:shd w:fill="FFFFFF"/>
          </w:tcPr>
          <w:p>
            <w:pPr>
              <w:pStyle w:val="Compact"/>
              <w:keepNext w:val="0"/>
              <w:spacing w:after="40" w:before="40" w:line="264" w:lineRule="auto"/>
              <w:jc w:val="center"/>
            </w:pPr>
            <w:r>
              <w:rPr>
                <w:color w:val="000000"/>
                <w:sz w:val="19"/>
              </w:rPr>
              <w:t xml:space="preserve">1</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方法</w:t>
            </w:r>
          </w:p>
        </w:tc>
        <w:tc>
          <w:tcPr>
            <w:tcW w:type="dxa" w:w="7497"/>
            <w:vAlign w:val="center"/>
            <w:shd w:fill="F7F8FA"/>
          </w:tcPr>
          <w:p>
            <w:pPr>
              <w:pStyle w:val="Compact"/>
              <w:keepNext w:val="0"/>
              <w:spacing w:after="40" w:before="40" w:line="264" w:lineRule="auto"/>
              <w:jc w:val="left"/>
            </w:pPr>
            <w:r>
              <w:rPr>
                <w:color w:val="000000"/>
                <w:sz w:val="19"/>
              </w:rPr>
              <w:t xml:space="preserve">Density-Regression</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核心信号</w:t>
            </w:r>
          </w:p>
        </w:tc>
        <w:tc>
          <w:tcPr>
            <w:tcW w:type="dxa" w:w="7497"/>
            <w:vAlign w:val="center"/>
            <w:shd w:fill="FFFFFF"/>
          </w:tcPr>
          <w:p>
            <w:pPr>
              <w:pStyle w:val="Compact"/>
              <w:keepNext w:val="0"/>
              <w:spacing w:after="40" w:before="40" w:line="264" w:lineRule="auto"/>
              <w:jc w:val="left"/>
            </w:pPr>
            <w:r>
              <w:rPr>
                <w:color w:val="000000"/>
                <w:sz w:val="19"/>
              </w:rPr>
              <w:t xml:space="preserve">学习到的特征密度与预测方差</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类型</w:t>
            </w:r>
          </w:p>
        </w:tc>
        <w:tc>
          <w:tcPr>
            <w:tcW w:type="dxa" w:w="7497"/>
            <w:vAlign w:val="center"/>
            <w:shd w:fill="F7F8FA"/>
          </w:tcPr>
          <w:p>
            <w:pPr>
              <w:pStyle w:val="Compact"/>
              <w:keepNext w:val="0"/>
              <w:spacing w:after="40" w:before="40" w:line="264" w:lineRule="auto"/>
              <w:jc w:val="left"/>
            </w:pPr>
            <w:r>
              <w:rPr>
                <w:color w:val="000000"/>
                <w:sz w:val="19"/>
              </w:rPr>
              <w:t xml:space="preserve">密度辅助的模型预测不确定性</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训练标签</w:t>
            </w:r>
          </w:p>
        </w:tc>
        <w:tc>
          <w:tcPr>
            <w:tcW w:type="dxa" w:w="7497"/>
            <w:vAlign w:val="center"/>
            <w:shd w:fill="FFFFFF"/>
          </w:tcPr>
          <w:p>
            <w:pPr>
              <w:pStyle w:val="Compact"/>
              <w:keepNext w:val="0"/>
              <w:spacing w:after="40" w:before="40" w:line="264" w:lineRule="auto"/>
              <w:jc w:val="left"/>
            </w:pPr>
            <w:r>
              <w:rPr>
                <w:color w:val="000000"/>
                <w:sz w:val="19"/>
              </w:rPr>
              <w:t xml:space="preserve">回归</w:t>
            </w:r>
            <w:r>
              <w:rPr>
                <w:color w:val="000000"/>
                <w:sz w:val="19"/>
              </w:rPr>
              <w:t xml:space="preserve"> </w:t>
            </w:r>
            <m:oMath>
              <m:r>
                <m:t>y</m:t>
                <w:rPr>
                  <w:rFonts w:ascii="Cambria Math" w:hAnsi="Cambria Math"/>
                </w:rPr>
              </m:r>
            </m:oMath>
            <w:r>
              <w:rPr>
                <w:color w:val="000000"/>
                <w:sz w:val="19"/>
              </w:rPr>
              <w:t xml:space="preserve">需要；OOD标签不要求</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部署输入</w:t>
            </w:r>
          </w:p>
        </w:tc>
        <w:tc>
          <w:tcPr>
            <w:tcW w:type="dxa" w:w="7497"/>
            <w:vAlign w:val="center"/>
            <w:shd w:fill="F7F8FA"/>
          </w:tcPr>
          <w:p>
            <w:pPr>
              <w:pStyle w:val="Compact"/>
              <w:keepNext w:val="0"/>
              <w:spacing w:after="40" w:before="40" w:line="264" w:lineRule="auto"/>
              <w:jc w:val="left"/>
            </w:pPr>
            <w:r>
              <w:rPr>
                <w:color w:val="000000"/>
                <w:sz w:val="19"/>
              </w:rPr>
              <w:t xml:space="preserve">新输入及编码器、密度模型、回归头；不需实时</w:t>
            </w:r>
            <w:r>
              <w:rPr>
                <w:color w:val="000000"/>
                <w:sz w:val="19"/>
              </w:rPr>
              <w:t xml:space="preserve"> </w:t>
            </w:r>
            <m:oMath>
              <m:r>
                <m:t>y</m:t>
                <w:rPr>
                  <w:rFonts w:ascii="Cambria Math" w:hAnsi="Cambria Math"/>
                </w:rPr>
              </m:r>
            </m:oMath>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模型独立性</w:t>
            </w:r>
          </w:p>
        </w:tc>
        <w:tc>
          <w:tcPr>
            <w:tcW w:type="dxa" w:w="7497"/>
            <w:vAlign w:val="center"/>
            <w:shd w:fill="FFFFFF"/>
          </w:tcPr>
          <w:p>
            <w:pPr>
              <w:pStyle w:val="Compact"/>
              <w:keepNext w:val="0"/>
              <w:spacing w:after="40" w:before="40" w:line="264" w:lineRule="auto"/>
              <w:jc w:val="left"/>
            </w:pPr>
            <w:r>
              <w:rPr>
                <w:color w:val="000000"/>
                <w:sz w:val="19"/>
              </w:rPr>
              <w:t xml:space="preserve">否</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原文阈值</w:t>
            </w:r>
          </w:p>
        </w:tc>
        <w:tc>
          <w:tcPr>
            <w:tcW w:type="dxa" w:w="7497"/>
            <w:vAlign w:val="center"/>
            <w:shd w:fill="F7F8FA"/>
          </w:tcPr>
          <w:p>
            <w:pPr>
              <w:pStyle w:val="Compact"/>
              <w:keepNext w:val="0"/>
              <w:spacing w:after="40" w:before="40" w:line="264" w:lineRule="auto"/>
              <w:jc w:val="left"/>
            </w:pPr>
            <w:r>
              <w:rPr>
                <w:color w:val="000000"/>
                <w:sz w:val="19"/>
              </w:rPr>
              <w:t xml:space="preserve">未提供</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原文检测指标</w:t>
            </w:r>
          </w:p>
        </w:tc>
        <w:tc>
          <w:tcPr>
            <w:tcW w:type="dxa" w:w="7497"/>
            <w:vAlign w:val="center"/>
            <w:shd w:fill="FFFFFF"/>
          </w:tcPr>
          <w:p>
            <w:pPr>
              <w:pStyle w:val="Compact"/>
              <w:keepNext w:val="0"/>
              <w:spacing w:after="40" w:before="40" w:line="264" w:lineRule="auto"/>
              <w:jc w:val="left"/>
            </w:pPr>
            <w:r>
              <w:rPr>
                <w:color w:val="000000"/>
                <w:sz w:val="19"/>
              </w:rPr>
              <w:t xml:space="preserve">未提供AUROC等；主要为NLL、RMSE、Cal、Sharp</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时间序列证据</w:t>
            </w:r>
          </w:p>
        </w:tc>
        <w:tc>
          <w:tcPr>
            <w:tcW w:type="dxa" w:w="7497"/>
            <w:vAlign w:val="center"/>
            <w:shd w:fill="F7F8FA"/>
          </w:tcPr>
          <w:p>
            <w:pPr>
              <w:pStyle w:val="Compact"/>
              <w:keepNext w:val="0"/>
              <w:spacing w:after="40" w:before="40" w:line="264" w:lineRule="auto"/>
              <w:jc w:val="left"/>
            </w:pPr>
            <w:r>
              <w:rPr>
                <w:color w:val="000000"/>
                <w:sz w:val="19"/>
              </w:rPr>
              <w:t xml:space="preserve">有天气实验；具体窗口待核实</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①②③覆盖</w:t>
            </w:r>
          </w:p>
        </w:tc>
        <w:tc>
          <w:tcPr>
            <w:tcW w:type="dxa" w:w="7497"/>
            <w:vAlign w:val="center"/>
            <w:shd w:fill="FFFFFF"/>
          </w:tcPr>
          <w:p>
            <w:pPr>
              <w:pStyle w:val="Compact"/>
              <w:keepNext w:val="0"/>
              <w:spacing w:after="40" w:before="40" w:line="264" w:lineRule="auto"/>
              <w:jc w:val="left"/>
            </w:pPr>
            <w:r>
              <w:rPr>
                <w:color w:val="000000"/>
                <w:sz w:val="19"/>
              </w:rPr>
              <w:t xml:space="preserve">①有域变化与外推实验；②机制相关；③有潜力但缺隔离验证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基础设施判断</w:t>
            </w:r>
          </w:p>
        </w:tc>
        <w:tc>
          <w:tcPr>
            <w:tcW w:type="dxa" w:w="7497"/>
            <w:vAlign w:val="center"/>
            <w:shd w:fill="F7F8FA"/>
          </w:tcPr>
          <w:p>
            <w:pPr>
              <w:pStyle w:val="Compact"/>
              <w:keepNext w:val="0"/>
              <w:spacing w:after="40" w:before="40" w:line="264" w:lineRule="auto"/>
              <w:jc w:val="left"/>
            </w:pPr>
            <w:r>
              <w:rPr>
                <w:color w:val="000000"/>
                <w:sz w:val="19"/>
              </w:rPr>
              <w:t xml:space="preserve">有条件适用，需追加检测与运行验证</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总体证据等级</w:t>
            </w:r>
          </w:p>
        </w:tc>
        <w:tc>
          <w:tcPr>
            <w:tcW w:type="dxa" w:w="7497"/>
            <w:vAlign w:val="center"/>
            <w:shd w:fill="FFFFFF"/>
          </w:tcPr>
          <w:p>
            <w:pPr>
              <w:pStyle w:val="Compact"/>
              <w:keepNext w:val="0"/>
              <w:spacing w:after="40" w:before="40" w:line="264" w:lineRule="auto"/>
              <w:jc w:val="left"/>
            </w:pPr>
            <w:r>
              <w:rPr>
                <w:color w:val="000000"/>
                <w:sz w:val="19"/>
              </w:rPr>
              <w:t xml:space="preserve">可用作候选方法及机制参考；不能直接当已验证的学习外告警方案</w:t>
            </w:r>
          </w:p>
        </w:tc>
      </w:tr>
    </w:tbl>
    <w:p>
      <w:pPr>
        <w:pStyle w:val="BodyText"/>
        <w:widowControl/>
      </w:pPr>
      <w:r>
        <w:t xml:space="preserve">参考定位：方法式2–15与算法1见PDF2–6页；表2–4见7–8页；图5见9页；证明见14–19页；实现见20–21页；补充实验见22–25页。外部链接用于元数据、原始数据及许可核查，不替代用户提供论文中的实验事实。</w:t>
      </w:r>
    </w:p>
    <w:bookmarkEnd w:id="75"/>
    <w:sectPr w:rsidR="00FC693F" w:rsidRPr="0006063C" w:rsidSect="00034616">
      <w:footerReference r:id="rId9" w:type="default"/>
      <w:pgSz w:h="16838" w:w="11906"/>
      <w:pgMar w:bottom="1077" w:footer="454" w:gutter="0" w:header="454" w:left="1020" w:right="1020"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Times New Roman" w:eastAsia="SimSun"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line="276" w:lineRule="auto"/>
      <w:outlineLvl w:val="0"/>
    </w:pPr>
    <w:rPr>
      <w:rFonts w:ascii="Times New Roman" w:eastAsia="SimSun"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40" w:before="240" w:line="276" w:lineRule="auto"/>
      <w:outlineLvl w:val="1"/>
    </w:pPr>
    <w:rPr>
      <w:rFonts w:ascii="Times New Roman" w:eastAsia="SimSu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line="276" w:lineRule="auto"/>
      <w:outlineLvl w:val="2"/>
    </w:pPr>
    <w:rPr>
      <w:rFonts w:ascii="Times New Roman" w:eastAsia="SimSu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76" w:lineRule="auto"/>
      <w:outlineLvl w:val="3"/>
    </w:pPr>
    <w:rPr>
      <w:rFonts w:ascii="Times New Roman" w:eastAsia="SimSun" w:hAnsi="Times New Roman"/>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100" w:before="200" w:line="276" w:lineRule="auto"/>
      <w:outlineLvl w:val="4"/>
    </w:pPr>
    <w:rPr>
      <w:rFonts w:ascii="Times New Roman" w:eastAsia="SimSun" w:hAnsi="Times New Roman"/>
      <w:color w:val="000000"/>
      <w:sz w:val="21"/>
    </w:rPr>
  </w:style>
  <w:style w:styleId="Heading6" w:type="paragraph">
    <w:name w:val="heading 6"/>
    <w:basedOn w:val="Normal"/>
    <w:next w:val="Normal"/>
    <w:link w:val="Heading6Char"/>
    <w:uiPriority w:val="9"/>
    <w:semiHidden/>
    <w:unhideWhenUsed/>
    <w:qFormat/>
    <w:rsid w:val="00FC693F"/>
    <w:pPr>
      <w:keepNext/>
      <w:keepLines/>
      <w:spacing w:after="100" w:before="200" w:line="276" w:lineRule="auto"/>
      <w:outlineLvl w:val="5"/>
    </w:pPr>
    <w:rPr>
      <w:rFonts w:ascii="Times New Roman" w:eastAsia="SimSun" w:hAnsi="Times New Roman"/>
      <w:i/>
      <w:iCs/>
      <w:color w:val="000000"/>
      <w:sz w:val="21"/>
    </w:rPr>
  </w:style>
  <w:style w:styleId="Heading7" w:type="paragraph">
    <w:name w:val="heading 7"/>
    <w:basedOn w:val="Normal"/>
    <w:next w:val="Normal"/>
    <w:link w:val="Heading7Char"/>
    <w:uiPriority w:val="9"/>
    <w:semiHidden/>
    <w:unhideWhenUsed/>
    <w:qFormat/>
    <w:rsid w:val="00FC693F"/>
    <w:pPr>
      <w:keepNext/>
      <w:keepLines/>
      <w:spacing w:after="100" w:before="200" w:line="276" w:lineRule="auto"/>
      <w:outlineLvl w:val="6"/>
    </w:pPr>
    <w:rPr>
      <w:rFonts w:ascii="Times New Roman" w:eastAsia="SimSun" w:hAnsi="Times New Roman"/>
      <w:i/>
      <w:iCs/>
      <w:color w:val="000000"/>
      <w:sz w:val="21"/>
    </w:rPr>
  </w:style>
  <w:style w:styleId="Heading8" w:type="paragraph">
    <w:name w:val="heading 8"/>
    <w:basedOn w:val="Normal"/>
    <w:next w:val="Normal"/>
    <w:link w:val="Heading8Char"/>
    <w:uiPriority w:val="9"/>
    <w:semiHidden/>
    <w:unhideWhenUsed/>
    <w:qFormat/>
    <w:rsid w:val="00FC693F"/>
    <w:pPr>
      <w:keepNext/>
      <w:keepLines/>
      <w:spacing w:after="100" w:before="200" w:line="276" w:lineRule="auto"/>
      <w:outlineLvl w:val="7"/>
    </w:pPr>
    <w:rPr>
      <w:rFonts w:ascii="Times New Roman" w:eastAsia="SimSun" w:hAnsi="Times New Roman"/>
      <w:color w:val="000000"/>
      <w:sz w:val="21"/>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76" w:lineRule="auto"/>
      <w:outlineLvl w:val="8"/>
    </w:pPr>
    <w:rPr>
      <w:rFonts w:ascii="Times New Roman" w:eastAsia="SimSun" w:hAnsi="Times New Roman"/>
      <w:i/>
      <w:iCs/>
      <w:color w:val="000000"/>
      <w:sz w:val="21"/>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76" w:lineRule="auto"/>
    </w:pPr>
    <w:rPr>
      <w:rFonts w:ascii="Times New Roman" w:eastAsia="SimSun" w:hAnsi="Times New Roman"/>
      <w:color w:val="000000"/>
      <w:sz w:val="21"/>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76" w:lineRule="auto"/>
      <w:contextualSpacing/>
    </w:pPr>
    <w:rPr>
      <w:rFonts w:ascii="Times New Roman" w:eastAsia="SimSun"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line="276" w:lineRule="auto"/>
    </w:pPr>
    <w:rPr>
      <w:rFonts w:ascii="Times New Roman" w:eastAsia="SimSun" w:hAnsi="Times New Roman"/>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76" w:lineRule="auto"/>
      <w:ind w:left="720"/>
      <w:contextualSpacing/>
    </w:pPr>
    <w:rPr>
      <w:rFonts w:ascii="Times New Roman" w:eastAsia="SimSun" w:hAnsi="Times New Roman"/>
      <w:color w:val="000000"/>
      <w:sz w:val="21"/>
    </w:rPr>
  </w:style>
  <w:style w:styleId="BodyText" w:type="paragraph">
    <w:name w:val="Body Text"/>
    <w:basedOn w:val="Normal"/>
    <w:link w:val="BodyTextChar"/>
    <w:uiPriority w:val="99"/>
    <w:unhideWhenUsed/>
    <w:rsid w:val="00AA1D8D"/>
    <w:pPr>
      <w:spacing w:after="100" w:line="276" w:lineRule="auto"/>
    </w:pPr>
    <w:rPr>
      <w:rFonts w:ascii="Times New Roman" w:eastAsia="SimSun"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76" w:lineRule="auto"/>
    </w:pPr>
    <w:rPr>
      <w:rFonts w:ascii="Times New Roman" w:eastAsia="SimSun" w:hAnsi="Times New Roman"/>
      <w:color w:val="000000"/>
      <w:sz w:val="21"/>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76" w:lineRule="auto"/>
    </w:pPr>
    <w:rPr>
      <w:rFonts w:ascii="Times New Roman" w:eastAsia="SimSun" w:hAnsi="Times New Roman"/>
      <w:color w:val="000000"/>
      <w:sz w:val="21"/>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76" w:lineRule="auto"/>
      <w:ind w:hanging="360" w:left="360"/>
      <w:contextualSpacing/>
    </w:pPr>
    <w:rPr>
      <w:rFonts w:ascii="Times New Roman" w:eastAsia="SimSun" w:hAnsi="Times New Roman"/>
      <w:color w:val="000000"/>
      <w:sz w:val="21"/>
    </w:rPr>
  </w:style>
  <w:style w:styleId="List2" w:type="paragraph">
    <w:name w:val="List 2"/>
    <w:basedOn w:val="Normal"/>
    <w:uiPriority w:val="99"/>
    <w:unhideWhenUsed/>
    <w:rsid w:val="00326F90"/>
    <w:pPr>
      <w:spacing w:after="100" w:line="276" w:lineRule="auto"/>
      <w:ind w:hanging="360" w:left="720"/>
      <w:contextualSpacing/>
    </w:pPr>
    <w:rPr>
      <w:rFonts w:ascii="Times New Roman" w:eastAsia="SimSun" w:hAnsi="Times New Roman"/>
      <w:color w:val="000000"/>
      <w:sz w:val="21"/>
    </w:rPr>
  </w:style>
  <w:style w:styleId="List3" w:type="paragraph">
    <w:name w:val="List 3"/>
    <w:basedOn w:val="Normal"/>
    <w:uiPriority w:val="99"/>
    <w:unhideWhenUsed/>
    <w:rsid w:val="00326F90"/>
    <w:pPr>
      <w:spacing w:after="100" w:line="276" w:lineRule="auto"/>
      <w:ind w:hanging="360" w:left="1080"/>
      <w:contextualSpacing/>
    </w:pPr>
    <w:rPr>
      <w:rFonts w:ascii="Times New Roman" w:eastAsia="SimSun" w:hAnsi="Times New Roman"/>
      <w:color w:val="000000"/>
      <w:sz w:val="21"/>
    </w:rPr>
  </w:style>
  <w:style w:styleId="ListBullet" w:type="paragraph">
    <w:name w:val="List Bullet"/>
    <w:basedOn w:val="Normal"/>
    <w:uiPriority w:val="99"/>
    <w:unhideWhenUsed/>
    <w:rsid w:val="00326F90"/>
    <w:pPr>
      <w:numPr>
        <w:numId w:val="1"/>
      </w:numPr>
      <w:spacing w:after="100" w:line="276" w:lineRule="auto"/>
      <w:contextualSpacing/>
    </w:pPr>
    <w:rPr>
      <w:rFonts w:ascii="Times New Roman" w:eastAsia="SimSun" w:hAnsi="Times New Roman"/>
      <w:color w:val="000000"/>
      <w:sz w:val="21"/>
    </w:rPr>
  </w:style>
  <w:style w:styleId="ListBullet2" w:type="paragraph">
    <w:name w:val="List Bullet 2"/>
    <w:basedOn w:val="Normal"/>
    <w:uiPriority w:val="99"/>
    <w:unhideWhenUsed/>
    <w:rsid w:val="00326F90"/>
    <w:pPr>
      <w:numPr>
        <w:numId w:val="2"/>
      </w:numPr>
      <w:spacing w:after="100" w:line="276" w:lineRule="auto"/>
      <w:contextualSpacing/>
    </w:pPr>
    <w:rPr>
      <w:rFonts w:ascii="Times New Roman" w:eastAsia="SimSun" w:hAnsi="Times New Roman"/>
      <w:color w:val="000000"/>
      <w:sz w:val="21"/>
    </w:rPr>
  </w:style>
  <w:style w:styleId="ListBullet3" w:type="paragraph">
    <w:name w:val="List Bullet 3"/>
    <w:basedOn w:val="Normal"/>
    <w:uiPriority w:val="99"/>
    <w:unhideWhenUsed/>
    <w:rsid w:val="00326F90"/>
    <w:pPr>
      <w:numPr>
        <w:numId w:val="3"/>
      </w:numPr>
      <w:spacing w:after="100" w:line="276" w:lineRule="auto"/>
      <w:contextualSpacing/>
    </w:pPr>
    <w:rPr>
      <w:rFonts w:ascii="Times New Roman" w:eastAsia="SimSun" w:hAnsi="Times New Roman"/>
      <w:color w:val="000000"/>
      <w:sz w:val="21"/>
    </w:rPr>
  </w:style>
  <w:style w:styleId="ListNumber" w:type="paragraph">
    <w:name w:val="List Number"/>
    <w:basedOn w:val="Normal"/>
    <w:uiPriority w:val="99"/>
    <w:unhideWhenUsed/>
    <w:rsid w:val="00326F90"/>
    <w:pPr>
      <w:numPr>
        <w:numId w:val="5"/>
      </w:numPr>
      <w:spacing w:after="100" w:line="276" w:lineRule="auto"/>
      <w:contextualSpacing/>
    </w:pPr>
    <w:rPr>
      <w:rFonts w:ascii="Times New Roman" w:eastAsia="SimSun" w:hAnsi="Times New Roman"/>
      <w:color w:val="000000"/>
      <w:sz w:val="21"/>
    </w:rPr>
  </w:style>
  <w:style w:styleId="ListNumber2" w:type="paragraph">
    <w:name w:val="List Number 2"/>
    <w:basedOn w:val="Normal"/>
    <w:uiPriority w:val="99"/>
    <w:unhideWhenUsed/>
    <w:rsid w:val="0029639D"/>
    <w:pPr>
      <w:numPr>
        <w:numId w:val="6"/>
      </w:numPr>
      <w:spacing w:after="100" w:line="276" w:lineRule="auto"/>
      <w:contextualSpacing/>
    </w:pPr>
    <w:rPr>
      <w:rFonts w:ascii="Times New Roman" w:eastAsia="SimSun" w:hAnsi="Times New Roman"/>
      <w:color w:val="000000"/>
      <w:sz w:val="21"/>
    </w:rPr>
  </w:style>
  <w:style w:styleId="ListNumber3" w:type="paragraph">
    <w:name w:val="List Number 3"/>
    <w:basedOn w:val="Normal"/>
    <w:uiPriority w:val="99"/>
    <w:unhideWhenUsed/>
    <w:rsid w:val="0029639D"/>
    <w:pPr>
      <w:numPr>
        <w:numId w:val="7"/>
      </w:numPr>
      <w:spacing w:after="100" w:line="276" w:lineRule="auto"/>
      <w:contextualSpacing/>
    </w:pPr>
    <w:rPr>
      <w:rFonts w:ascii="Times New Roman" w:eastAsia="SimSun" w:hAnsi="Times New Roman"/>
      <w:color w:val="000000"/>
      <w:sz w:val="21"/>
    </w:rPr>
  </w:style>
  <w:style w:styleId="ListContinue" w:type="paragraph">
    <w:name w:val="List Continue"/>
    <w:basedOn w:val="Normal"/>
    <w:uiPriority w:val="99"/>
    <w:unhideWhenUsed/>
    <w:rsid w:val="0029639D"/>
    <w:pPr>
      <w:spacing w:after="100" w:line="276" w:lineRule="auto"/>
      <w:ind w:left="360"/>
      <w:contextualSpacing/>
    </w:pPr>
    <w:rPr>
      <w:rFonts w:ascii="Times New Roman" w:eastAsia="SimSun" w:hAnsi="Times New Roman"/>
      <w:color w:val="000000"/>
      <w:sz w:val="21"/>
    </w:rPr>
  </w:style>
  <w:style w:styleId="ListContinue2" w:type="paragraph">
    <w:name w:val="List Continue 2"/>
    <w:basedOn w:val="Normal"/>
    <w:uiPriority w:val="99"/>
    <w:unhideWhenUsed/>
    <w:rsid w:val="0029639D"/>
    <w:pPr>
      <w:spacing w:after="100" w:line="276" w:lineRule="auto"/>
      <w:ind w:left="720"/>
      <w:contextualSpacing/>
    </w:pPr>
    <w:rPr>
      <w:rFonts w:ascii="Times New Roman" w:eastAsia="SimSun" w:hAnsi="Times New Roman"/>
      <w:color w:val="000000"/>
      <w:sz w:val="21"/>
    </w:rPr>
  </w:style>
  <w:style w:styleId="ListContinue3" w:type="paragraph">
    <w:name w:val="List Continue 3"/>
    <w:basedOn w:val="Normal"/>
    <w:uiPriority w:val="99"/>
    <w:unhideWhenUsed/>
    <w:rsid w:val="0029639D"/>
    <w:pPr>
      <w:spacing w:after="100" w:line="276" w:lineRule="auto"/>
      <w:ind w:left="1080"/>
      <w:contextualSpacing/>
    </w:pPr>
    <w:rPr>
      <w:rFonts w:ascii="Times New Roman" w:eastAsia="SimSun" w:hAnsi="Times New Roman"/>
      <w:color w:val="000000"/>
      <w:sz w:val="21"/>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76" w:lineRule="auto"/>
    </w:pPr>
    <w:rPr>
      <w:rFonts w:ascii="Times New Roman" w:eastAsia="SimSun" w:hAnsi="Times New Roman"/>
      <w:color w:val="000000"/>
      <w:sz w:val="21"/>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76" w:lineRule="auto"/>
    </w:pPr>
    <w:rPr>
      <w:rFonts w:ascii="Times New Roman" w:eastAsia="SimSun" w:hAnsi="Times New Roman"/>
      <w:i/>
      <w:iCs/>
      <w:color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Times New Roman" w:eastAsia="SimSun"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76" w:lineRule="auto"/>
      <w:ind w:left="936" w:right="936"/>
    </w:pPr>
    <w:rPr>
      <w:rFonts w:ascii="Times New Roman" w:eastAsia="SimSun" w:hAnsi="Times New Roman"/>
      <w:b/>
      <w:bCs/>
      <w:i/>
      <w:iCs/>
      <w:color w:val="000000"/>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76" w:lineRule="auto"/>
      <w:outlineLvl w:val="9"/>
    </w:pPr>
    <w:rPr>
      <w:rFonts w:ascii="Times New Roman" w:eastAsia="SimSun" w:hAnsi="Times New Roman"/>
      <w:color w:val="000000"/>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100" w:line="276" w:lineRule="auto"/>
    </w:pPr>
    <w:rPr>
      <w:rFonts w:ascii="Times New Roman" w:hAnsi="Times New Roman" w:eastAsia="SimSun"/>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0" Type="http://schemas.openxmlformats.org/officeDocument/2006/relationships/hyperlink" Target="https://archive.ics.uci.edu/dataset/165/concrete+compressive+strength" TargetMode="External"/><Relationship Id="rId54" Type="http://schemas.openxmlformats.org/officeDocument/2006/relationships/hyperlink" Target="https://archive.ics.uci.edu/dataset/186/wine+quality" TargetMode="External"/><Relationship Id="rId66" Type="http://schemas.openxmlformats.org/officeDocument/2006/relationships/hyperlink" Target="https://archive.ics.uci.edu/dataset/203/yearpredictionmsd" TargetMode="External"/><Relationship Id="rId61" Type="http://schemas.openxmlformats.org/officeDocument/2006/relationships/hyperlink" Target="https://archive.ics.uci.edu/dataset/242/energy+efficiency" TargetMode="External"/><Relationship Id="rId65" Type="http://schemas.openxmlformats.org/officeDocument/2006/relationships/hyperlink" Target="https://archive.ics.uci.edu/dataset/243/yacht+hydrodynamics" TargetMode="External"/><Relationship Id="rId64" Type="http://schemas.openxmlformats.org/officeDocument/2006/relationships/hyperlink" Target="https://archive.ics.uci.edu/dataset/265/physicochemical+properties+of+protein+tertiary+structure" TargetMode="External"/><Relationship Id="rId63" Type="http://schemas.openxmlformats.org/officeDocument/2006/relationships/hyperlink" Target="https://archive.ics.uci.edu/dataset/294/combined+cycle+power+plant" TargetMode="External"/><Relationship Id="rId62" Type="http://schemas.openxmlformats.org/officeDocument/2006/relationships/hyperlink" Target="https://archive.ics.uci.edu/dataset/316/condition+based+maintenance+of+naval+propulsion+plants" TargetMode="External"/><Relationship Id="rId56" Type="http://schemas.openxmlformats.org/officeDocument/2006/relationships/hyperlink" Target="https://cs.nyu.edu/~fergus/datasets/nyu_depth_v2.html" TargetMode="External"/><Relationship Id="rId21" Type="http://schemas.openxmlformats.org/officeDocument/2006/relationships/hyperlink" Target="https://github.com/Angie-Lab-JHU/density_regression" TargetMode="External"/><Relationship Id="rId20" Type="http://schemas.openxmlformats.org/officeDocument/2006/relationships/hyperlink" Target="https://proceedings.mlr.press/v238/manh-bui24a.html" TargetMode="External"/><Relationship Id="rId51" Type="http://schemas.openxmlformats.org/officeDocument/2006/relationships/hyperlink" Target="https://www.bgc-jena.mpg.de/wetter/weather_data.html" TargetMode="External"/><Relationship Id="rId52" Type="http://schemas.openxmlformats.org/officeDocument/2006/relationships/hyperlink" Target="https://www.tensorflow.org/tutorials/structured_data/time_series"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archive.ics.uci.edu/dataset/165/concrete+compressive+strength" TargetMode="External"/><Relationship Id="rId54" Type="http://schemas.openxmlformats.org/officeDocument/2006/relationships/hyperlink" Target="https://archive.ics.uci.edu/dataset/186/wine+quality" TargetMode="External"/><Relationship Id="rId66" Type="http://schemas.openxmlformats.org/officeDocument/2006/relationships/hyperlink" Target="https://archive.ics.uci.edu/dataset/203/yearpredictionmsd" TargetMode="External"/><Relationship Id="rId61" Type="http://schemas.openxmlformats.org/officeDocument/2006/relationships/hyperlink" Target="https://archive.ics.uci.edu/dataset/242/energy+efficiency" TargetMode="External"/><Relationship Id="rId65" Type="http://schemas.openxmlformats.org/officeDocument/2006/relationships/hyperlink" Target="https://archive.ics.uci.edu/dataset/243/yacht+hydrodynamics" TargetMode="External"/><Relationship Id="rId64" Type="http://schemas.openxmlformats.org/officeDocument/2006/relationships/hyperlink" Target="https://archive.ics.uci.edu/dataset/265/physicochemical+properties+of+protein+tertiary+structure" TargetMode="External"/><Relationship Id="rId63" Type="http://schemas.openxmlformats.org/officeDocument/2006/relationships/hyperlink" Target="https://archive.ics.uci.edu/dataset/294/combined+cycle+power+plant" TargetMode="External"/><Relationship Id="rId62" Type="http://schemas.openxmlformats.org/officeDocument/2006/relationships/hyperlink" Target="https://archive.ics.uci.edu/dataset/316/condition+based+maintenance+of+naval+propulsion+plants" TargetMode="External"/><Relationship Id="rId56" Type="http://schemas.openxmlformats.org/officeDocument/2006/relationships/hyperlink" Target="https://cs.nyu.edu/~fergus/datasets/nyu_depth_v2.html" TargetMode="External"/><Relationship Id="rId21" Type="http://schemas.openxmlformats.org/officeDocument/2006/relationships/hyperlink" Target="https://github.com/Angie-Lab-JHU/density_regression" TargetMode="External"/><Relationship Id="rId20" Type="http://schemas.openxmlformats.org/officeDocument/2006/relationships/hyperlink" Target="https://proceedings.mlr.press/v238/manh-bui24a.html" TargetMode="External"/><Relationship Id="rId51" Type="http://schemas.openxmlformats.org/officeDocument/2006/relationships/hyperlink" Target="https://www.bgc-jena.mpg.de/wetter/weather_data.html" TargetMode="External"/><Relationship Id="rId52" Type="http://schemas.openxmlformats.org/officeDocument/2006/relationships/hyperlink" Target="https://www.tensorflow.org/tutorials/structured_data/time_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论文1 Density Regression 中文精读与研究报告</dc:title>
  <dc:creator/>
  <cp:keywords>Density-Regression, OOD, regression uncertainty</cp:keywords>
  <dcterms:created xsi:type="dcterms:W3CDTF">2026-09-10T22:55:58Z</dcterms:created>
  <dcterms:modified xsi:type="dcterms:W3CDTF">2026-09-10T22:55:58Z</dcterms:modified>
  <dc:subject>Density-Regression paper reading and research analysis</dc:subject>
</cp:coreProperties>
</file>

<file path=docProps/custom.xml><?xml version="1.0" encoding="utf-8"?>
<Properties xmlns="http://schemas.openxmlformats.org/officeDocument/2006/custom-properties" xmlns:vt="http://schemas.openxmlformats.org/officeDocument/2006/docPropsVTypes"/>
</file>