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</w:pPr>
      <w:r>
        <w:t>论文13 OutPro 精读与研究报告 中文版</w:t>
      </w:r>
    </w:p>
    <w:p>
      <w:pPr>
        <w:pStyle w:val="FirstParagraph"/>
        <w:widowControl/>
      </w:pPr>
      <w:r>
        <w:t xml:space="preserve">研究主题：学習外入力データ／学习外输入数据检测</w:t>
      </w:r>
      <w:r>
        <w:br/>
      </w:r>
      <w:r>
        <w:t xml:space="preserve">整理日期：2026-09-10</w:t>
      </w:r>
      <w:r>
        <w:br/>
      </w:r>
      <w:r>
        <w:t xml:space="preserve">主依据：用户提供的《13.pdf》，30页。页码均指该PDF页码。正文分析以此正式发表版本为准；官方网站只用于补充出版、软件和数据获取信息。本文未运行作者全部实验。</w:t>
      </w:r>
    </w:p>
    <w:p>
      <w:pPr>
        <w:pStyle w:val="BodyText"/>
        <w:widowControl/>
      </w:pPr>
      <w:r>
        <w:rPr>
          <w:bCs/>
          <w:b/>
        </w:rPr>
        <w:t xml:space="preserve">证据标记</w:t>
      </w:r>
      <w:r>
        <w:t xml:space="preserve">：【论文】原文陈述或数据；【推导】由公式得出的解释；【判断】本报告的研究评价；【建议】尚未在本论文验证的应用方案；【未报告】原文不足以确认。教学例子均为本报告构造，不是论文实验。</w:t>
      </w:r>
    </w:p>
    <w:bookmarkStart w:id="20" w:name="汇报首先要说清楚的结论"/>
    <w:p>
      <w:pPr>
        <w:pStyle w:val="Heading2"/>
        <w:widowControl/>
      </w:pPr>
      <w:r>
        <w:rPr>
          <w:color w:val="000000"/>
        </w:rPr>
        <w:t xml:space="preserve">0. 汇报首先要说清楚的结论</w:t>
      </w:r>
    </w:p>
    <w:p>
      <w:pPr>
        <w:pStyle w:val="FirstParagraph"/>
        <w:widowControl/>
      </w:pPr>
      <w:r>
        <w:t xml:space="preserve">OutPro是一种</w:t>
      </w:r>
      <w:r>
        <w:rPr>
          <w:bCs/>
          <w:b/>
        </w:rPr>
        <w:t xml:space="preserve">利用监督随机森林规则构造参考邻域、在预测相关变量子空间内计算距离的OOD检测方法</w:t>
      </w:r>
      <w:r>
        <w:t xml:space="preserve">。训练需要输入和任务输出，部署评分不需要新样本的真实输出。它特别适合研究</w:t>
      </w:r>
      <w:r>
        <w:t xml:space="preserve">“</w:t>
      </w:r>
      <w:r>
        <w:t xml:space="preserve">影响预测的少数变量发生轻微变化</w:t>
      </w:r>
      <w:r>
        <w:t xml:space="preserve">”</w:t>
      </w:r>
      <w:r>
        <w:t xml:space="preserve">及</w:t>
      </w:r>
      <w:r>
        <w:t xml:space="preserve">“</w:t>
      </w:r>
      <w:r>
        <w:t xml:space="preserve">变量组合偏离训练关系</w:t>
      </w:r>
      <w:r>
        <w:t xml:space="preserve">”</w:t>
      </w:r>
      <w:r>
        <w:t xml:space="preserve">的输入，但不能检测输入分布完全不变的纯概念漂移。[§1、§3、§7]</w:t>
      </w:r>
    </w:p>
    <w:p>
      <w:pPr>
        <w:pStyle w:val="BodyText"/>
        <w:widowControl/>
      </w:pPr>
      <w:r>
        <w:t xml:space="preserve">最值得借鉴的思想是：判断一个输入是否得到训练数据支持时，应考虑</w:t>
      </w:r>
      <w:r>
        <w:rPr>
          <w:bCs/>
          <w:b/>
        </w:rPr>
        <w:t xml:space="preserve">预测任务、参考样本和变量选择</w:t>
      </w:r>
      <w:r>
        <w:t xml:space="preserve">。最需要保留的限制是：任务相关不等于安全相关，OOD分数不等于预测误差，也不等于危险概率。</w:t>
      </w:r>
    </w:p>
    <w:p>
      <w:pPr>
        <w:pStyle w:val="BodyText"/>
        <w:widowControl/>
      </w:pPr>
      <w:r>
        <w:t xml:space="preserve">实验结论具有条件性。OutPro在joint模式表现突出；warp模式往往由传统密度或孤立类方法领先；消融实验中，子空间普通KNN在joint模式还优于完整OutPro。因此本篇支持把OutPro列入本研究的候选方法，不能据此宣布其普遍优于现有方法。</w:t>
      </w:r>
    </w:p>
    <w:bookmarkEnd w:id="20"/>
    <w:bookmarkStart w:id="24" w:name="文献信息与研究问题"/>
    <w:p>
      <w:pPr>
        <w:pStyle w:val="Heading2"/>
        <w:widowControl/>
      </w:pPr>
      <w:r>
        <w:rPr>
          <w:color w:val="000000"/>
        </w:rPr>
        <w:t xml:space="preserve">1. 文献信息与研究问题</w:t>
      </w:r>
    </w:p>
    <w:tbl>
      <w:tblPr>
        <w:tblStyle w:val="Table"/>
        <w:tblW w:type="pct" w:w="500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367"/>
        <w:gridCol w:w="7497"/>
      </w:tblGrid>
      <w:tr>
        <w:trPr>
          <w:cantSplit/>
          <w:tblHeader/>
        </w:trPr>
        <w:tc>
          <w:tcPr>
            <w:tcW w:type="dxa" w:w="236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项目</w:t>
            </w:r>
          </w:p>
        </w:tc>
        <w:tc>
          <w:tcPr>
            <w:tcW w:type="dxa" w:w="749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英文题名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General OOD detection via model-aware and subspace-aware variable priority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中文译名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基于模型感知与子空间感知变量优先度的通用分布外检测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作者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Min Lu；Hemant Ishwaran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单位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美国迈阿密大学米勒医学院生物统计学部门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年份及渠道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2026，Knowledge and Information Systems，卷68，文章号250，30页；期刊研究论文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日期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收稿2025-12-12；修订2026-08-05；接收2026-08-10；在线发表2026-08-28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DOI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10.1007/s10115-026-02872-5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方法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OutPro，OOD using variable priority；变量筛选依赖VarPro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软件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R包varPro；软件与论文实验的版本和参数必须区分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论文许可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CC BY 4.0；此许可不自动等同于数据许可</w:t>
            </w:r>
          </w:p>
        </w:tc>
      </w:tr>
    </w:tbl>
    <w:p>
      <w:pPr>
        <w:pStyle w:val="BodyText"/>
        <w:widowControl/>
      </w:pPr>
      <w:r>
        <w:t xml:space="preserve">在线发表日期由</w:t>
      </w:r>
      <w:hyperlink r:id="rId21">
        <w:r>
          <w:rPr>
            <w:rStyle w:val="Hyperlink"/>
          </w:rPr>
          <w:t xml:space="preserve">出版社正式页面</w:t>
        </w:r>
      </w:hyperlink>
      <w:r>
        <w:t xml:space="preserve">核实。其余主要据PDF首页及p.26。</w:t>
      </w:r>
    </w:p>
    <w:bookmarkStart w:id="22" w:name="到底解决什么问题"/>
    <w:p>
      <w:pPr>
        <w:pStyle w:val="Heading3"/>
        <w:widowControl/>
      </w:pPr>
      <w:r>
        <w:rPr>
          <w:color w:val="000000"/>
        </w:rPr>
        <w:t xml:space="preserve">1.1 到底解决什么问题？</w:t>
      </w:r>
    </w:p>
    <w:p>
      <w:pPr>
        <w:pStyle w:val="FirstParagraph"/>
        <w:widowControl/>
      </w:pPr>
      <w:r>
        <w:rPr>
          <w:bCs/>
          <w:b/>
        </w:rPr>
        <w:t xml:space="preserve">背景。</w:t>
      </w:r>
      <w:r>
        <w:t xml:space="preserve"> </w:t>
      </w:r>
      <w:r>
        <w:t xml:space="preserve">回归模型收到新输入通常都会输出一个数值。即使这个输入来自训练时没有充分覆盖的工况，模型也不会自动告诉使用者</w:t>
      </w:r>
      <w:r>
        <w:t xml:space="preserve">“</w:t>
      </w:r>
      <w:r>
        <w:t xml:space="preserve">这次预测缺少依据</w:t>
      </w:r>
      <w:r>
        <w:t xml:space="preserve">”</w:t>
      </w:r>
      <w:r>
        <w:t xml:space="preserve">。生存模型同样会输出生存曲线或风险值。[pp.1–2]</w:t>
      </w:r>
    </w:p>
    <w:p>
      <w:pPr>
        <w:pStyle w:val="BodyText"/>
        <w:widowControl/>
      </w:pPr>
      <w:r>
        <w:rPr>
          <w:bCs/>
          <w:b/>
        </w:rPr>
        <w:t xml:space="preserve">为什么重要。</w:t>
      </w:r>
      <w:r>
        <w:t xml:space="preserve"> </w:t>
      </w:r>
      <w:r>
        <w:t xml:space="preserve">对监控和决策系统而言，</w:t>
      </w:r>
      <w:r>
        <w:t xml:space="preserve">“</w:t>
      </w:r>
      <w:r>
        <w:t xml:space="preserve">能够给出预测</w:t>
      </w:r>
      <w:r>
        <w:t xml:space="preserve">”</w:t>
      </w:r>
      <w:r>
        <w:t xml:space="preserve">与</w:t>
      </w:r>
      <w:r>
        <w:t xml:space="preserve">“</w:t>
      </w:r>
      <w:r>
        <w:t xml:space="preserve">该预测值得信任</w:t>
      </w:r>
      <w:r>
        <w:t xml:space="preserve">”</w:t>
      </w:r>
      <w:r>
        <w:t xml:space="preserve">是两件事。单独检查每个传感器数值是否越界，还会漏掉所有变量都正常、但组合关系不正常的情况。【判断：基础设施类比】</w:t>
      </w:r>
    </w:p>
    <w:p>
      <w:pPr>
        <w:pStyle w:val="BodyText"/>
        <w:widowControl/>
      </w:pPr>
      <w:r>
        <w:rPr>
          <w:bCs/>
          <w:b/>
        </w:rPr>
        <w:t xml:space="preserve">现有方法不足。</w:t>
      </w:r>
      <w:r>
        <w:t xml:space="preserve"> </w:t>
      </w:r>
      <w:r>
        <w:t xml:space="preserve">分类OOD分数常依赖类别概率或深层表征；回归和生存分析没有相同的类别结构。全输入空间的距离或密度检测又可能被大量无关变量稀释。预测不确定性虽然利用模型，也未必明确集中于预测相关坐标。[§2]</w:t>
      </w:r>
    </w:p>
    <w:p>
      <w:pPr>
        <w:pStyle w:val="BodyText"/>
        <w:widowControl/>
      </w:pPr>
      <w:r>
        <w:rPr>
          <w:bCs/>
          <w:b/>
        </w:rPr>
        <w:t xml:space="preserve">核心问题。</w:t>
      </w:r>
      <w:r>
        <w:t xml:space="preserve"> </w:t>
      </w:r>
      <w:r>
        <w:t xml:space="preserve">能否利用同一个监督森林，同时确定哪些变量重要、哪些历史样本值得比较，以及新输入相对它们有多异常？</w:t>
      </w:r>
    </w:p>
    <w:p>
      <w:pPr>
        <w:pStyle w:val="BodyText"/>
        <w:widowControl/>
      </w:pPr>
      <w:r>
        <w:rPr>
          <w:bCs/>
          <w:b/>
        </w:rPr>
        <w:t xml:space="preserve">核心假设。</w:t>
      </w:r>
      <w:r>
        <w:t xml:space="preserve"> </w:t>
      </w:r>
      <w:r>
        <w:t xml:space="preserve">训练总体的条件输出分布可由部分坐标解释；森林和VarPro能够近似找出这些坐标；规则释放产生的参考邻域能够体现预测相关局部关系。后两点是方法依赖的经验前提，不是对所有数据成立的保证。</w:t>
      </w:r>
    </w:p>
    <w:p>
      <w:pPr>
        <w:pStyle w:val="BodyText"/>
        <w:widowControl/>
      </w:pPr>
      <w:r>
        <w:rPr>
          <w:bCs/>
          <w:b/>
        </w:rPr>
        <w:t xml:space="preserve">想证明什么。</w:t>
      </w:r>
      <w:r>
        <w:t xml:space="preserve"> </w:t>
      </w:r>
      <w:r>
        <w:t xml:space="preserve">论文主要以实验展示这种组合在若干预测相关协变量偏移下改善OOD排序，并具有可解释的应用价值。它没有证明所有OOD都可检出、分数等于误差概率，或可以直接保证控制系统安全。</w:t>
      </w:r>
    </w:p>
    <w:bookmarkEnd w:id="22"/>
    <w:bookmarkStart w:id="23" w:name="学习外的定义总体定义与实际检测对象"/>
    <w:p>
      <w:pPr>
        <w:pStyle w:val="Heading3"/>
        <w:widowControl/>
      </w:pPr>
      <w:r>
        <w:rPr>
          <w:color w:val="000000"/>
        </w:rPr>
        <w:t xml:space="preserve">1.2</w:t>
      </w:r>
      <w:r>
        <w:rPr>
          <w:color w:val="000000"/>
        </w:rPr>
        <w:t xml:space="preserve"> </w:t>
      </w:r>
      <w:r>
        <w:rPr>
          <w:color w:val="000000"/>
        </w:rPr>
        <w:t xml:space="preserve">“</w:t>
      </w:r>
      <w:r>
        <w:rPr>
          <w:color w:val="000000"/>
        </w:rPr>
        <w:t xml:space="preserve">学习外</w:t>
      </w:r>
      <w:r>
        <w:rPr>
          <w:color w:val="000000"/>
        </w:rPr>
        <w:t xml:space="preserve">”</w:t>
      </w:r>
      <w:r>
        <w:rPr>
          <w:color w:val="000000"/>
        </w:rPr>
        <w:t xml:space="preserve">的定义：总体定义与实际检测对象</w:t>
      </w:r>
    </w:p>
    <w:p>
      <w:pPr>
        <w:pStyle w:val="FirstParagraph"/>
        <w:widowControl/>
      </w:pPr>
      <w:r>
        <w:t xml:space="preserve">【论文，p.2】训练联合分布为</w:t>
      </w:r>
      <w:r>
        <w:t xml:space="preserve"> </w:t>
      </w:r>
      <m:oMath>
        <m:sSub>
          <m:e>
            <m:r>
              <m:t>P</m:t>
              <w:rPr>
                <w:rFonts w:ascii="Cambria Math" w:hAnsi="Cambria Math"/>
              </w:rPr>
            </m:r>
          </m:e>
          <m:sub>
            <m:r>
              <m:t>X</m:t>
              <w:rPr>
                <w:rFonts w:ascii="Cambria Math" w:hAnsi="Cambria Math"/>
              </w:rPr>
            </m:r>
            <m:r>
              <m:rPr>
                <m:sty m:val="p"/>
              </m:rPr>
              <m:t>,</m:t>
              <w:rPr>
                <w:rFonts w:ascii="Cambria Math" w:hAnsi="Cambria Math"/>
              </w:rPr>
            </m:r>
            <m:r>
              <m:t>Y</m:t>
              <w:rPr>
                <w:rFonts w:ascii="Cambria Math" w:hAnsi="Cambria Math"/>
              </w:rPr>
            </m:r>
          </m:sub>
        </m:sSub>
      </m:oMath>
      <w:r>
        <w:t xml:space="preserve">，测试为</w:t>
      </w:r>
      <w:r>
        <w:t xml:space="preserve"> </w:t>
      </w:r>
      <m:oMath>
        <m:sSubSup>
          <m:e>
            <m:r>
              <m:t>P</m:t>
              <w:rPr>
                <w:rFonts w:ascii="Cambria Math" w:hAnsi="Cambria Math"/>
              </w:rPr>
            </m:r>
          </m:e>
          <m:sub>
            <m:r>
              <m:t>X</m:t>
              <w:rPr>
                <w:rFonts w:ascii="Cambria Math" w:hAnsi="Cambria Math"/>
              </w:rPr>
            </m:r>
            <m:r>
              <m:rPr>
                <m:sty m:val="p"/>
              </m:rPr>
              <m:t>,</m:t>
              <w:rPr>
                <w:rFonts w:ascii="Cambria Math" w:hAnsi="Cambria Math"/>
              </w:rPr>
            </m:r>
            <m:r>
              <m:t>Y</m:t>
              <w:rPr>
                <w:rFonts w:ascii="Cambria Math" w:hAnsi="Cambria Math"/>
              </w:rPr>
            </m:r>
          </m:sub>
          <m:sup>
            <m:r>
              <m:rPr>
                <m:sty m:val="p"/>
              </m:rPr>
              <m:t>*</m:t>
              <w:rPr>
                <w:rFonts w:ascii="Cambria Math" w:hAnsi="Cambria Math"/>
              </w:rPr>
            </m:r>
          </m:sup>
        </m:sSubSup>
      </m:oMath>
      <w:r>
        <w:t xml:space="preserve">。总体意义的OOD满足：</w:t>
      </w:r>
    </w:p>
    <w:p>
      <w:pPr>
        <w:pStyle w:val="BodyText"/>
        <w:widowControl/>
      </w:pPr>
      <m:oMathPara>
        <m:oMathParaPr>
          <m:jc m:val="center"/>
        </m:oMathParaPr>
        <m:oMath>
          <m:sSubSup>
            <m:e>
              <m:r>
                <m:t>P</m:t>
                <w:rPr>
                  <w:rFonts w:ascii="Cambria Math" w:hAnsi="Cambria Math"/>
                </w:rPr>
              </m:r>
            </m:e>
            <m:sub>
              <m:r>
                <m:t>X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,</m:t>
                <w:rPr>
                  <w:rFonts w:ascii="Cambria Math" w:hAnsi="Cambria Math"/>
                </w:rPr>
              </m:r>
              <m:r>
                <m:t>Y</m:t>
                <w:rPr>
                  <w:rFonts w:ascii="Cambria Math" w:hAnsi="Cambria Math"/>
                </w:rPr>
              </m:r>
            </m:sub>
            <m:sup>
              <m:r>
                <m:rPr>
                  <m:sty m:val="p"/>
                </m:rPr>
                <m:t>*</m:t>
                <w:rPr>
                  <w:rFonts w:ascii="Cambria Math" w:hAnsi="Cambria Math"/>
                </w:rPr>
              </m:r>
            </m:sup>
          </m:sSubSup>
          <m:r>
            <m:rPr>
              <m:sty m:val="p"/>
            </m:rPr>
            <m:t>≠</m:t>
            <w:rPr>
              <w:rFonts w:ascii="Cambria Math" w:hAnsi="Cambria Math"/>
            </w:rPr>
          </m:r>
          <m:sSub>
            <m:e>
              <m:r>
                <m:t>P</m:t>
                <w:rPr>
                  <w:rFonts w:ascii="Cambria Math" w:hAnsi="Cambria Math"/>
                </w:rPr>
              </m:r>
            </m:e>
            <m:sub>
              <m:r>
                <m:t>X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,</m:t>
                <w:rPr>
                  <w:rFonts w:ascii="Cambria Math" w:hAnsi="Cambria Math"/>
                </w:rPr>
              </m:r>
              <m:r>
                <m:t>Y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.</m:t>
            <w:rPr>
              <w:rFonts w:ascii="Cambria Math" w:hAnsi="Cambria Math"/>
            </w:rPr>
          </m:r>
        </m:oMath>
      </m:oMathPara>
    </w:p>
    <w:p>
      <w:pPr>
        <w:pStyle w:val="FirstParagraph"/>
        <w:widowControl/>
      </w:pPr>
      <w:r>
        <w:t xml:space="preserve">其中</w:t>
      </w:r>
      <w:r>
        <w:t xml:space="preserve"> </w:t>
      </w:r>
      <m:oMath>
        <m:r>
          <m:t>X</m:t>
          <w:rPr>
            <w:rFonts w:ascii="Cambria Math" w:hAnsi="Cambria Math"/>
          </w:rPr>
        </m:r>
      </m:oMath>
      <w:r>
        <w:t xml:space="preserve"> </w:t>
      </w:r>
      <w:r>
        <w:t xml:space="preserve">是输入向量，</w:t>
      </w:r>
      <m:oMath>
        <m:r>
          <m:t>Y</m:t>
          <w:rPr>
            <w:rFonts w:ascii="Cambria Math" w:hAnsi="Cambria Math"/>
          </w:rPr>
        </m:r>
      </m:oMath>
      <w:r>
        <w:t xml:space="preserve"> </w:t>
      </w:r>
      <w:r>
        <w:t xml:space="preserve">是预测目标。联合分布包含输入分布</w:t>
      </w:r>
      <w:r>
        <w:t xml:space="preserve"> </w:t>
      </w:r>
      <m:oMath>
        <m:sSub>
          <m:e>
            <m:r>
              <m:t>P</m:t>
              <w:rPr>
                <w:rFonts w:ascii="Cambria Math" w:hAnsi="Cambria Math"/>
              </w:rPr>
            </m:r>
          </m:e>
          <m:sub>
            <m:r>
              <m:t>X</m:t>
              <w:rPr>
                <w:rFonts w:ascii="Cambria Math" w:hAnsi="Cambria Math"/>
              </w:rPr>
            </m:r>
          </m:sub>
        </m:sSub>
      </m:oMath>
      <w:r>
        <w:t xml:space="preserve"> </w:t>
      </w:r>
      <w:r>
        <w:t xml:space="preserve">和条件输出分布</w:t>
      </w:r>
      <w:r>
        <w:t xml:space="preserve"> </w:t>
      </w:r>
      <m:oMath>
        <m:sSub>
          <m:e>
            <m:r>
              <m:t>P</m:t>
              <w:rPr>
                <w:rFonts w:ascii="Cambria Math" w:hAnsi="Cambria Math"/>
              </w:rPr>
            </m:r>
          </m:e>
          <m:sub>
            <m:r>
              <m:t>Y</m:t>
              <w:rPr>
                <w:rFonts w:ascii="Cambria Math" w:hAnsi="Cambria Math"/>
              </w:rPr>
            </m:r>
            <m:r>
              <m:rPr>
                <m:sty m:val="p"/>
              </m:rPr>
              <m:t>∣</m:t>
              <w:rPr>
                <w:rFonts w:ascii="Cambria Math" w:hAnsi="Cambria Math"/>
              </w:rPr>
            </m:r>
            <m:r>
              <m:t>X</m:t>
              <w:rPr>
                <w:rFonts w:ascii="Cambria Math" w:hAnsi="Cambria Math"/>
              </w:rPr>
            </m:r>
          </m:sub>
        </m:sSub>
      </m:oMath>
      <w:r>
        <w:t xml:space="preserve">。</w:t>
      </w:r>
    </w:p>
    <w:tbl>
      <w:tblPr>
        <w:tblStyle w:val="Table"/>
        <w:tblW w:type="pct" w:w="500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170"/>
        <w:gridCol w:w="3946"/>
        <w:gridCol w:w="3749"/>
      </w:tblGrid>
      <w:tr>
        <w:trPr>
          <w:cantSplit/>
          <w:tblHeader/>
        </w:trPr>
        <w:tc>
          <w:tcPr>
            <w:tcW w:type="dxa" w:w="2170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类型</w:t>
            </w:r>
          </w:p>
        </w:tc>
        <w:tc>
          <w:tcPr>
            <w:tcW w:type="dxa" w:w="3946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数学或操作性含义</w:t>
            </w:r>
          </w:p>
        </w:tc>
        <w:tc>
          <w:tcPr>
            <w:tcW w:type="dxa" w:w="3749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OutPro的对应关系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超出输入范围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某坐标超出训练支持或观测范围</w:t>
            </w:r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support模式、Friedman越界标签直接涉及；理论支持与有限样本极值须区分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低密度区域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输入落在训练中少见的区域</w:t>
            </w:r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可产生大距离，但OutPro不是显式密度估计；warp对此有实验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未知变量组合／相关关系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单变量可在原范围内，联合关系不常见</w:t>
            </w:r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joint模式最相关；但该生成器不严格保证边缘分布完全不变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协变量变化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m:oMath>
              <m:sSubSup>
                <m:e>
                  <m:r>
                    <m:t>P</m:t>
                    <w:rPr>
                      <w:rFonts w:ascii="Cambria Math" w:hAnsi="Cambria Math"/>
                    </w:rPr>
                  </m:r>
                </m:e>
                <m:sub>
                  <m:r>
                    <m:t>X</m:t>
                    <w:rPr>
                      <w:rFonts w:ascii="Cambria Math" w:hAnsi="Cambria Math"/>
                    </w:rPr>
                  </m:r>
                </m:sub>
                <m:sup>
                  <m:r>
                    <m:rPr>
                      <m:sty m:val="p"/>
                    </m:rPr>
                    <m:t>*</m:t>
                    <w:rPr>
                      <w:rFonts w:ascii="Cambria Math" w:hAnsi="Cambria Math"/>
                    </w:rPr>
                  </m:r>
                </m:sup>
              </m:sSubSup>
              <m:r>
                <m:rPr>
                  <m:sty m:val="p"/>
                </m:rPr>
                <m:t>≠</m:t>
                <w:rPr>
                  <w:rFonts w:ascii="Cambria Math" w:hAnsi="Cambria Math"/>
                </w:rPr>
              </m:r>
              <m:sSub>
                <m:e>
                  <m:r>
                    <m:t>P</m:t>
                    <w:rPr>
                      <w:rFonts w:ascii="Cambria Math" w:hAnsi="Cambria Math"/>
                    </w:rPr>
                  </m:r>
                </m:e>
                <m:sub>
                  <m:r>
                    <m:t>X</m:t>
                    <w:rPr>
                      <w:rFonts w:ascii="Cambria Math" w:hAnsi="Cambria Math"/>
                    </w:rPr>
                  </m:r>
                </m:sub>
              </m:sSub>
            </m:oMath>
            <w:r>
              <w:rPr>
                <w:color w:val="000000"/>
                <w:sz w:val="19"/>
              </w:rPr>
              <w:t xml:space="preserve">，严格covariate shift还要求</w:t>
            </w:r>
            <m:oMath>
              <m:sSubSup>
                <m:e>
                  <m:r>
                    <m:t>P</m:t>
                    <w:rPr>
                      <w:rFonts w:ascii="Cambria Math" w:hAnsi="Cambria Math"/>
                    </w:rPr>
                  </m:r>
                </m:e>
                <m:sub>
                  <m:r>
                    <m:t>Y</m:t>
                    <w:rPr>
                      <w:rFonts w:ascii="Cambria Math" w:hAnsi="Cambria Math"/>
                    </w:rPr>
                  </m:r>
                  <m:r>
                    <m:rPr>
                      <m:sty m:val="p"/>
                    </m:rPr>
                    <m:t>∣</m:t>
                    <w:rPr>
                      <w:rFonts w:ascii="Cambria Math" w:hAnsi="Cambria Math"/>
                    </w:rPr>
                  </m:r>
                  <m:r>
                    <m:t>X</m:t>
                    <w:rPr>
                      <w:rFonts w:ascii="Cambria Math" w:hAnsi="Cambria Math"/>
                    </w:rPr>
                  </m:r>
                </m:sub>
                <m:sup>
                  <m:r>
                    <m:rPr>
                      <m:sty m:val="p"/>
                    </m:rPr>
                    <m:t>*</m:t>
                    <w:rPr>
                      <w:rFonts w:ascii="Cambria Math" w:hAnsi="Cambria Math"/>
                    </w:rPr>
                  </m:r>
                </m:sup>
              </m:sSubSup>
              <m:r>
                <m:rPr>
                  <m:sty m:val="p"/>
                </m:rPr>
                <m:t>=</m:t>
                <w:rPr>
                  <w:rFonts w:ascii="Cambria Math" w:hAnsi="Cambria Math"/>
                </w:rPr>
              </m:r>
              <m:sSub>
                <m:e>
                  <m:r>
                    <m:t>P</m:t>
                    <w:rPr>
                      <w:rFonts w:ascii="Cambria Math" w:hAnsi="Cambria Math"/>
                    </w:rPr>
                  </m:r>
                </m:e>
                <m:sub>
                  <m:r>
                    <m:t>Y</m:t>
                    <w:rPr>
                      <w:rFonts w:ascii="Cambria Math" w:hAnsi="Cambria Math"/>
                    </w:rPr>
                  </m:r>
                  <m:r>
                    <m:rPr>
                      <m:sty m:val="p"/>
                    </m:rPr>
                    <m:t>∣</m:t>
                    <w:rPr>
                      <w:rFonts w:ascii="Cambria Math" w:hAnsi="Cambria Math"/>
                    </w:rPr>
                  </m:r>
                  <m:r>
                    <m:t>X</m:t>
                    <w:rPr>
                      <w:rFonts w:ascii="Cambria Math" w:hAnsi="Cambria Math"/>
                    </w:rPr>
                  </m:r>
                </m:sub>
              </m:sSub>
            </m:oMath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实际针对预测相关的输入偏离；生成异常未验证条件分布不变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纯概念漂移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m:oMath>
              <m:sSubSup>
                <m:e>
                  <m:r>
                    <m:t>P</m:t>
                    <w:rPr>
                      <w:rFonts w:ascii="Cambria Math" w:hAnsi="Cambria Math"/>
                    </w:rPr>
                  </m:r>
                </m:e>
                <m:sub>
                  <m:r>
                    <m:t>X</m:t>
                    <w:rPr>
                      <w:rFonts w:ascii="Cambria Math" w:hAnsi="Cambria Math"/>
                    </w:rPr>
                  </m:r>
                </m:sub>
                <m:sup>
                  <m:r>
                    <m:rPr>
                      <m:sty m:val="p"/>
                    </m:rPr>
                    <m:t>*</m:t>
                    <w:rPr>
                      <w:rFonts w:ascii="Cambria Math" w:hAnsi="Cambria Math"/>
                    </w:rPr>
                  </m:r>
                </m:sup>
              </m:sSubSup>
              <m:r>
                <m:rPr>
                  <m:sty m:val="p"/>
                </m:rPr>
                <m:t>=</m:t>
                <w:rPr>
                  <w:rFonts w:ascii="Cambria Math" w:hAnsi="Cambria Math"/>
                </w:rPr>
              </m:r>
              <m:sSub>
                <m:e>
                  <m:r>
                    <m:t>P</m:t>
                    <w:rPr>
                      <w:rFonts w:ascii="Cambria Math" w:hAnsi="Cambria Math"/>
                    </w:rPr>
                  </m:r>
                </m:e>
                <m:sub>
                  <m:r>
                    <m:t>X</m:t>
                    <w:rPr>
                      <w:rFonts w:ascii="Cambria Math" w:hAnsi="Cambria Math"/>
                    </w:rPr>
                  </m:r>
                </m:sub>
              </m:sSub>
            </m:oMath>
            <w:r>
              <w:rPr>
                <w:color w:val="000000"/>
                <w:sz w:val="19"/>
              </w:rPr>
              <w:t xml:space="preserve">，</w:t>
            </w:r>
            <m:oMath>
              <m:sSubSup>
                <m:e>
                  <m:r>
                    <m:t>P</m:t>
                    <w:rPr>
                      <w:rFonts w:ascii="Cambria Math" w:hAnsi="Cambria Math"/>
                    </w:rPr>
                  </m:r>
                </m:e>
                <m:sub>
                  <m:r>
                    <m:t>Y</m:t>
                    <w:rPr>
                      <w:rFonts w:ascii="Cambria Math" w:hAnsi="Cambria Math"/>
                    </w:rPr>
                  </m:r>
                  <m:r>
                    <m:rPr>
                      <m:sty m:val="p"/>
                    </m:rPr>
                    <m:t>∣</m:t>
                    <w:rPr>
                      <w:rFonts w:ascii="Cambria Math" w:hAnsi="Cambria Math"/>
                    </w:rPr>
                  </m:r>
                  <m:r>
                    <m:t>X</m:t>
                    <w:rPr>
                      <w:rFonts w:ascii="Cambria Math" w:hAnsi="Cambria Math"/>
                    </w:rPr>
                  </m:r>
                </m:sub>
                <m:sup>
                  <m:r>
                    <m:rPr>
                      <m:sty m:val="p"/>
                    </m:rPr>
                    <m:t>*</m:t>
                    <w:rPr>
                      <w:rFonts w:ascii="Cambria Math" w:hAnsi="Cambria Math"/>
                    </w:rPr>
                  </m:r>
                </m:sup>
              </m:sSubSup>
              <m:r>
                <m:rPr>
                  <m:sty m:val="p"/>
                </m:rPr>
                <m:t>≠</m:t>
                <w:rPr>
                  <w:rFonts w:ascii="Cambria Math" w:hAnsi="Cambria Math"/>
                </w:rPr>
              </m:r>
              <m:sSub>
                <m:e>
                  <m:r>
                    <m:t>P</m:t>
                    <w:rPr>
                      <w:rFonts w:ascii="Cambria Math" w:hAnsi="Cambria Math"/>
                    </w:rPr>
                  </m:r>
                </m:e>
                <m:sub>
                  <m:r>
                    <m:t>Y</m:t>
                    <w:rPr>
                      <w:rFonts w:ascii="Cambria Math" w:hAnsi="Cambria Math"/>
                    </w:rPr>
                  </m:r>
                  <m:r>
                    <m:rPr>
                      <m:sty m:val="p"/>
                    </m:rPr>
                    <m:t>∣</m:t>
                    <w:rPr>
                      <w:rFonts w:ascii="Cambria Math" w:hAnsi="Cambria Math"/>
                    </w:rPr>
                  </m:r>
                  <m:r>
                    <m:t>X</m:t>
                    <w:rPr>
                      <w:rFonts w:ascii="Cambria Math" w:hAnsi="Cambria Math"/>
                    </w:rPr>
                  </m:r>
                </m:sub>
              </m:sSub>
            </m:oMath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不能检测；作者明确承认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仅无关变量变化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全空间分布不同，但预测信号坐标未变</w:t>
            </w:r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设计上希望降低其影响；不应直接当成对所有无关偏移完全不变的定理</w:t>
            </w:r>
          </w:p>
        </w:tc>
      </w:tr>
    </w:tbl>
    <w:p>
      <w:pPr>
        <w:pStyle w:val="BodyText"/>
        <w:widowControl/>
      </w:pPr>
      <w:r>
        <w:t xml:space="preserve">【推导】固定森林以后，OutPro评分是</w:t>
      </w:r>
      <w:r>
        <w:t xml:space="preserve"> </w:t>
      </w:r>
      <m:oMath>
        <m:r>
          <m:t>d</m:t>
          <w:rPr>
            <w:rFonts w:ascii="Cambria Math" w:hAnsi="Cambria Math"/>
          </w:rPr>
        </m:r>
        <m:r>
          <m:rPr>
            <m:sty m:val="p"/>
          </m:rPr>
          <m:t>=</m:t>
          <w:rPr>
            <w:rFonts w:ascii="Cambria Math" w:hAnsi="Cambria Math"/>
          </w:rPr>
        </m:r>
        <m:r>
          <m:t>g</m:t>
          <w:rPr>
            <w:rFonts w:ascii="Cambria Math" w:hAnsi="Cambria Math"/>
          </w:rPr>
        </m:r>
        <m:r>
          <m:rPr>
            <m:sty m:val="p"/>
          </m:rPr>
          <m:t>(</m:t>
          <w:rPr>
            <w:rFonts w:ascii="Cambria Math" w:hAnsi="Cambria Math"/>
          </w:rPr>
        </m:r>
        <m:r>
          <m:t>X</m:t>
          <w:rPr>
            <w:rFonts w:ascii="Cambria Math" w:hAnsi="Cambria Math"/>
          </w:rPr>
        </m:r>
        <m:r>
          <m:rPr>
            <m:sty m:val="p"/>
          </m:rPr>
          <m:t>;</m:t>
          <w:rPr>
            <w:rFonts w:ascii="Cambria Math" w:hAnsi="Cambria Math"/>
          </w:rPr>
        </m:r>
        <m:acc>
          <m:accPr>
            <m:chr m:val="̂"/>
          </m:accPr>
          <m:e>
            <m:r>
              <m:t>f</m:t>
              <w:rPr>
                <w:rFonts w:ascii="Cambria Math" w:hAnsi="Cambria Math"/>
              </w:rPr>
            </m:r>
          </m:e>
        </m:acc>
        <m:r>
          <m:rPr>
            <m:sty m:val="p"/>
          </m:rPr>
          <m:t>,</m:t>
          <w:rPr>
            <w:rFonts w:ascii="Cambria Math" w:hAnsi="Cambria Math"/>
          </w:rPr>
        </m:r>
        <m:r>
          <m:rPr>
            <m:sty m:val="p"/>
            <m:scr m:val="script"/>
          </m:rPr>
          <m:t>L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</m:oMath>
      <w:r>
        <w:t xml:space="preserve">。只要两种测试环境的</w:t>
      </w:r>
      <w:r>
        <w:t xml:space="preserve"> </w:t>
      </w:r>
      <m:oMath>
        <m:sSub>
          <m:e>
            <m:r>
              <m:t>P</m:t>
              <w:rPr>
                <w:rFonts w:ascii="Cambria Math" w:hAnsi="Cambria Math"/>
              </w:rPr>
            </m:r>
          </m:e>
          <m:sub>
            <m:r>
              <m:t>X</m:t>
              <w:rPr>
                <w:rFonts w:ascii="Cambria Math" w:hAnsi="Cambria Math"/>
              </w:rPr>
            </m:r>
          </m:sub>
        </m:sSub>
      </m:oMath>
      <w:r>
        <w:t xml:space="preserve"> </w:t>
      </w:r>
      <w:r>
        <w:t xml:space="preserve">相同，其分数分布就相同，不管真实输出机制怎样变化。因此</w:t>
      </w:r>
      <w:r>
        <w:t xml:space="preserve">“</w:t>
      </w:r>
      <w:r>
        <w:t xml:space="preserve">输入间关系变了</w:t>
      </w:r>
      <w:r>
        <w:t xml:space="preserve">”</w:t>
      </w:r>
      <w:r>
        <w:t xml:space="preserve">和</w:t>
      </w:r>
      <w:r>
        <w:t xml:space="preserve">“</w:t>
      </w:r>
      <w:r>
        <w:t xml:space="preserve">输入到输出的关系变了</w:t>
      </w:r>
      <w:r>
        <w:t xml:space="preserve">”</w:t>
      </w:r>
      <w:r>
        <w:t xml:space="preserve">必须分别汇报。</w:t>
      </w:r>
    </w:p>
    <w:p>
      <w:pPr>
        <w:pStyle w:val="BodyText"/>
        <w:widowControl/>
      </w:pPr>
      <w:r>
        <w:rPr>
          <w:bCs/>
          <w:b/>
        </w:rPr>
        <w:t xml:space="preserve">总体分布变化不是天然的单点真值标签。</w:t>
      </w:r>
      <w:r>
        <w:t xml:space="preserve"> </w:t>
      </w:r>
      <w:r>
        <w:t xml:space="preserve">一整个测试分布与训练分布不同，不代表其中每个取值都必然异常。论文Friedman部分正是通过</w:t>
      </w:r>
      <w:r>
        <w:t xml:space="preserve">“</w:t>
      </w:r>
      <w:r>
        <w:t xml:space="preserve">是否越出支持</w:t>
      </w:r>
      <w:r>
        <w:t xml:space="preserve">”</w:t>
      </w:r>
      <w:r>
        <w:t xml:space="preserve">另外规定单点标签。[§5.1.1]</w:t>
      </w:r>
    </w:p>
    <w:bookmarkEnd w:id="23"/>
    <w:bookmarkEnd w:id="24"/>
    <w:bookmarkStart w:id="25" w:name="论文整体结构"/>
    <w:p>
      <w:pPr>
        <w:pStyle w:val="Heading2"/>
        <w:widowControl/>
      </w:pPr>
      <w:r>
        <w:rPr>
          <w:color w:val="000000"/>
        </w:rPr>
        <w:t xml:space="preserve">2. 论文整体结构</w:t>
      </w:r>
    </w:p>
    <w:tbl>
      <w:tblPr>
        <w:tblStyle w:val="Table"/>
        <w:tblW w:type="pct" w:w="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170"/>
        <w:gridCol w:w="3946"/>
        <w:gridCol w:w="3749"/>
      </w:tblGrid>
      <w:tr>
        <w:trPr>
          <w:cantSplit/>
          <w:tblHeader/>
        </w:trPr>
        <w:tc>
          <w:tcPr>
            <w:tcW w:type="dxa" w:w="2170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原章节</w:t>
            </w:r>
          </w:p>
        </w:tc>
        <w:tc>
          <w:tcPr>
            <w:tcW w:type="dxa" w:w="3946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页码</w:t>
            </w:r>
          </w:p>
        </w:tc>
        <w:tc>
          <w:tcPr>
            <w:tcW w:type="dxa" w:w="3749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在论证中的作用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1 Introduction；1.1–1.4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1–4</w:t>
            </w:r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定义问题、预测子空间、model-aware和subspace-aware及贡献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2 Related work；2.1–2.4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4–5</w:t>
            </w:r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对比模型、几何、密度、不确定性与校准路线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3 Methodology；3.1–3.4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6–10</w:t>
            </w:r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VarPro筛选、释放规则、频率轮廓、邻域排序、最终距离；算法1及表1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4 Comparison methods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10–11</w:t>
            </w:r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明确各基线的实际评分公式和实现；表2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5 Benchmarking；5.1–5.6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11–23</w:t>
            </w:r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Friedman、Copula生成、PMLB、微阵列、参数敏感性、组件消融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6 Lymphadenectomy case study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23–24</w:t>
            </w:r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WECC食管癌生存分析，展示临床群体差异的解释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7 Summary and limitations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24–26</w:t>
            </w:r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总结条件性优劣、计算时间和方法边界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声明、参考文献、作者简介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26–30</w:t>
            </w:r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数据公开性、资助、许可、溯源</w:t>
            </w:r>
          </w:p>
        </w:tc>
      </w:tr>
    </w:tbl>
    <w:p>
      <w:pPr>
        <w:pStyle w:val="BodyText"/>
        <w:widowControl/>
      </w:pPr>
      <w:r>
        <w:t xml:space="preserve">论文没有单独命名为Discussion的章节，讨论主要穿插在结果及§7；不要机械套用其他论文结构。</w:t>
      </w:r>
    </w:p>
    <w:bookmarkEnd w:id="25"/>
    <w:bookmarkStart w:id="38" w:name="逐节精读a内容b作用c概念d公式e结论"/>
    <w:p>
      <w:pPr>
        <w:pStyle w:val="Heading2"/>
        <w:widowControl/>
      </w:pPr>
      <w:r>
        <w:rPr>
          <w:color w:val="000000"/>
        </w:rPr>
        <w:t xml:space="preserve">3. 逐节精读：A内容、B作用、C概念、D公式、E结论</w:t>
      </w:r>
    </w:p>
    <w:bookmarkStart w:id="26" w:name="introduction先判断对哪一个预测任务而言不熟悉"/>
    <w:p>
      <w:pPr>
        <w:pStyle w:val="Heading3"/>
        <w:widowControl/>
      </w:pPr>
      <w:r>
        <w:rPr>
          <w:color w:val="000000"/>
        </w:rPr>
        <w:t xml:space="preserve">3.1 Introduction：先判断</w:t>
      </w:r>
      <w:r>
        <w:rPr>
          <w:color w:val="000000"/>
        </w:rPr>
        <w:t xml:space="preserve">“</w:t>
      </w:r>
      <w:r>
        <w:rPr>
          <w:color w:val="000000"/>
        </w:rPr>
        <w:t xml:space="preserve">对哪一个预测任务而言不熟悉</w:t>
      </w:r>
      <w:r>
        <w:rPr>
          <w:color w:val="000000"/>
        </w:rPr>
        <w:t xml:space="preserve">”</w:t>
      </w:r>
    </w:p>
    <w:p>
      <w:pPr>
        <w:pStyle w:val="FirstParagraph"/>
        <w:widowControl/>
      </w:pPr>
      <w:r>
        <w:rPr>
          <w:bCs/>
          <w:b/>
        </w:rPr>
        <w:t xml:space="preserve">A 讲什么。</w:t>
      </w:r>
      <w:r>
        <w:t xml:space="preserve"> </w:t>
      </w:r>
      <w:r>
        <w:t xml:space="preserve">模型不应把所有输入变化看得同样重要。与预测无关的变量变化可能不影响预测支持；重要变量的细微变化却可能值得警惕。</w:t>
      </w:r>
    </w:p>
    <w:p>
      <w:pPr>
        <w:pStyle w:val="BodyText"/>
        <w:widowControl/>
      </w:pPr>
      <w:r>
        <w:rPr>
          <w:bCs/>
          <w:b/>
        </w:rPr>
        <w:t xml:space="preserve">B 为什么讲。</w:t>
      </w:r>
      <w:r>
        <w:t xml:space="preserve"> </w:t>
      </w:r>
      <w:r>
        <w:t xml:space="preserve">为</w:t>
      </w:r>
      <w:r>
        <w:t xml:space="preserve">“</w:t>
      </w:r>
      <w:r>
        <w:t xml:space="preserve">先学出预测相关变量，再算OOD</w:t>
      </w:r>
      <w:r>
        <w:t xml:space="preserve">”</w:t>
      </w:r>
      <w:r>
        <w:t xml:space="preserve">提供目标，而不只是追求全空间异常。</w:t>
      </w:r>
    </w:p>
    <w:p>
      <w:pPr>
        <w:pStyle w:val="BodyText"/>
        <w:widowControl/>
      </w:pPr>
      <w:r>
        <w:rPr>
          <w:bCs/>
          <w:b/>
        </w:rPr>
        <w:t xml:space="preserve">C 关键概念。</w:t>
      </w:r>
    </w:p>
    <w:tbl>
      <w:tblPr>
        <w:tblStyle w:val="Table"/>
        <w:tblW w:type="pct" w:w="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170"/>
        <w:gridCol w:w="3946"/>
        <w:gridCol w:w="3749"/>
      </w:tblGrid>
      <w:tr>
        <w:trPr>
          <w:cantSplit/>
          <w:tblHeader/>
        </w:trPr>
        <w:tc>
          <w:tcPr>
            <w:tcW w:type="dxa" w:w="2170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概念</w:t>
            </w:r>
          </w:p>
        </w:tc>
        <w:tc>
          <w:tcPr>
            <w:tcW w:type="dxa" w:w="3946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定义／数学含义</w:t>
            </w:r>
          </w:p>
        </w:tc>
        <w:tc>
          <w:tcPr>
            <w:tcW w:type="dxa" w:w="3749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直观含义及与学习外输入的关系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预测子空间</w:t>
            </w:r>
            <w:r>
              <w:rPr>
                <w:color w:val="000000"/>
                <w:sz w:val="19"/>
              </w:rPr>
              <w:t xml:space="preserve"> </w:t>
            </w:r>
            <m:oMath>
              <m:sSub>
                <m:e>
                  <m:r>
                    <m:t>S</m:t>
                    <w:rPr>
                      <w:rFonts w:ascii="Cambria Math" w:hAnsi="Cambria Math"/>
                    </w:rPr>
                  </m:r>
                </m:e>
                <m:sub>
                  <m:r>
                    <m:t>0</m:t>
                    <w:rPr>
                      <w:rFonts w:ascii="Cambria Math" w:hAnsi="Cambria Math"/>
                    </w:rPr>
                  </m:r>
                </m:sub>
              </m:sSub>
            </m:oMath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一组坐标，使</w:t>
            </w:r>
            <m:oMath>
              <m:r>
                <m:t>Y</m:t>
                <w:rPr>
                  <w:rFonts w:ascii="Cambria Math" w:hAnsi="Cambria Math"/>
                </w:rPr>
              </m:r>
            </m:oMath>
            <w:r>
              <w:rPr>
                <w:color w:val="000000"/>
                <w:sz w:val="19"/>
              </w:rPr>
              <w:t xml:space="preserve">的条件分布通过</w:t>
            </w:r>
            <m:oMath>
              <m:r>
                <m:t>X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  <m:sSub>
                <m:e>
                  <m:r>
                    <m:t>S</m:t>
                    <w:rPr>
                      <w:rFonts w:ascii="Cambria Math" w:hAnsi="Cambria Math"/>
                    </w:rPr>
                  </m:r>
                </m:e>
                <m:sub>
                  <m:r>
                    <m:t>0</m:t>
                    <w:rPr>
                      <w:rFonts w:ascii="Cambria Math" w:hAnsi="Cambria Math"/>
                    </w:rPr>
                  </m:r>
                </m:sub>
              </m:sSub>
              <m:r>
                <m:rPr>
                  <m:sty m:val="p"/>
                </m:rPr>
                <m:t>)</m:t>
                <w:rPr>
                  <w:rFonts w:ascii="Cambria Math" w:hAnsi="Cambria Math"/>
                </w:rPr>
              </m:r>
            </m:oMath>
            <w:r>
              <w:rPr>
                <w:color w:val="000000"/>
                <w:sz w:val="19"/>
              </w:rPr>
              <w:t xml:space="preserve">决定</w:t>
            </w:r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对当前任务足够有用的变量集合；本文是坐标选择，不是任意旋转后的线性子空间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经验信号集</w:t>
            </w:r>
            <w:r>
              <w:rPr>
                <w:color w:val="000000"/>
                <w:sz w:val="19"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  <w:rPr>
                      <w:rFonts w:ascii="Cambria Math" w:hAnsi="Cambria Math"/>
                    </w:rPr>
                  </m:r>
                </m:e>
              </m:acc>
            </m:oMath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从有限训练样本和森林估计的坐标集合</w:t>
            </w:r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实际检测用的变量；不等于已知的真实</w:t>
            </w:r>
            <m:oMath>
              <m:sSub>
                <m:e>
                  <m:r>
                    <m:t>S</m:t>
                    <w:rPr>
                      <w:rFonts w:ascii="Cambria Math" w:hAnsi="Cambria Math"/>
                    </w:rPr>
                  </m:r>
                </m:e>
                <m:sub>
                  <m:r>
                    <m:t>0</m:t>
                    <w:rPr>
                      <w:rFonts w:ascii="Cambria Math" w:hAnsi="Cambria Math"/>
                    </w:rPr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model-aware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评分构造依赖监督训练得到的</w:t>
            </w:r>
            <m:oMath>
              <m:acc>
                <m:accPr>
                  <m:chr m:val="̂"/>
                </m:accPr>
                <m:e>
                  <m:r>
                    <m:t>f</m:t>
                    <w:rPr>
                      <w:rFonts w:ascii="Cambria Math" w:hAnsi="Cambria Math"/>
                    </w:rPr>
                  </m:r>
                </m:e>
              </m:acc>
            </m:oMath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同样的训练输入换一套输出，森林和OOD评分可能改变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subspace-aware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参考集合形成之后，最终差异只在选定坐标计算</w:t>
            </w:r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减少无关维度稀释；参考邻域仍可能通过完整树规则受其他坐标影响</w:t>
            </w:r>
          </w:p>
        </w:tc>
      </w:tr>
    </w:tbl>
    <w:p>
      <w:pPr>
        <w:pStyle w:val="BodyText"/>
        <w:widowControl/>
      </w:pPr>
      <w:r>
        <w:rPr>
          <w:bCs/>
          <w:b/>
        </w:rPr>
        <w:t xml:space="preserve">D 必需公式。</w:t>
      </w:r>
      <w:r>
        <w:t xml:space="preserve"> </w:t>
      </w:r>
      <w:r>
        <w:t xml:space="preserve">[pp.2–3]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P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r>
            <m:t>Y</m:t>
            <w:rPr>
              <w:rFonts w:ascii="Cambria Math" w:hAnsi="Cambria Math"/>
            </w:rPr>
          </m:r>
          <m:r>
            <m:rPr>
              <m:sty m:val="p"/>
            </m:rPr>
            <m:t>∈</m:t>
            <w:rPr>
              <w:rFonts w:ascii="Cambria Math" w:hAnsi="Cambria Math"/>
            </w:rPr>
          </m:r>
          <m:r>
            <m:t>A</m:t>
            <w:rPr>
              <w:rFonts w:ascii="Cambria Math" w:hAnsi="Cambria Math"/>
            </w:rPr>
          </m:r>
          <m:r>
            <m:rPr>
              <m:sty m:val="p"/>
            </m:rPr>
            <m:t>∣</m:t>
            <w:rPr>
              <w:rFonts w:ascii="Cambria Math" w:hAnsi="Cambria Math"/>
            </w:rPr>
          </m:r>
          <m:r>
            <m:t>X</m:t>
            <w:rPr>
              <w:rFonts w:ascii="Cambria Math" w:hAnsi="Cambria Math"/>
            </w:rPr>
          </m:r>
          <m:r>
            <m:rPr>
              <m:sty m:val="p"/>
            </m:rPr>
            <m:t>=</m:t>
            <w:rPr>
              <w:rFonts w:ascii="Cambria Math" w:hAnsi="Cambria Math"/>
            </w:rPr>
          </m:r>
          <m:r>
            <m:t>x</m:t>
            <w:rPr>
              <w:rFonts w:ascii="Cambria Math" w:hAnsi="Cambria Math"/>
            </w:rPr>
          </m:r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=</m:t>
            <w:rPr>
              <w:rFonts w:ascii="Cambria Math" w:hAnsi="Cambria Math"/>
            </w:rPr>
          </m:r>
          <m:r>
            <m:t>P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r>
            <m:t>Y</m:t>
            <w:rPr>
              <w:rFonts w:ascii="Cambria Math" w:hAnsi="Cambria Math"/>
            </w:rPr>
          </m:r>
          <m:r>
            <m:rPr>
              <m:sty m:val="p"/>
            </m:rPr>
            <m:t>∈</m:t>
            <w:rPr>
              <w:rFonts w:ascii="Cambria Math" w:hAnsi="Cambria Math"/>
            </w:rPr>
          </m:r>
          <m:r>
            <m:t>A</m:t>
            <w:rPr>
              <w:rFonts w:ascii="Cambria Math" w:hAnsi="Cambria Math"/>
            </w:rPr>
          </m:r>
          <m:r>
            <m:rPr>
              <m:sty m:val="p"/>
            </m:rPr>
            <m:t>∣</m:t>
            <w:rPr>
              <w:rFonts w:ascii="Cambria Math" w:hAnsi="Cambria Math"/>
            </w:rPr>
          </m:r>
          <m:r>
            <m:t>X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S</m:t>
                <w:rPr>
                  <w:rFonts w:ascii="Cambria Math" w:hAnsi="Cambria Math"/>
                </w:rPr>
              </m:r>
            </m:e>
            <m:sub>
              <m:r>
                <m:t>0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=</m:t>
            <w:rPr>
              <w:rFonts w:ascii="Cambria Math" w:hAnsi="Cambria Math"/>
            </w:rPr>
          </m:r>
          <m:r>
            <m:t>x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S</m:t>
                <w:rPr>
                  <w:rFonts w:ascii="Cambria Math" w:hAnsi="Cambria Math"/>
                </w:rPr>
              </m:r>
            </m:e>
            <m:sub>
              <m:r>
                <m:t>0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.</m:t>
            <w:rPr>
              <w:rFonts w:ascii="Cambria Math" w:hAnsi="Cambria Math"/>
            </w:rPr>
          </m:r>
        </m:oMath>
      </m:oMathPara>
    </w:p>
    <w:p>
      <w:pPr>
        <w:pStyle w:val="FirstParagraph"/>
        <w:widowControl/>
      </w:pPr>
      <m:oMath>
        <m:r>
          <m:t>A</m:t>
          <w:rPr>
            <w:rFonts w:ascii="Cambria Math" w:hAnsi="Cambria Math"/>
          </w:rPr>
        </m:r>
      </m:oMath>
      <w:r>
        <w:t xml:space="preserve"> </w:t>
      </w:r>
      <w:r>
        <w:t xml:space="preserve">为输出事件集合；</w:t>
      </w:r>
      <m:oMath>
        <m:r>
          <m:t>x</m:t>
          <w:rPr>
            <w:rFonts w:ascii="Cambria Math" w:hAnsi="Cambria Math"/>
          </w:rPr>
        </m:r>
        <m:r>
          <m:rPr>
            <m:sty m:val="p"/>
          </m:rPr>
          <m:t>(</m:t>
          <w:rPr>
            <w:rFonts w:ascii="Cambria Math" w:hAnsi="Cambria Math"/>
          </w:rPr>
        </m:r>
        <m:sSub>
          <m:e>
            <m:r>
              <m:t>S</m:t>
              <w:rPr>
                <w:rFonts w:ascii="Cambria Math" w:hAnsi="Cambria Math"/>
              </w:rPr>
            </m:r>
          </m:e>
          <m:sub>
            <m:r>
              <m:t>0</m:t>
              <w:rPr>
                <w:rFonts w:ascii="Cambria Math" w:hAnsi="Cambria Math"/>
              </w:rPr>
            </m:r>
          </m:sub>
        </m:sSub>
        <m:r>
          <m:rPr>
            <m:sty m:val="p"/>
          </m:rPr>
          <m:t>)</m:t>
          <w:rPr>
            <w:rFonts w:ascii="Cambria Math" w:hAnsi="Cambria Math"/>
          </w:rPr>
        </m:r>
      </m:oMath>
      <w:r>
        <w:t xml:space="preserve"> </w:t>
      </w:r>
      <w:r>
        <w:t xml:space="preserve">为从输入中取出的指定坐标；等式在训练输入分布几乎处处成立，不要求</w:t>
      </w:r>
      <w:r>
        <w:t xml:space="preserve"> </w:t>
      </w:r>
      <m:oMath>
        <m:sSub>
          <m:e>
            <m:r>
              <m:t>S</m:t>
              <w:rPr>
                <w:rFonts w:ascii="Cambria Math" w:hAnsi="Cambria Math"/>
              </w:rPr>
            </m:r>
          </m:e>
          <m:sub>
            <m:r>
              <m:t>0</m:t>
              <w:rPr>
                <w:rFonts w:ascii="Cambria Math" w:hAnsi="Cambria Math"/>
              </w:rPr>
            </m:r>
          </m:sub>
        </m:sSub>
      </m:oMath>
      <w:r>
        <w:t xml:space="preserve"> </w:t>
      </w:r>
      <w:r>
        <w:t xml:space="preserve">唯一或最小。它描述总体目标，不是一个可直接计算的筛选算法。</w:t>
      </w:r>
    </w:p>
    <w:p>
      <w:pPr>
        <w:pStyle w:val="BodyText"/>
        <w:widowControl/>
      </w:pPr>
      <w:r>
        <w:t xml:space="preserve">教学例：</w:t>
      </w:r>
      <m:oMath>
        <m:r>
          <m:t>Y</m:t>
          <w:rPr>
            <w:rFonts w:ascii="Cambria Math" w:hAnsi="Cambria Math"/>
          </w:rPr>
        </m:r>
        <m:r>
          <m:rPr>
            <m:sty m:val="p"/>
          </m:rPr>
          <m:t>=</m:t>
          <w:rPr>
            <w:rFonts w:ascii="Cambria Math" w:hAnsi="Cambria Math"/>
          </w:rPr>
        </m:r>
        <m:r>
          <m:t>2</m:t>
          <w:rPr>
            <w:rFonts w:ascii="Cambria Math" w:hAnsi="Cambria Math"/>
          </w:rPr>
        </m:r>
        <m:sSub>
          <m:e>
            <m:r>
              <m:t>X</m:t>
              <w:rPr>
                <w:rFonts w:ascii="Cambria Math" w:hAnsi="Cambria Math"/>
              </w:rPr>
            </m:r>
          </m:e>
          <m:sub>
            <m:r>
              <m:t>1</m:t>
              <w:rPr>
                <w:rFonts w:ascii="Cambria Math" w:hAnsi="Cambria Math"/>
              </w:rPr>
            </m:r>
          </m:sub>
        </m:sSub>
        <m:r>
          <m:rPr>
            <m:sty m:val="p"/>
          </m:rPr>
          <m:t>+</m:t>
          <w:rPr>
            <w:rFonts w:ascii="Cambria Math" w:hAnsi="Cambria Math"/>
          </w:rPr>
        </m:r>
        <m:r>
          <m:t>ϵ</m:t>
          <w:rPr>
            <w:rFonts w:ascii="Cambria Math" w:hAnsi="Cambria Math"/>
          </w:rPr>
        </m:r>
      </m:oMath>
      <w:r>
        <w:t xml:space="preserve">，</w:t>
      </w:r>
      <m:oMath>
        <m:sSub>
          <m:e>
            <m:r>
              <m:t>X</m:t>
              <w:rPr>
                <w:rFonts w:ascii="Cambria Math" w:hAnsi="Cambria Math"/>
              </w:rPr>
            </m:r>
          </m:e>
          <m:sub>
            <m:r>
              <m:t>2</m:t>
              <w:rPr>
                <w:rFonts w:ascii="Cambria Math" w:hAnsi="Cambria Math"/>
              </w:rPr>
            </m:r>
          </m:sub>
        </m:sSub>
      </m:oMath>
      <w:r>
        <w:t xml:space="preserve"> </w:t>
      </w:r>
      <w:r>
        <w:t xml:space="preserve">与</w:t>
      </w:r>
      <m:oMath>
        <m:sSub>
          <m:e>
            <m:r>
              <m:t>X</m:t>
              <w:rPr>
                <w:rFonts w:ascii="Cambria Math" w:hAnsi="Cambria Math"/>
              </w:rPr>
            </m:r>
          </m:e>
          <m:sub>
            <m:r>
              <m:t>1</m:t>
              <w:rPr>
                <w:rFonts w:ascii="Cambria Math" w:hAnsi="Cambria Math"/>
              </w:rPr>
            </m:r>
          </m:sub>
        </m:sSub>
        <m:r>
          <m:rPr>
            <m:sty m:val="p"/>
          </m:rPr>
          <m:t>,</m:t>
          <w:rPr>
            <w:rFonts w:ascii="Cambria Math" w:hAnsi="Cambria Math"/>
          </w:rPr>
        </m:r>
        <m:r>
          <m:t>ϵ</m:t>
          <w:rPr>
            <w:rFonts w:ascii="Cambria Math" w:hAnsi="Cambria Math"/>
          </w:rPr>
        </m:r>
      </m:oMath>
      <w:r>
        <w:t xml:space="preserve">独立，则</w:t>
      </w:r>
      <m:oMath>
        <m:sSub>
          <m:e>
            <m:r>
              <m:t>S</m:t>
              <w:rPr>
                <w:rFonts w:ascii="Cambria Math" w:hAnsi="Cambria Math"/>
              </w:rPr>
            </m:r>
          </m:e>
          <m:sub>
            <m:r>
              <m:t>0</m:t>
              <w:rPr>
                <w:rFonts w:ascii="Cambria Math" w:hAnsi="Cambria Math"/>
              </w:rPr>
            </m:r>
          </m:sub>
        </m:sSub>
        <m:r>
          <m:rPr>
            <m:sty m:val="p"/>
          </m:rPr>
          <m:t>=</m:t>
          <w:rPr>
            <w:rFonts w:ascii="Cambria Math" w:hAnsi="Cambria Math"/>
          </w:rPr>
        </m:r>
        <m:r>
          <m:rPr>
            <m:sty m:val="p"/>
          </m:rPr>
          <m:t>{</m:t>
          <w:rPr>
            <w:rFonts w:ascii="Cambria Math" w:hAnsi="Cambria Math"/>
          </w:rPr>
        </m:r>
        <m:r>
          <m:t>1</m:t>
          <w:rPr>
            <w:rFonts w:ascii="Cambria Math" w:hAnsi="Cambria Math"/>
          </w:rPr>
        </m:r>
        <m:r>
          <m:rPr>
            <m:sty m:val="p"/>
          </m:rPr>
          <m:t>}</m:t>
          <w:rPr>
            <w:rFonts w:ascii="Cambria Math" w:hAnsi="Cambria Math"/>
          </w:rPr>
        </m:r>
      </m:oMath>
      <w:r>
        <w:t xml:space="preserve">有效。</w:t>
      </w:r>
      <m:oMath>
        <m:sSub>
          <m:e>
            <m:r>
              <m:t>X</m:t>
              <w:rPr>
                <w:rFonts w:ascii="Cambria Math" w:hAnsi="Cambria Math"/>
              </w:rPr>
            </m:r>
          </m:e>
          <m:sub>
            <m:r>
              <m:t>2</m:t>
              <w:rPr>
                <w:rFonts w:ascii="Cambria Math" w:hAnsi="Cambria Math"/>
              </w:rPr>
            </m:r>
          </m:sub>
        </m:sSub>
      </m:oMath>
      <w:r>
        <w:t xml:space="preserve">异常不必意味着</w:t>
      </w:r>
      <m:oMath>
        <m:r>
          <m:t>Y</m:t>
          <w:rPr>
            <w:rFonts w:ascii="Cambria Math" w:hAnsi="Cambria Math"/>
          </w:rPr>
        </m:r>
      </m:oMath>
      <w:r>
        <w:t xml:space="preserve">预测缺乏依据。但这是概念例子；主算法若只选中一个变量会出现Gini退化，详见§8。</w:t>
      </w:r>
    </w:p>
    <w:p>
      <w:pPr>
        <w:pStyle w:val="BodyText"/>
        <w:widowControl/>
      </w:pPr>
      <w:r>
        <w:rPr>
          <w:bCs/>
          <w:b/>
        </w:rPr>
        <w:t xml:space="preserve">E 本节结论。</w:t>
      </w:r>
    </w:p>
    <w:p>
      <w:pPr>
        <w:widowControl/>
        <w:numPr>
          <w:ilvl w:val="0"/>
          <w:numId w:val="1001"/>
        </w:numPr>
        <w:pStyle w:val="Compact"/>
      </w:pPr>
      <w:r>
        <w:t xml:space="preserve">学习外应说明相对哪个训练分布和预测任务。</w:t>
      </w:r>
    </w:p>
    <w:p>
      <w:pPr>
        <w:widowControl/>
        <w:numPr>
          <w:ilvl w:val="0"/>
          <w:numId w:val="1001"/>
        </w:numPr>
        <w:pStyle w:val="Compact"/>
      </w:pPr>
      <w:r>
        <w:t xml:space="preserve">真实预测坐标与有限数据选出的坐标不可混同。</w:t>
      </w:r>
    </w:p>
    <w:p>
      <w:pPr>
        <w:widowControl/>
        <w:numPr>
          <w:ilvl w:val="0"/>
          <w:numId w:val="1001"/>
        </w:numPr>
        <w:pStyle w:val="Compact"/>
      </w:pPr>
      <w:r>
        <w:t xml:space="preserve">本文检测协变量层面偏离，不能覆盖所有联合分布变化。</w:t>
      </w:r>
    </w:p>
    <w:bookmarkEnd w:id="26"/>
    <w:bookmarkStart w:id="27" w:name="related-work检测分数与阈值校准是两层问题"/>
    <w:p>
      <w:pPr>
        <w:pStyle w:val="Heading3"/>
        <w:widowControl/>
      </w:pPr>
      <w:r>
        <w:rPr>
          <w:color w:val="000000"/>
        </w:rPr>
        <w:t xml:space="preserve">3.2 Related work：检测分数与阈值校准是两层问题</w:t>
      </w:r>
    </w:p>
    <w:p>
      <w:pPr>
        <w:pStyle w:val="FirstParagraph"/>
        <w:widowControl/>
      </w:pPr>
      <w:r>
        <w:rPr>
          <w:bCs/>
          <w:b/>
        </w:rPr>
        <w:t xml:space="preserve">A 讲什么。</w:t>
      </w:r>
      <w:r>
        <w:t xml:space="preserve"> </w:t>
      </w:r>
      <w:r>
        <w:t xml:space="preserve">对比分类分数、回归不确定性、输入几何／密度和conformal校准。</w:t>
      </w:r>
    </w:p>
    <w:p>
      <w:pPr>
        <w:pStyle w:val="BodyText"/>
        <w:widowControl/>
      </w:pPr>
      <w:r>
        <w:rPr>
          <w:bCs/>
          <w:b/>
        </w:rPr>
        <w:t xml:space="preserve">B 为什么讲。</w:t>
      </w:r>
      <w:r>
        <w:t xml:space="preserve"> </w:t>
      </w:r>
      <w:r>
        <w:t xml:space="preserve">确定贡献在</w:t>
      </w:r>
      <w:r>
        <w:t xml:space="preserve">“</w:t>
      </w:r>
      <w:r>
        <w:t xml:space="preserve">设计预测相关的评分</w:t>
      </w:r>
      <w:r>
        <w:t xml:space="preserve">”</w:t>
      </w:r>
      <w:r>
        <w:t xml:space="preserve">，而不是声称提出完整的报警率保证。</w:t>
      </w:r>
    </w:p>
    <w:p>
      <w:pPr>
        <w:pStyle w:val="BodyText"/>
        <w:widowControl/>
      </w:pPr>
      <w:r>
        <w:rPr>
          <w:bCs/>
          <w:b/>
        </w:rPr>
        <w:t xml:space="preserve">C 关键概念。</w:t>
      </w:r>
      <w:r>
        <w:t xml:space="preserve"> </w:t>
      </w:r>
      <w:r>
        <w:t xml:space="preserve">密度</w:t>
      </w:r>
      <w:r>
        <w:t xml:space="preserve"> </w:t>
      </w:r>
      <m:oMath>
        <m:sSub>
          <m:e>
            <m:r>
              <m:t>p</m:t>
              <w:rPr>
                <w:rFonts w:ascii="Cambria Math" w:hAnsi="Cambria Math"/>
              </w:rPr>
            </m:r>
          </m:e>
          <m:sub>
            <m:r>
              <m:t>X</m:t>
              <w:rPr>
                <w:rFonts w:ascii="Cambria Math" w:hAnsi="Cambria Math"/>
              </w:rPr>
            </m:r>
          </m:sub>
        </m:sSub>
        <m:r>
          <m:rPr>
            <m:sty m:val="p"/>
          </m:rPr>
          <m:t>(</m:t>
          <w:rPr>
            <w:rFonts w:ascii="Cambria Math" w:hAnsi="Cambria Math"/>
          </w:rPr>
        </m:r>
        <m:r>
          <m:t>x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</m:oMath>
      <w:r>
        <w:t xml:space="preserve"> </w:t>
      </w:r>
      <w:r>
        <w:t xml:space="preserve">表示输入在总体中的集中程度，直观上是</w:t>
      </w:r>
      <w:r>
        <w:t xml:space="preserve">“</w:t>
      </w:r>
      <w:r>
        <w:t xml:space="preserve">少不少见</w:t>
      </w:r>
      <w:r>
        <w:t xml:space="preserve">”</w:t>
      </w:r>
      <w:r>
        <w:t xml:space="preserve">；预测方差</w:t>
      </w:r>
      <w:r>
        <w:t xml:space="preserve"> </w:t>
      </w:r>
      <m:oMath>
        <m:r>
          <m:rPr>
            <m:sty m:val="p"/>
          </m:rPr>
          <m:t>V</m:t>
          <w:rPr>
            <w:rFonts w:ascii="Cambria Math" w:hAnsi="Cambria Math"/>
          </w:rPr>
        </m:r>
        <m:r>
          <m:rPr>
            <m:sty m:val="p"/>
          </m:rPr>
          <m:t>a</m:t>
          <w:rPr>
            <w:rFonts w:ascii="Cambria Math" w:hAnsi="Cambria Math"/>
          </w:rPr>
        </m:r>
        <m:r>
          <m:rPr>
            <m:sty m:val="p"/>
          </m:rPr>
          <m:t>r</m:t>
          <w:rPr>
            <w:rFonts w:ascii="Cambria Math" w:hAnsi="Cambria Math"/>
          </w:rPr>
        </m:r>
        <m:r>
          <m:rPr>
            <m:sty m:val="p"/>
          </m:rPr>
          <m:t>(</m:t>
          <w:rPr>
            <w:rFonts w:ascii="Cambria Math" w:hAnsi="Cambria Math"/>
          </w:rPr>
        </m:r>
        <m:acc>
          <m:accPr>
            <m:chr m:val="̂"/>
          </m:accPr>
          <m:e>
            <m:r>
              <m:t>Y</m:t>
              <w:rPr>
                <w:rFonts w:ascii="Cambria Math" w:hAnsi="Cambria Math"/>
              </w:rPr>
            </m:r>
          </m:e>
        </m:acc>
        <m:r>
          <m:rPr>
            <m:sty m:val="p"/>
          </m:rPr>
          <m:t>∣</m:t>
          <w:rPr>
            <w:rFonts w:ascii="Cambria Math" w:hAnsi="Cambria Math"/>
          </w:rPr>
        </m:r>
        <m:r>
          <m:t>x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</m:oMath>
      <w:r>
        <w:t xml:space="preserve"> </w:t>
      </w:r>
      <w:r>
        <w:t xml:space="preserve">表示预测分散程度，直观上是</w:t>
      </w:r>
      <w:r>
        <w:t xml:space="preserve">“</w:t>
      </w:r>
      <w:r>
        <w:t xml:space="preserve">模型犹豫多少</w:t>
      </w:r>
      <w:r>
        <w:t xml:space="preserve">”</w:t>
      </w:r>
      <w:r>
        <w:t xml:space="preserve">；nonconformity score是供校准使用的不符合度；校准把分数转换为阈值或检验结果。三者都可与学习外有关，但不等价。</w:t>
      </w:r>
    </w:p>
    <w:p>
      <w:pPr>
        <w:pStyle w:val="BodyText"/>
        <w:widowControl/>
      </w:pPr>
      <w:r>
        <w:rPr>
          <w:bCs/>
          <w:b/>
        </w:rPr>
        <w:t xml:space="preserve">D 公式说明。</w:t>
      </w:r>
      <w:r>
        <w:t xml:space="preserve"> </w:t>
      </w:r>
      <w:r>
        <w:t xml:space="preserve">本节无理解OutPro必需的新公式。不确定性和密度的基线评分见§5；不要把</w:t>
      </w:r>
      <w:r>
        <w:t xml:space="preserve"> </w:t>
      </w:r>
      <m:oMath>
        <m:r>
          <m:t>1</m:t>
          <w:rPr>
            <w:rFonts w:ascii="Cambria Math" w:hAnsi="Cambria Math"/>
          </w:rPr>
        </m:r>
        <m:r>
          <m:rPr>
            <m:sty m:val="p"/>
          </m:rPr>
          <m:t>/</m:t>
          <w:rPr>
            <w:rFonts w:ascii="Cambria Math" w:hAnsi="Cambria Math"/>
          </w:rPr>
        </m:r>
        <m:sSub>
          <m:e>
            <m:r>
              <m:t>p</m:t>
              <w:rPr>
                <w:rFonts w:ascii="Cambria Math" w:hAnsi="Cambria Math"/>
              </w:rPr>
            </m:r>
          </m:e>
          <m:sub>
            <m:r>
              <m:t>X</m:t>
              <w:rPr>
                <w:rFonts w:ascii="Cambria Math" w:hAnsi="Cambria Math"/>
              </w:rPr>
            </m:r>
          </m:sub>
        </m:sSub>
        <m:r>
          <m:rPr>
            <m:sty m:val="p"/>
          </m:rPr>
          <m:t>(</m:t>
          <w:rPr>
            <w:rFonts w:ascii="Cambria Math" w:hAnsi="Cambria Math"/>
          </w:rPr>
        </m:r>
        <m:r>
          <m:t>x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</m:oMath>
      <w:r>
        <w:t xml:space="preserve"> </w:t>
      </w:r>
      <w:r>
        <w:t xml:space="preserve">当成OutPro的定义。</w:t>
      </w:r>
    </w:p>
    <w:p>
      <w:pPr>
        <w:pStyle w:val="BodyText"/>
        <w:widowControl/>
      </w:pPr>
      <w:r>
        <w:rPr>
          <w:bCs/>
          <w:b/>
        </w:rPr>
        <w:t xml:space="preserve">E 本节结论。</w:t>
      </w:r>
    </w:p>
    <w:p>
      <w:pPr>
        <w:widowControl/>
        <w:numPr>
          <w:ilvl w:val="0"/>
          <w:numId w:val="1002"/>
        </w:numPr>
        <w:pStyle w:val="Compact"/>
      </w:pPr>
      <w:r>
        <w:t xml:space="preserve">OutPro属于监督模型引导的距离检测。</w:t>
      </w:r>
    </w:p>
    <w:p>
      <w:pPr>
        <w:widowControl/>
        <w:numPr>
          <w:ilvl w:val="0"/>
          <w:numId w:val="1002"/>
        </w:numPr>
        <w:pStyle w:val="Compact"/>
      </w:pPr>
      <w:r>
        <w:t xml:space="preserve">Conformal可以作为评分之后的扩展；论文把OutPro的conformal校准留给未来。</w:t>
      </w:r>
    </w:p>
    <w:p>
      <w:pPr>
        <w:widowControl/>
        <w:numPr>
          <w:ilvl w:val="0"/>
          <w:numId w:val="1002"/>
        </w:numPr>
        <w:pStyle w:val="Compact"/>
      </w:pPr>
      <w:r>
        <w:t xml:space="preserve">是否使用模型输出、是否使用内部规则，属于不同分类轴。</w:t>
      </w:r>
    </w:p>
    <w:bookmarkEnd w:id="27"/>
    <w:bookmarkStart w:id="28" w:name="methodology-3.1varpro如何选择变量"/>
    <w:p>
      <w:pPr>
        <w:pStyle w:val="Heading3"/>
        <w:widowControl/>
      </w:pPr>
      <w:r>
        <w:rPr>
          <w:color w:val="000000"/>
        </w:rPr>
        <w:t xml:space="preserve">3.3 Methodology 3.1：VarPro如何选择变量</w:t>
      </w:r>
    </w:p>
    <w:p>
      <w:pPr>
        <w:pStyle w:val="FirstParagraph"/>
        <w:widowControl/>
      </w:pPr>
      <w:r>
        <w:rPr>
          <w:bCs/>
          <w:b/>
        </w:rPr>
        <w:t xml:space="preserve">A 讲什么。</w:t>
      </w:r>
      <w:r>
        <w:t xml:space="preserve"> </w:t>
      </w:r>
      <w:r>
        <w:t xml:space="preserve">在树规则区域中，去掉某一个变量的限制，观察训练样本的输出行为是否改变；改变明显的变量获得较高优先度。[pp.6–7]</w:t>
      </w:r>
    </w:p>
    <w:p>
      <w:pPr>
        <w:pStyle w:val="BodyText"/>
        <w:widowControl/>
      </w:pPr>
      <w:r>
        <w:rPr>
          <w:bCs/>
          <w:b/>
        </w:rPr>
        <w:t xml:space="preserve">B 为什么讲。</w:t>
      </w:r>
      <w:r>
        <w:t xml:space="preserve"> </w:t>
      </w:r>
      <w:r>
        <w:t xml:space="preserve">一次提供最终比较所需的信号集</w:t>
      </w:r>
      <m:oMath>
        <m:r>
          <m:t>S</m:t>
          <w:rPr>
            <w:rFonts w:ascii="Cambria Math" w:hAnsi="Cambria Math"/>
          </w:rPr>
        </m:r>
      </m:oMath>
      <w:r>
        <w:t xml:space="preserve">与权重</w:t>
      </w:r>
      <m:oMath>
        <m:sSub>
          <m:e>
            <m:r>
              <m:t>w</m:t>
              <w:rPr>
                <w:rFonts w:ascii="Cambria Math" w:hAnsi="Cambria Math"/>
              </w:rPr>
            </m:r>
          </m:e>
          <m:sub>
            <m:r>
              <m:t>s</m:t>
              <w:rPr>
                <w:rFonts w:ascii="Cambria Math" w:hAnsi="Cambria Math"/>
              </w:rPr>
            </m:r>
          </m:sub>
        </m:sSub>
      </m:oMath>
      <w:r>
        <w:t xml:space="preserve">。选择错误会同时影响参考邻域和最终距离。</w:t>
      </w:r>
    </w:p>
    <w:p>
      <w:pPr>
        <w:pStyle w:val="BodyText"/>
        <w:widowControl/>
      </w:pPr>
      <w:r>
        <w:rPr>
          <w:bCs/>
          <w:b/>
        </w:rPr>
        <w:t xml:space="preserve">C 关键概念。</w:t>
      </w:r>
      <w:r>
        <w:t xml:space="preserve"> </w:t>
      </w:r>
      <w:r>
        <w:t xml:space="preserve">决策规则是根到叶的一串约束；规则区域是这些约束的交集；release region删除一个坐标的全部限制、保留其余限制。VarPro不是简单统计</w:t>
      </w:r>
      <w:r>
        <w:t xml:space="preserve">“</w:t>
      </w:r>
      <w:r>
        <w:t xml:space="preserve">变量被切分了几次</w:t>
      </w:r>
      <w:r>
        <w:t xml:space="preserve">”</w:t>
      </w:r>
      <w:r>
        <w:t xml:space="preserve">，也不等同于置换重要性。</w:t>
      </w:r>
    </w:p>
    <w:p>
      <w:pPr>
        <w:pStyle w:val="BodyText"/>
        <w:widowControl/>
      </w:pPr>
      <w:r>
        <w:rPr>
          <w:bCs/>
          <w:b/>
        </w:rPr>
        <w:t xml:space="preserve">D 二维释放例。</w:t>
      </w:r>
      <w:r>
        <w:t xml:space="preserve"> </w:t>
      </w:r>
      <w:r>
        <w:t xml:space="preserve">设某规则为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R</m:t>
            <w:rPr>
              <w:rFonts w:ascii="Cambria Math" w:hAnsi="Cambria Math"/>
            </w:rPr>
          </m:r>
          <m:r>
            <m:rPr>
              <m:sty m:val="p"/>
            </m:rPr>
            <m:t>=</m:t>
            <w:rPr>
              <w:rFonts w:ascii="Cambria Math" w:hAnsi="Cambria Math"/>
            </w:rPr>
          </m:r>
          <m:r>
            <m:rPr>
              <m:sty m:val="p"/>
            </m:rPr>
            <m:t>{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1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,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2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:</m:t>
            <w:rPr>
              <w:rFonts w:ascii="Cambria Math" w:hAnsi="Cambria Math"/>
            </w:rPr>
          </m:r>
          <m:r>
            <m:t>0</m:t>
            <w:rPr>
              <w:rFonts w:ascii="Cambria Math" w:hAnsi="Cambria Math"/>
            </w:rPr>
          </m:r>
          <m:r>
            <m:rPr>
              <m:sty m:val="p"/>
            </m:rPr>
            <m:t>≤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1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≤</m:t>
            <w:rPr>
              <w:rFonts w:ascii="Cambria Math" w:hAnsi="Cambria Math"/>
            </w:rPr>
          </m:r>
          <m:r>
            <m:t>1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r>
            <m:t> </m:t>
            <w:rPr>
              <w:rFonts w:ascii="Cambria Math" w:hAnsi="Cambria Math"/>
            </w:rPr>
          </m:r>
          <m:r>
            <m:t>0</m:t>
            <w:rPr>
              <w:rFonts w:ascii="Cambria Math" w:hAnsi="Cambria Math"/>
            </w:rPr>
          </m:r>
          <m:r>
            <m:rPr>
              <m:sty m:val="p"/>
            </m:rPr>
            <m:t>≤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2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≤</m:t>
            <w:rPr>
              <w:rFonts w:ascii="Cambria Math" w:hAnsi="Cambria Math"/>
            </w:rPr>
          </m:r>
          <m:r>
            <m:t>1</m:t>
            <w:rPr>
              <w:rFonts w:ascii="Cambria Math" w:hAnsi="Cambria Math"/>
            </w:rPr>
          </m:r>
          <m:r>
            <m:rPr>
              <m:sty m:val="p"/>
            </m:rPr>
            <m:t>}</m:t>
            <w:rPr>
              <w:rFonts w:ascii="Cambria Math" w:hAnsi="Cambria Math"/>
            </w:rPr>
          </m:r>
          <m:r>
            <m:rPr>
              <m:sty m:val="p"/>
            </m:rPr>
            <m:t>.</m:t>
            <w:rPr>
              <w:rFonts w:ascii="Cambria Math" w:hAnsi="Cambria Math"/>
            </w:rPr>
          </m:r>
        </m:oMath>
      </m:oMathPara>
    </w:p>
    <w:p>
      <w:pPr>
        <w:pStyle w:val="FirstParagraph"/>
        <w:widowControl/>
      </w:pPr>
      <w:r>
        <w:t xml:space="preserve">释放</w:t>
      </w:r>
      <m:oMath>
        <m:sSub>
          <m:e>
            <m:r>
              <m:t>x</m:t>
              <w:rPr>
                <w:rFonts w:ascii="Cambria Math" w:hAnsi="Cambria Math"/>
              </w:rPr>
            </m:r>
          </m:e>
          <m:sub>
            <m:r>
              <m:t>1</m:t>
              <w:rPr>
                <w:rFonts w:ascii="Cambria Math" w:hAnsi="Cambria Math"/>
              </w:rPr>
            </m:r>
          </m:sub>
        </m:sSub>
      </m:oMath>
      <w:r>
        <w:t xml:space="preserve">：</w:t>
      </w:r>
      <m:oMath>
        <m:sSup>
          <m:e>
            <m:r>
              <m:t>R</m:t>
              <w:rPr>
                <w:rFonts w:ascii="Cambria Math" w:hAnsi="Cambria Math"/>
              </w:rPr>
            </m:r>
          </m:e>
          <m:sup>
            <m:r>
              <m:t>1</m:t>
              <w:rPr>
                <w:rFonts w:ascii="Cambria Math" w:hAnsi="Cambria Math"/>
              </w:rPr>
            </m:r>
          </m:sup>
        </m:sSup>
        <m:r>
          <m:rPr>
            <m:sty m:val="p"/>
          </m:rPr>
          <m:t>=</m:t>
          <w:rPr>
            <w:rFonts w:ascii="Cambria Math" w:hAnsi="Cambria Math"/>
          </w:rPr>
        </m:r>
        <m:r>
          <m:rPr>
            <m:sty m:val="p"/>
            <m:scr m:val="double-struck"/>
          </m:rPr>
          <m:t>R</m:t>
          <w:rPr>
            <w:rFonts w:ascii="Cambria Math" w:hAnsi="Cambria Math"/>
          </w:rPr>
        </m:r>
        <m:r>
          <m:rPr>
            <m:sty m:val="p"/>
          </m:rPr>
          <m:t>×</m:t>
          <w:rPr>
            <w:rFonts w:ascii="Cambria Math" w:hAnsi="Cambria Math"/>
          </w:rPr>
        </m:r>
        <m:r>
          <m:rPr>
            <m:sty m:val="p"/>
          </m:rPr>
          <m:t>[</m:t>
          <w:rPr>
            <w:rFonts w:ascii="Cambria Math" w:hAnsi="Cambria Math"/>
          </w:rPr>
        </m:r>
        <m:r>
          <m:t>0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1</m:t>
          <w:rPr>
            <w:rFonts w:ascii="Cambria Math" w:hAnsi="Cambria Math"/>
          </w:rPr>
        </m:r>
        <m:r>
          <m:rPr>
            <m:sty m:val="p"/>
          </m:rPr>
          <m:t>]</m:t>
          <w:rPr>
            <w:rFonts w:ascii="Cambria Math" w:hAnsi="Cambria Math"/>
          </w:rPr>
        </m:r>
      </m:oMath>
      <w:r>
        <w:t xml:space="preserve">；释放</w:t>
      </w:r>
      <m:oMath>
        <m:sSub>
          <m:e>
            <m:r>
              <m:t>x</m:t>
              <w:rPr>
                <w:rFonts w:ascii="Cambria Math" w:hAnsi="Cambria Math"/>
              </w:rPr>
            </m:r>
          </m:e>
          <m:sub>
            <m:r>
              <m:t>2</m:t>
              <w:rPr>
                <w:rFonts w:ascii="Cambria Math" w:hAnsi="Cambria Math"/>
              </w:rPr>
            </m:r>
          </m:sub>
        </m:sSub>
      </m:oMath>
      <w:r>
        <w:t xml:space="preserve">：</w:t>
      </w:r>
      <m:oMath>
        <m:sSup>
          <m:e>
            <m:r>
              <m:t>R</m:t>
              <w:rPr>
                <w:rFonts w:ascii="Cambria Math" w:hAnsi="Cambria Math"/>
              </w:rPr>
            </m:r>
          </m:e>
          <m:sup>
            <m:r>
              <m:t>2</m:t>
              <w:rPr>
                <w:rFonts w:ascii="Cambria Math" w:hAnsi="Cambria Math"/>
              </w:rPr>
            </m:r>
          </m:sup>
        </m:sSup>
        <m:r>
          <m:rPr>
            <m:sty m:val="p"/>
          </m:rPr>
          <m:t>=</m:t>
          <w:rPr>
            <w:rFonts w:ascii="Cambria Math" w:hAnsi="Cambria Math"/>
          </w:rPr>
        </m:r>
        <m:r>
          <m:rPr>
            <m:sty m:val="p"/>
          </m:rPr>
          <m:t>[</m:t>
          <w:rPr>
            <w:rFonts w:ascii="Cambria Math" w:hAnsi="Cambria Math"/>
          </w:rPr>
        </m:r>
        <m:r>
          <m:t>0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1</m:t>
          <w:rPr>
            <w:rFonts w:ascii="Cambria Math" w:hAnsi="Cambria Math"/>
          </w:rPr>
        </m:r>
        <m:r>
          <m:rPr>
            <m:sty m:val="p"/>
          </m:rPr>
          <m:t>]</m:t>
          <w:rPr>
            <w:rFonts w:ascii="Cambria Math" w:hAnsi="Cambria Math"/>
          </w:rPr>
        </m:r>
        <m:r>
          <m:rPr>
            <m:sty m:val="p"/>
          </m:rPr>
          <m:t>×</m:t>
          <w:rPr>
            <w:rFonts w:ascii="Cambria Math" w:hAnsi="Cambria Math"/>
          </w:rPr>
        </m:r>
        <m:r>
          <m:rPr>
            <m:sty m:val="p"/>
            <m:scr m:val="double-struck"/>
          </m:rPr>
          <m:t>R</m:t>
          <w:rPr>
            <w:rFonts w:ascii="Cambria Math" w:hAnsi="Cambria Math"/>
          </w:rPr>
        </m:r>
      </m:oMath>
      <w:r>
        <w:t xml:space="preserve">。原区域内的输出与扩展区域内输出差异越明显，越说明该限制对任务有意义。这是操作性解释；本文没有给出VarPro完整统计量和筛选阈值推导，引用原文[50–53]。</w:t>
      </w:r>
    </w:p>
    <w:p>
      <w:pPr>
        <w:pStyle w:val="BodyText"/>
        <w:widowControl/>
      </w:pPr>
      <w:r>
        <w:rPr>
          <w:bCs/>
          <w:b/>
        </w:rPr>
        <w:t xml:space="preserve">E 本节结论。</w:t>
      </w:r>
    </w:p>
    <w:p>
      <w:pPr>
        <w:widowControl/>
        <w:numPr>
          <w:ilvl w:val="0"/>
          <w:numId w:val="1003"/>
        </w:numPr>
        <w:pStyle w:val="Compact"/>
      </w:pPr>
      <w:r>
        <w:t xml:space="preserve">变量优先度来自监督输出行为。</w:t>
      </w:r>
    </w:p>
    <w:p>
      <w:pPr>
        <w:widowControl/>
        <w:numPr>
          <w:ilvl w:val="0"/>
          <w:numId w:val="1003"/>
        </w:numPr>
        <w:pStyle w:val="Compact"/>
      </w:pPr>
      <w:r>
        <w:t xml:space="preserve">本文给出OutPro流程，但仅靠正文不足以逐细节复现VarPro。</w:t>
      </w:r>
    </w:p>
    <w:p>
      <w:pPr>
        <w:widowControl/>
        <w:numPr>
          <w:ilvl w:val="0"/>
          <w:numId w:val="1003"/>
        </w:numPr>
        <w:pStyle w:val="Compact"/>
      </w:pPr>
      <w:r>
        <w:t xml:space="preserve">用于生成异常的gradient boosting选变量，与用于检测的VarPro是两件事。</w:t>
      </w:r>
    </w:p>
    <w:bookmarkEnd w:id="28"/>
    <w:bookmarkStart w:id="29" w:name="methodology-3.23.3先按规则关系选参照对象"/>
    <w:p>
      <w:pPr>
        <w:pStyle w:val="Heading3"/>
        <w:widowControl/>
      </w:pPr>
      <w:r>
        <w:rPr>
          <w:color w:val="000000"/>
        </w:rPr>
        <w:t xml:space="preserve">3.4 Methodology 3.2–3.3：先按规则关系选</w:t>
      </w:r>
      <w:r>
        <w:rPr>
          <w:color w:val="000000"/>
        </w:rPr>
        <w:t xml:space="preserve">“</w:t>
      </w:r>
      <w:r>
        <w:rPr>
          <w:color w:val="000000"/>
        </w:rPr>
        <w:t xml:space="preserve">参照对象</w:t>
      </w:r>
      <w:r>
        <w:rPr>
          <w:color w:val="000000"/>
        </w:rPr>
        <w:t xml:space="preserve">”</w:t>
      </w:r>
    </w:p>
    <w:p>
      <w:pPr>
        <w:pStyle w:val="FirstParagraph"/>
        <w:widowControl/>
      </w:pPr>
      <w:r>
        <w:rPr>
          <w:bCs/>
          <w:b/>
        </w:rPr>
        <w:t xml:space="preserve">A 讲什么。</w:t>
      </w:r>
      <w:r>
        <w:t xml:space="preserve"> </w:t>
      </w:r>
      <w:r>
        <w:t xml:space="preserve">每棵树找出包含测试输入的叶规则，依次释放信号变量，统计每个训练点落入释放区域的次数，再挑选频繁且均衡出现的训练点。[pp.7–9，算法1]</w:t>
      </w:r>
    </w:p>
    <w:p>
      <w:pPr>
        <w:pStyle w:val="BodyText"/>
        <w:widowControl/>
      </w:pPr>
      <w:r>
        <w:rPr>
          <w:bCs/>
          <w:b/>
        </w:rPr>
        <w:t xml:space="preserve">B 为什么讲。</w:t>
      </w:r>
      <w:r>
        <w:t xml:space="preserve"> </w:t>
      </w:r>
      <w:r>
        <w:t xml:space="preserve">参考样本不直接由全空间欧氏距离决定，而由监督森林学到的局部划分决定。</w:t>
      </w:r>
    </w:p>
    <w:p>
      <w:pPr>
        <w:pStyle w:val="BodyText"/>
        <w:widowControl/>
      </w:pPr>
      <w:r>
        <w:rPr>
          <w:bCs/>
          <w:b/>
        </w:rPr>
        <w:t xml:space="preserve">C 关键概念。</w:t>
      </w:r>
      <w:r>
        <w:t xml:space="preserve"> </w:t>
      </w:r>
      <m:oMath>
        <m:r>
          <m:rPr>
            <m:sty m:val="p"/>
            <m:scr m:val="script"/>
          </m:rPr>
          <m:t>R</m:t>
          <w:rPr>
            <w:rFonts w:ascii="Cambria Math" w:hAnsi="Cambria Math"/>
          </w:rPr>
        </m:r>
        <m:r>
          <m:rPr>
            <m:sty m:val="p"/>
          </m:rPr>
          <m:t>(</m:t>
          <w:rPr>
            <w:rFonts w:ascii="Cambria Math" w:hAnsi="Cambria Math"/>
          </w:rPr>
        </m:r>
        <m:r>
          <m:t>x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</m:oMath>
      <w:r>
        <w:t xml:space="preserve">为包含测试点的规则集合；</w:t>
      </w:r>
      <m:oMath>
        <m:sSub>
          <m:e>
            <m:r>
              <m:t>n</m:t>
              <w:rPr>
                <w:rFonts w:ascii="Cambria Math" w:hAnsi="Cambria Math"/>
              </w:rPr>
            </m:r>
          </m:e>
          <m:sub>
            <m:r>
              <m:t>s</m:t>
              <w:rPr>
                <w:rFonts w:ascii="Cambria Math" w:hAnsi="Cambria Math"/>
              </w:rPr>
            </m:r>
          </m:sub>
        </m:sSub>
        <m:r>
          <m:rPr>
            <m:sty m:val="p"/>
          </m:rPr>
          <m:t>(</m:t>
          <w:rPr>
            <w:rFonts w:ascii="Cambria Math" w:hAnsi="Cambria Math"/>
          </w:rPr>
        </m:r>
        <m:sSub>
          <m:e>
            <m:r>
              <m:t>x</m:t>
              <w:rPr>
                <w:rFonts w:ascii="Cambria Math" w:hAnsi="Cambria Math"/>
              </w:rPr>
            </m:r>
          </m:e>
          <m:sub>
            <m:r>
              <m:t>i</m:t>
              <w:rPr>
                <w:rFonts w:ascii="Cambria Math" w:hAnsi="Cambria Math"/>
              </w:rPr>
            </m:r>
          </m:sub>
        </m:sSub>
        <m:r>
          <m:rPr>
            <m:sty m:val="p"/>
          </m:rPr>
          <m:t>)</m:t>
          <w:rPr>
            <w:rFonts w:ascii="Cambria Math" w:hAnsi="Cambria Math"/>
          </w:rPr>
        </m:r>
      </m:oMath>
      <w:r>
        <w:t xml:space="preserve">是训练点在释放坐标</w:t>
      </w:r>
      <m:oMath>
        <m:r>
          <m:t>s</m:t>
          <w:rPr>
            <w:rFonts w:ascii="Cambria Math" w:hAnsi="Cambria Math"/>
          </w:rPr>
        </m:r>
      </m:oMath>
      <w:r>
        <w:t xml:space="preserve">后出现的次数；</w:t>
      </w:r>
      <m:oMath>
        <m:sSub>
          <m:e>
            <m:r>
              <m:t>p</m:t>
              <w:rPr>
                <w:rFonts w:ascii="Cambria Math" w:hAnsi="Cambria Math"/>
              </w:rPr>
            </m:r>
          </m:e>
          <m:sub>
            <m:r>
              <m:t>s</m:t>
              <w:rPr>
                <w:rFonts w:ascii="Cambria Math" w:hAnsi="Cambria Math"/>
              </w:rPr>
            </m:r>
          </m:sub>
        </m:sSub>
      </m:oMath>
      <w:r>
        <w:t xml:space="preserve">为其归一化频率；Gini杂质描述频率在变量间是否均衡；</w:t>
      </w:r>
      <m:oMath>
        <m:r>
          <m:t>W</m:t>
          <w:rPr>
            <w:rFonts w:ascii="Cambria Math" w:hAnsi="Cambria Math"/>
          </w:rPr>
        </m:r>
      </m:oMath>
      <w:r>
        <w:t xml:space="preserve">用于邻居排序。这里的Gini不是最终异常分数，也不是变量的树分裂重要度。</w:t>
      </w:r>
    </w:p>
    <w:p>
      <w:pPr>
        <w:pStyle w:val="BodyText"/>
        <w:widowControl/>
      </w:pPr>
      <w:r>
        <w:rPr>
          <w:bCs/>
          <w:b/>
        </w:rPr>
        <w:t xml:space="preserve">D 必需公式。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n</m:t>
                <w:rPr>
                  <w:rFonts w:ascii="Cambria Math" w:hAnsi="Cambria Math"/>
                </w:rPr>
              </m:r>
            </m:e>
            <m:sub>
              <m:r>
                <m:t>s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i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=</m:t>
            <w:rPr>
              <w:rFonts w:ascii="Cambria Math" w:hAnsi="Cambria Math"/>
            </w:rPr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ζ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∈</m:t>
                <w:rPr>
                  <w:rFonts w:ascii="Cambria Math" w:hAnsi="Cambria Math"/>
                </w:rPr>
              </m:r>
              <m:r>
                <m:rPr>
                  <m:sty m:val="p"/>
                  <m:scr m:val="script"/>
                </m:rPr>
                <m:t>R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  <m:r>
                <m:t>x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)</m:t>
                <w:rPr>
                  <w:rFonts w:ascii="Cambria Math" w:hAnsi="Cambria Math"/>
                </w:rPr>
              </m:r>
            </m:sub>
            <m:sup>
              <m:r>
                <m:t>​</m:t>
                <w:rPr>
                  <w:rFonts w:ascii="Cambria Math" w:hAnsi="Cambria Math"/>
                </w:rPr>
              </m:r>
            </m:sup>
            <m:e>
              <m:r>
                <m:rPr>
                  <m:sty m:val="b"/>
                </m:rPr>
                <m:t>1</m:t>
                <w:rPr>
                  <w:rFonts w:ascii="Cambria Math" w:hAnsi="Cambria Math"/>
                </w:rPr>
              </m:r>
            </m:e>
          </m:nary>
          <m:r>
            <m:rPr>
              <m:sty m:val="p"/>
            </m:rPr>
            <m:t>{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i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∈</m:t>
            <w:rPr>
              <w:rFonts w:ascii="Cambria Math" w:hAnsi="Cambria Math"/>
            </w:rPr>
          </m:r>
          <m:r>
            <m:t>R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sSup>
            <m:e>
              <m:r>
                <m:t>ζ</m:t>
                <w:rPr>
                  <w:rFonts w:ascii="Cambria Math" w:hAnsi="Cambria Math"/>
                </w:rPr>
              </m:r>
            </m:e>
            <m:sup>
              <m:r>
                <m:t>s</m:t>
                <w:rPr>
                  <w:rFonts w:ascii="Cambria Math" w:hAnsi="Cambria Math"/>
                </w:rPr>
              </m:r>
            </m:sup>
          </m:sSup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}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r>
            <m:t>  </m:t>
            <w:rPr>
              <w:rFonts w:ascii="Cambria Math" w:hAnsi="Cambria Math"/>
            </w:rPr>
          </m:r>
          <m:r>
            <m:t>n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i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=</m:t>
            <w:rPr>
              <w:rFonts w:ascii="Cambria Math" w:hAnsi="Cambria Math"/>
            </w:rPr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s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∈</m:t>
                <w:rPr>
                  <w:rFonts w:ascii="Cambria Math" w:hAnsi="Cambria Math"/>
                </w:rPr>
              </m:r>
              <m:r>
                <m:t>S</m:t>
                <w:rPr>
                  <w:rFonts w:ascii="Cambria Math" w:hAnsi="Cambria Math"/>
                </w:rPr>
              </m:r>
            </m:sub>
            <m:sup>
              <m:r>
                <m:t>​</m:t>
                <w:rPr>
                  <w:rFonts w:ascii="Cambria Math" w:hAnsi="Cambria Math"/>
                </w:rPr>
              </m:r>
            </m:sup>
            <m:e>
              <m:sSub>
                <m:e>
                  <m:r>
                    <m:t>n</m:t>
                    <w:rPr>
                      <w:rFonts w:ascii="Cambria Math" w:hAnsi="Cambria Math"/>
                    </w:rPr>
                  </m:r>
                </m:e>
                <m:sub>
                  <m:r>
                    <m:t>s</m:t>
                    <w:rPr>
                      <w:rFonts w:ascii="Cambria Math" w:hAnsi="Cambria Math"/>
                    </w:rPr>
                  </m:r>
                </m:sub>
              </m:sSub>
            </m:e>
          </m:nary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i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r>
            <m:t>  </m:t>
            <w:rPr>
              <w:rFonts w:ascii="Cambria Math" w:hAnsi="Cambria Math"/>
            </w:rPr>
          </m:r>
          <m:sSub>
            <m:e>
              <m:r>
                <m:t>p</m:t>
                <w:rPr>
                  <w:rFonts w:ascii="Cambria Math" w:hAnsi="Cambria Math"/>
                </w:rPr>
              </m:r>
            </m:e>
            <m:sub>
              <m:r>
                <m:t>s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i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=</m:t>
            <w:rPr>
              <w:rFonts w:ascii="Cambria Math" w:hAnsi="Cambria Math"/>
            </w:rPr>
          </m:r>
          <m:f>
            <m:fPr>
              <m:type m:val="bar"/>
            </m:fPr>
            <m:num>
              <m:sSub>
                <m:e>
                  <m:r>
                    <m:t>n</m:t>
                    <w:rPr>
                      <w:rFonts w:ascii="Cambria Math" w:hAnsi="Cambria Math"/>
                    </w:rPr>
                  </m:r>
                </m:e>
                <m:sub>
                  <m:r>
                    <m:t>s</m:t>
                    <w:rPr>
                      <w:rFonts w:ascii="Cambria Math" w:hAnsi="Cambria Math"/>
                    </w:rPr>
                  </m:r>
                </m:sub>
              </m:sSub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  <m:sSub>
                <m:e>
                  <m:r>
                    <m:t>x</m:t>
                    <w:rPr>
                      <w:rFonts w:ascii="Cambria Math" w:hAnsi="Cambria Math"/>
                    </w:rPr>
                  </m:r>
                </m:e>
                <m:sub>
                  <m:r>
                    <m:t>i</m:t>
                    <w:rPr>
                      <w:rFonts w:ascii="Cambria Math" w:hAnsi="Cambria Math"/>
                    </w:rPr>
                  </m:r>
                </m:sub>
              </m:sSub>
              <m:r>
                <m:rPr>
                  <m:sty m:val="p"/>
                </m:rPr>
                <m:t>)</m:t>
                <w:rPr>
                  <w:rFonts w:ascii="Cambria Math" w:hAnsi="Cambria Math"/>
                </w:rPr>
              </m:r>
            </m:num>
            <m:den>
              <m:r>
                <m:t>n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  <m:sSub>
                <m:e>
                  <m:r>
                    <m:t>x</m:t>
                    <w:rPr>
                      <w:rFonts w:ascii="Cambria Math" w:hAnsi="Cambria Math"/>
                    </w:rPr>
                  </m:r>
                </m:e>
                <m:sub>
                  <m:r>
                    <m:t>i</m:t>
                    <w:rPr>
                      <w:rFonts w:ascii="Cambria Math" w:hAnsi="Cambria Math"/>
                    </w:rPr>
                  </m:r>
                </m:sub>
              </m:sSub>
              <m:r>
                <m:rPr>
                  <m:sty m:val="p"/>
                </m:rPr>
                <m:t>)</m:t>
                <w:rPr>
                  <w:rFonts w:ascii="Cambria Math" w:hAnsi="Cambria Math"/>
                </w:rPr>
              </m:r>
            </m:den>
          </m:f>
          <m:r>
            <m:rPr>
              <m:sty m:val="p"/>
            </m:rPr>
            <m:t>.</m:t>
            <w:rPr>
              <w:rFonts w:ascii="Cambria Math" w:hAnsi="Cambria Math"/>
            </w:rPr>
          </m:r>
        </m:oMath>
      </m:oMathPara>
    </w:p>
    <w:p>
      <w:pPr>
        <w:pStyle w:val="FirstParagraph"/>
        <w:widowControl/>
      </w:pPr>
      <m:oMath>
        <m:r>
          <m:rPr>
            <m:sty m:val="b"/>
          </m:rPr>
          <m:t>1</m:t>
          <w:rPr>
            <w:rFonts w:ascii="Cambria Math" w:hAnsi="Cambria Math"/>
          </w:rPr>
        </m:r>
      </m:oMath>
      <w:r>
        <w:t xml:space="preserve">为满足条件时取1的指示函数；</w:t>
      </w:r>
      <m:oMath>
        <m:r>
          <m:t>i</m:t>
          <w:rPr>
            <w:rFonts w:ascii="Cambria Math" w:hAnsi="Cambria Math"/>
          </w:rPr>
        </m:r>
      </m:oMath>
      <w:r>
        <w:t xml:space="preserve">为训练样本编号；</w:t>
      </w:r>
      <m:oMath>
        <m:r>
          <m:t>s</m:t>
          <w:rPr>
            <w:rFonts w:ascii="Cambria Math" w:hAnsi="Cambria Math"/>
          </w:rPr>
        </m:r>
      </m:oMath>
      <w:r>
        <w:t xml:space="preserve">为选择坐标；</w:t>
      </w:r>
      <m:oMath>
        <m:sSup>
          <m:e>
            <m:r>
              <m:t>ζ</m:t>
              <w:rPr>
                <w:rFonts w:ascii="Cambria Math" w:hAnsi="Cambria Math"/>
              </w:rPr>
            </m:r>
          </m:e>
          <m:sup>
            <m:r>
              <m:t>s</m:t>
              <w:rPr>
                <w:rFonts w:ascii="Cambria Math" w:hAnsi="Cambria Math"/>
              </w:rPr>
            </m:r>
          </m:sup>
        </m:sSup>
      </m:oMath>
      <w:r>
        <w:t xml:space="preserve">为释放该坐标后的规则。</w:t>
      </w:r>
      <m:oMath>
        <m:r>
          <m:t>n</m:t>
          <w:rPr>
            <w:rFonts w:ascii="Cambria Math" w:hAnsi="Cambria Math"/>
          </w:rPr>
        </m:r>
        <m:r>
          <m:rPr>
            <m:sty m:val="p"/>
          </m:rPr>
          <m:t>=</m:t>
          <w:rPr>
            <w:rFonts w:ascii="Cambria Math" w:hAnsi="Cambria Math"/>
          </w:rPr>
        </m:r>
        <m:r>
          <m:t>0</m:t>
          <w:rPr>
            <w:rFonts w:ascii="Cambria Math" w:hAnsi="Cambria Math"/>
          </w:rPr>
        </m:r>
      </m:oMath>
      <w:r>
        <w:t xml:space="preserve">时不参与邻域构造。[p.9]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G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i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=</m:t>
            <w:rPr>
              <w:rFonts w:ascii="Cambria Math" w:hAnsi="Cambria Math"/>
            </w:rPr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s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∈</m:t>
                <w:rPr>
                  <w:rFonts w:ascii="Cambria Math" w:hAnsi="Cambria Math"/>
                </w:rPr>
              </m:r>
              <m:r>
                <m:t>S</m:t>
                <w:rPr>
                  <w:rFonts w:ascii="Cambria Math" w:hAnsi="Cambria Math"/>
                </w:rPr>
              </m:r>
            </m:sub>
            <m:sup>
              <m:r>
                <m:t>​</m:t>
                <w:rPr>
                  <w:rFonts w:ascii="Cambria Math" w:hAnsi="Cambria Math"/>
                </w:rPr>
              </m:r>
            </m:sup>
            <m:e>
              <m:sSub>
                <m:e>
                  <m:r>
                    <m:t>p</m:t>
                    <w:rPr>
                      <w:rFonts w:ascii="Cambria Math" w:hAnsi="Cambria Math"/>
                    </w:rPr>
                  </m:r>
                </m:e>
                <m:sub>
                  <m:r>
                    <m:t>s</m:t>
                    <w:rPr>
                      <w:rFonts w:ascii="Cambria Math" w:hAnsi="Cambria Math"/>
                    </w:rPr>
                  </m:r>
                </m:sub>
              </m:sSub>
            </m:e>
          </m:nary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i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r>
            <m:t>1</m:t>
            <w:rPr>
              <w:rFonts w:ascii="Cambria Math" w:hAnsi="Cambria Math"/>
            </w:rPr>
          </m:r>
          <m:r>
            <m:rPr>
              <m:sty m:val="p"/>
            </m:rPr>
            <m:t>−</m:t>
            <w:rPr>
              <w:rFonts w:ascii="Cambria Math" w:hAnsi="Cambria Math"/>
            </w:rPr>
          </m:r>
          <m:sSub>
            <m:e>
              <m:r>
                <m:t>p</m:t>
                <w:rPr>
                  <w:rFonts w:ascii="Cambria Math" w:hAnsi="Cambria Math"/>
                </w:rPr>
              </m:r>
            </m:e>
            <m:sub>
              <m:r>
                <m:t>s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i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=</m:t>
            <w:rPr>
              <w:rFonts w:ascii="Cambria Math" w:hAnsi="Cambria Math"/>
            </w:rPr>
          </m:r>
          <m:r>
            <m:t>1</m:t>
            <w:rPr>
              <w:rFonts w:ascii="Cambria Math" w:hAnsi="Cambria Math"/>
            </w:rPr>
          </m:r>
          <m:r>
            <m:rPr>
              <m:sty m:val="p"/>
            </m:rPr>
            <m:t>−</m:t>
            <w:rPr>
              <w:rFonts w:ascii="Cambria Math" w:hAnsi="Cambria Math"/>
            </w:rPr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s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∈</m:t>
                <w:rPr>
                  <w:rFonts w:ascii="Cambria Math" w:hAnsi="Cambria Math"/>
                </w:rPr>
              </m:r>
              <m:r>
                <m:t>S</m:t>
                <w:rPr>
                  <w:rFonts w:ascii="Cambria Math" w:hAnsi="Cambria Math"/>
                </w:rPr>
              </m:r>
            </m:sub>
            <m:sup>
              <m:r>
                <m:t>​</m:t>
                <w:rPr>
                  <w:rFonts w:ascii="Cambria Math" w:hAnsi="Cambria Math"/>
                </w:rPr>
              </m:r>
            </m:sup>
            <m:e>
              <m:sSub>
                <m:e>
                  <m:r>
                    <m:t>p</m:t>
                    <w:rPr>
                      <w:rFonts w:ascii="Cambria Math" w:hAnsi="Cambria Math"/>
                    </w:rPr>
                  </m:r>
                </m:e>
                <m:sub>
                  <m:r>
                    <m:t>s</m:t>
                    <w:rPr>
                      <w:rFonts w:ascii="Cambria Math" w:hAnsi="Cambria Math"/>
                    </w:rPr>
                  </m:r>
                </m:sub>
              </m:sSub>
            </m:e>
          </m:nary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i</m:t>
                <w:rPr>
                  <w:rFonts w:ascii="Cambria Math" w:hAnsi="Cambria Math"/>
                </w:rPr>
              </m:r>
            </m:sub>
          </m:sSub>
          <m:sSup>
            <m:e>
              <m:r>
                <m:rPr>
                  <m:sty m:val="p"/>
                </m:rPr>
                <m:t>)</m:t>
                <w:rPr>
                  <w:rFonts w:ascii="Cambria Math" w:hAnsi="Cambria Math"/>
                </w:rPr>
              </m:r>
            </m:e>
            <m:sup>
              <m:r>
                <m:t>2</m:t>
                <w:rPr>
                  <w:rFonts w:ascii="Cambria Math" w:hAnsi="Cambria Math"/>
                </w:rPr>
              </m:r>
            </m:sup>
          </m:sSup>
          <m:r>
            <m:rPr>
              <m:sty m:val="p"/>
            </m:rPr>
            <m:t>,</m:t>
            <w:rPr>
              <w:rFonts w:ascii="Cambria Math" w:hAnsi="Cambria Math"/>
            </w:rPr>
          </m:r>
          <m:r>
            <m:t>  </m:t>
            <w:rPr>
              <w:rFonts w:ascii="Cambria Math" w:hAnsi="Cambria Math"/>
            </w:rPr>
          </m:r>
          <m:r>
            <m:t>W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i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=</m:t>
            <w:rPr>
              <w:rFonts w:ascii="Cambria Math" w:hAnsi="Cambria Math"/>
            </w:rPr>
          </m:r>
          <m:r>
            <m:t>n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i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t>G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i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.</m:t>
            <w:rPr>
              <w:rFonts w:ascii="Cambria Math" w:hAnsi="Cambria Math"/>
            </w:rPr>
          </m:r>
        </m:oMath>
      </m:oMathPara>
    </w:p>
    <w:p>
      <w:pPr>
        <w:pStyle w:val="FirstParagraph"/>
        <w:widowControl/>
      </w:pPr>
      <m:oMath>
        <m:r>
          <m:t>G</m:t>
          <w:rPr>
            <w:rFonts w:ascii="Cambria Math" w:hAnsi="Cambria Math"/>
          </w:rPr>
        </m:r>
      </m:oMath>
      <w:r>
        <w:t xml:space="preserve">越大表示分布越均衡；</w:t>
      </w:r>
      <m:oMath>
        <m:r>
          <m:t>n</m:t>
          <w:rPr>
            <w:rFonts w:ascii="Cambria Math" w:hAnsi="Cambria Math"/>
          </w:rPr>
        </m:r>
      </m:oMath>
      <w:r>
        <w:t xml:space="preserve">越大表示出现越多。</w:t>
      </w:r>
      <m:oMath>
        <m:sSub>
          <m:e>
            <m:r>
              <m:t>N</m:t>
              <w:rPr>
                <w:rFonts w:ascii="Cambria Math" w:hAnsi="Cambria Math"/>
              </w:rPr>
            </m:r>
          </m:e>
          <m:sub>
            <m:r>
              <m:t>K</m:t>
              <w:rPr>
                <w:rFonts w:ascii="Cambria Math" w:hAnsi="Cambria Math"/>
              </w:rPr>
            </m:r>
          </m:sub>
        </m:sSub>
        <m:r>
          <m:rPr>
            <m:sty m:val="p"/>
          </m:rPr>
          <m:t>(</m:t>
          <w:rPr>
            <w:rFonts w:ascii="Cambria Math" w:hAnsi="Cambria Math"/>
          </w:rPr>
        </m:r>
        <m:r>
          <m:t>x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</m:oMath>
      <w:r>
        <w:t xml:space="preserve">取</w:t>
      </w:r>
      <m:oMath>
        <m:r>
          <m:t>W</m:t>
          <w:rPr>
            <w:rFonts w:ascii="Cambria Math" w:hAnsi="Cambria Math"/>
          </w:rPr>
        </m:r>
      </m:oMath>
      <w:r>
        <w:t xml:space="preserve">最大的K个训练点。注意：</w:t>
      </w:r>
      <w:r>
        <w:rPr>
          <w:bCs/>
          <w:b/>
        </w:rPr>
        <w:t xml:space="preserve">W越大越适合做邻居；最终d越大越可疑。</w:t>
      </w:r>
    </w:p>
    <w:p>
      <w:pPr>
        <w:pStyle w:val="BodyText"/>
        <w:widowControl/>
      </w:pPr>
      <w:r>
        <w:t xml:space="preserve">二维数值例，设测试点</w:t>
      </w:r>
      <m:oMath>
        <m:r>
          <m:t>x</m:t>
          <w:rPr>
            <w:rFonts w:ascii="Cambria Math" w:hAnsi="Cambria Math"/>
          </w:rPr>
        </m:r>
        <m:r>
          <m:rPr>
            <m:sty m:val="p"/>
          </m:rPr>
          <m:t>=</m:t>
          <w:rPr>
            <w:rFonts w:ascii="Cambria Math" w:hAnsi="Cambria Math"/>
          </w:rPr>
        </m:r>
        <m:r>
          <m:rPr>
            <m:sty m:val="p"/>
          </m:rPr>
          <m:t>(</m:t>
          <w:rPr>
            <w:rFonts w:ascii="Cambria Math" w:hAnsi="Cambria Math"/>
          </w:rPr>
        </m:r>
        <m:r>
          <m:t>0.8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0.8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</m:oMath>
      <w:r>
        <w:t xml:space="preserve">，沿用上节方形规则，</w:t>
      </w:r>
      <m:oMath>
        <m:r>
          <m:t>S</m:t>
          <w:rPr>
            <w:rFonts w:ascii="Cambria Math" w:hAnsi="Cambria Math"/>
          </w:rPr>
        </m:r>
        <m:r>
          <m:rPr>
            <m:sty m:val="p"/>
          </m:rPr>
          <m:t>=</m:t>
          <w:rPr>
            <w:rFonts w:ascii="Cambria Math" w:hAnsi="Cambria Math"/>
          </w:rPr>
        </m:r>
        <m:r>
          <m:rPr>
            <m:sty m:val="p"/>
          </m:rPr>
          <m:t>{</m:t>
          <w:rPr>
            <w:rFonts w:ascii="Cambria Math" w:hAnsi="Cambria Math"/>
          </w:rPr>
        </m:r>
        <m:r>
          <m:t>1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2</m:t>
          <w:rPr>
            <w:rFonts w:ascii="Cambria Math" w:hAnsi="Cambria Math"/>
          </w:rPr>
        </m:r>
        <m:r>
          <m:rPr>
            <m:sty m:val="p"/>
          </m:rPr>
          <m:t>}</m:t>
          <w:rPr>
            <w:rFonts w:ascii="Cambria Math" w:hAnsi="Cambria Math"/>
          </w:rPr>
        </m:r>
      </m:oMath>
      <w:r>
        <w:t xml:space="preserve">：</w:t>
      </w:r>
    </w:p>
    <w:tbl>
      <w:tblPr>
        <w:tblStyle w:val="Table"/>
        <w:tblW w:type="pct" w:w="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565"/>
        <w:gridCol w:w="1874"/>
        <w:gridCol w:w="986"/>
        <w:gridCol w:w="1973"/>
        <w:gridCol w:w="1233"/>
        <w:gridCol w:w="543"/>
      </w:tblGrid>
      <w:tr>
        <w:trPr>
          <w:cantSplit/>
          <w:tblHeader/>
        </w:trPr>
        <w:tc>
          <w:tcPr>
            <w:tcW w:type="dxa" w:w="2565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训练点</w:t>
            </w:r>
          </w:p>
        </w:tc>
        <w:tc>
          <w:tcPr>
            <w:tcW w:type="dxa" w:w="1874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释放1／2的次数</w:t>
            </w:r>
          </w:p>
        </w:tc>
        <w:tc>
          <w:tcPr>
            <w:tcW w:type="dxa" w:w="986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right"/>
            </w:pPr>
            <m:oMath>
              <m:r>
                <m:t>n</m:t>
                <w:rPr>
                  <w:rFonts w:ascii="Cambria Math" w:hAnsi="Cambria Math"/>
                </w:rPr>
              </m:r>
            </m:oMath>
          </w:p>
        </w:tc>
        <w:tc>
          <w:tcPr>
            <w:tcW w:type="dxa" w:w="1973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m:oMath>
              <m:r>
                <m:t>p</m:t>
                <w:rPr>
                  <w:rFonts w:ascii="Cambria Math" w:hAnsi="Cambria Math"/>
                </w:rPr>
              </m:r>
            </m:oMath>
          </w:p>
        </w:tc>
        <w:tc>
          <w:tcPr>
            <w:tcW w:type="dxa" w:w="1233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right"/>
            </w:pPr>
            <m:oMath>
              <m:r>
                <m:t>G</m:t>
                <w:rPr>
                  <w:rFonts w:ascii="Cambria Math" w:hAnsi="Cambria Math"/>
                </w:rPr>
              </m:r>
            </m:oMath>
          </w:p>
        </w:tc>
        <w:tc>
          <w:tcPr>
            <w:tcW w:type="dxa" w:w="543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right"/>
            </w:pPr>
            <m:oMath>
              <m:r>
                <m:t>W</m:t>
                <w:rPr>
                  <w:rFonts w:ascii="Cambria Math" w:hAnsi="Cambria Math"/>
                </w:rPr>
              </m:r>
            </m:oMath>
          </w:p>
        </w:tc>
      </w:tr>
      <w:tr>
        <w:trPr>
          <w:cantSplit/>
        </w:trPr>
        <w:tc>
          <w:tcPr>
            <w:tcW w:type="dxa" w:w="2565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A=(0.6,0.7)</w:t>
            </w:r>
          </w:p>
        </w:tc>
        <w:tc>
          <w:tcPr>
            <w:tcW w:type="dxa" w:w="1874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(1,1)</w:t>
            </w:r>
          </w:p>
        </w:tc>
        <w:tc>
          <w:tcPr>
            <w:tcW w:type="dxa" w:w="98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2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(0.5,0.5)</w:t>
            </w:r>
          </w:p>
        </w:tc>
        <w:tc>
          <w:tcPr>
            <w:tcW w:type="dxa" w:w="1233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0.5</w:t>
            </w:r>
          </w:p>
        </w:tc>
        <w:tc>
          <w:tcPr>
            <w:tcW w:type="dxa" w:w="543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565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B=(1.2,0.8)</w:t>
            </w:r>
          </w:p>
        </w:tc>
        <w:tc>
          <w:tcPr>
            <w:tcW w:type="dxa" w:w="1874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(1,0)</w:t>
            </w:r>
          </w:p>
        </w:tc>
        <w:tc>
          <w:tcPr>
            <w:tcW w:type="dxa" w:w="98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1</w:t>
            </w:r>
          </w:p>
        </w:tc>
        <w:tc>
          <w:tcPr>
            <w:tcW w:type="dxa" w:w="1973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(1,0)</w:t>
            </w:r>
          </w:p>
        </w:tc>
        <w:tc>
          <w:tcPr>
            <w:tcW w:type="dxa" w:w="1233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0</w:t>
            </w:r>
          </w:p>
        </w:tc>
        <w:tc>
          <w:tcPr>
            <w:tcW w:type="dxa" w:w="543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565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C=(0.9,0.5)</w:t>
            </w:r>
          </w:p>
        </w:tc>
        <w:tc>
          <w:tcPr>
            <w:tcW w:type="dxa" w:w="1874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(1,1)</w:t>
            </w:r>
          </w:p>
        </w:tc>
        <w:tc>
          <w:tcPr>
            <w:tcW w:type="dxa" w:w="98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2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(0.5,0.5)</w:t>
            </w:r>
          </w:p>
        </w:tc>
        <w:tc>
          <w:tcPr>
            <w:tcW w:type="dxa" w:w="1233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0.5</w:t>
            </w:r>
          </w:p>
        </w:tc>
        <w:tc>
          <w:tcPr>
            <w:tcW w:type="dxa" w:w="543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1</w:t>
            </w:r>
          </w:p>
        </w:tc>
      </w:tr>
    </w:tbl>
    <w:p>
      <w:pPr>
        <w:pStyle w:val="BodyText"/>
        <w:widowControl/>
      </w:pPr>
      <w:r>
        <w:t xml:space="preserve">K=2时参考点为A和C。B必须解除</w:t>
      </w:r>
      <m:oMath>
        <m:sSub>
          <m:e>
            <m:r>
              <m:t>x</m:t>
              <w:rPr>
                <w:rFonts w:ascii="Cambria Math" w:hAnsi="Cambria Math"/>
              </w:rPr>
            </m:r>
          </m:e>
          <m:sub>
            <m:r>
              <m:t>1</m:t>
              <w:rPr>
                <w:rFonts w:ascii="Cambria Math" w:hAnsi="Cambria Math"/>
              </w:rPr>
            </m:r>
          </m:sub>
        </m:sSub>
      </m:oMath>
      <w:r>
        <w:t xml:space="preserve">约束才能出现，频率集中，优先级较低。真实森林对多条规则累加次数。</w:t>
      </w:r>
    </w:p>
    <w:p>
      <w:pPr>
        <w:pStyle w:val="BodyText"/>
        <w:widowControl/>
      </w:pPr>
      <w:r>
        <w:rPr>
          <w:bCs/>
          <w:b/>
        </w:rPr>
        <w:t xml:space="preserve">图1的核对提醒。</w:t>
      </w:r>
      <w:r>
        <w:t xml:space="preserve"> </w:t>
      </w:r>
      <w:r>
        <w:t xml:space="preserve">作者用A=(1,1,1)、B=(0,1,1)的释放计数解释三维例。按</w:t>
      </w:r>
      <w:r>
        <w:t xml:space="preserve">“</w:t>
      </w:r>
      <w:r>
        <w:t xml:space="preserve">同一个轴对齐矩形，每次只释放一个不同坐标</w:t>
      </w:r>
      <w:r>
        <w:t xml:space="preserve">”</w:t>
      </w:r>
      <w:r>
        <w:t xml:space="preserve">的严格定义，一个点若同时属于两个不同坐标的释放区域，就必须属于原矩形，从而属于所有释放区域。因此图1中</w:t>
      </w:r>
      <w:r>
        <w:t xml:space="preserve">“</w:t>
      </w:r>
      <w:r>
        <w:t xml:space="preserve">单规则、恰好属于两个释放区域</w:t>
      </w:r>
      <w:r>
        <w:t xml:space="preserve">”</w:t>
      </w:r>
      <w:r>
        <w:t xml:space="preserve">的文字例与定义存在几何疑点。跨不同规则累加可得到非均匀频率，但不能自动解释图中单规则描述。本报告用上述自洽二维例讲解，不把此疑点当成已确认的软件错误。【推导；p.8图1】</w:t>
      </w:r>
    </w:p>
    <w:p>
      <w:pPr>
        <w:pStyle w:val="BodyText"/>
        <w:widowControl/>
      </w:pPr>
      <w:r>
        <w:rPr>
          <w:bCs/>
          <w:b/>
        </w:rPr>
        <w:t xml:space="preserve">E 本节结论。</w:t>
      </w:r>
    </w:p>
    <w:p>
      <w:pPr>
        <w:widowControl/>
        <w:numPr>
          <w:ilvl w:val="0"/>
          <w:numId w:val="1004"/>
        </w:numPr>
        <w:pStyle w:val="Compact"/>
      </w:pPr>
      <w:r>
        <w:t xml:space="preserve">OutPro的邻域不是传统距离最近邻。</w:t>
      </w:r>
    </w:p>
    <w:p>
      <w:pPr>
        <w:widowControl/>
        <w:numPr>
          <w:ilvl w:val="0"/>
          <w:numId w:val="1004"/>
        </w:numPr>
        <w:pStyle w:val="Compact"/>
      </w:pPr>
      <w:r>
        <w:t xml:space="preserve">邻域排序结合出现次数与变量间均衡程度。</w:t>
      </w:r>
    </w:p>
    <w:p>
      <w:pPr>
        <w:widowControl/>
        <w:numPr>
          <w:ilvl w:val="0"/>
          <w:numId w:val="1004"/>
        </w:numPr>
        <w:pStyle w:val="Compact"/>
      </w:pPr>
      <w:r>
        <w:t xml:space="preserve">图示、退化情况和实现需核对，不能只凭直觉照抄。</w:t>
      </w:r>
    </w:p>
    <w:bookmarkEnd w:id="29"/>
    <w:bookmarkStart w:id="30" w:name="methodology-3.4选好邻居后才计算ood距离"/>
    <w:p>
      <w:pPr>
        <w:pStyle w:val="Heading3"/>
        <w:widowControl/>
      </w:pPr>
      <w:r>
        <w:rPr>
          <w:color w:val="000000"/>
        </w:rPr>
        <w:t xml:space="preserve">3.5 Methodology 3.4：选好邻居后才计算OOD距离</w:t>
      </w:r>
    </w:p>
    <w:p>
      <w:pPr>
        <w:pStyle w:val="FirstParagraph"/>
        <w:widowControl/>
      </w:pPr>
      <w:r>
        <w:rPr>
          <w:bCs/>
          <w:b/>
        </w:rPr>
        <w:t xml:space="preserve">A 讲什么。</w:t>
      </w:r>
      <w:r>
        <w:t xml:space="preserve"> </w:t>
      </w:r>
      <w:r>
        <w:t xml:space="preserve">用训练均值和标准差统一尺度，仅在S中计算与参考点的加权差异。[p.10表1]</w:t>
      </w:r>
    </w:p>
    <w:p>
      <w:pPr>
        <w:pStyle w:val="BodyText"/>
        <w:widowControl/>
      </w:pPr>
      <w:r>
        <w:rPr>
          <w:bCs/>
          <w:b/>
        </w:rPr>
        <w:t xml:space="preserve">B 为什么讲。</w:t>
      </w:r>
      <w:r>
        <w:t xml:space="preserve"> </w:t>
      </w:r>
      <w:r>
        <w:t xml:space="preserve">树规则负责选择比较对象，实际数值距离负责表达偏离大小；树叶向外延伸时，仅靠同叶关系未必能反映越界有多远。</w:t>
      </w:r>
    </w:p>
    <w:p>
      <w:pPr>
        <w:pStyle w:val="BodyText"/>
        <w:widowControl/>
      </w:pPr>
      <w:r>
        <w:rPr>
          <w:bCs/>
          <w:b/>
        </w:rPr>
        <w:t xml:space="preserve">C 关键概念。</w:t>
      </w:r>
      <w:r>
        <w:t xml:space="preserve"> </w:t>
      </w:r>
      <w:r>
        <w:t xml:space="preserve">标准化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  <w:rPr>
                    <w:rFonts w:ascii="Cambria Math" w:hAnsi="Cambria Math"/>
                  </w:rPr>
                </m:r>
              </m:e>
            </m:acc>
          </m:e>
          <m:sub>
            <m:r>
              <m:t>s</m:t>
              <w:rPr>
                <w:rFonts w:ascii="Cambria Math" w:hAnsi="Cambria Math"/>
              </w:rPr>
            </m:r>
          </m:sub>
        </m:sSub>
        <m:r>
          <m:rPr>
            <m:sty m:val="p"/>
          </m:rPr>
          <m:t>=</m:t>
          <w:rPr>
            <w:rFonts w:ascii="Cambria Math" w:hAnsi="Cambria Math"/>
          </w:rPr>
        </m:r>
        <m:r>
          <m:rPr>
            <m:sty m:val="p"/>
          </m:rPr>
          <m:t>(</m:t>
          <w:rPr>
            <w:rFonts w:ascii="Cambria Math" w:hAnsi="Cambria Math"/>
          </w:rPr>
        </m:r>
        <m:sSub>
          <m:e>
            <m:r>
              <m:t>x</m:t>
              <w:rPr>
                <w:rFonts w:ascii="Cambria Math" w:hAnsi="Cambria Math"/>
              </w:rPr>
            </m:r>
          </m:e>
          <m:sub>
            <m:r>
              <m:t>s</m:t>
              <w:rPr>
                <w:rFonts w:ascii="Cambria Math" w:hAnsi="Cambria Math"/>
              </w:rPr>
            </m:r>
          </m:sub>
        </m:sSub>
        <m:r>
          <m:rPr>
            <m:sty m:val="p"/>
          </m:rPr>
          <m:t>−</m:t>
          <w:rPr>
            <w:rFonts w:ascii="Cambria Math" w:hAnsi="Cambria Math"/>
          </w:rPr>
        </m:r>
        <m:sSub>
          <m:e>
            <m:r>
              <m:t>μ</m:t>
              <w:rPr>
                <w:rFonts w:ascii="Cambria Math" w:hAnsi="Cambria Math"/>
              </w:rPr>
            </m:r>
          </m:e>
          <m:sub>
            <m:r>
              <m:t>s</m:t>
              <w:rPr>
                <w:rFonts w:ascii="Cambria Math" w:hAnsi="Cambria Math"/>
              </w:rPr>
            </m:r>
          </m:sub>
        </m:sSub>
        <m:r>
          <m:rPr>
            <m:sty m:val="p"/>
          </m:rPr>
          <m:t>)</m:t>
          <w:rPr>
            <w:rFonts w:ascii="Cambria Math" w:hAnsi="Cambria Math"/>
          </w:rPr>
        </m:r>
        <m:r>
          <m:rPr>
            <m:sty m:val="p"/>
          </m:rPr>
          <m:t>/</m:t>
          <w:rPr>
            <w:rFonts w:ascii="Cambria Math" w:hAnsi="Cambria Math"/>
          </w:rPr>
        </m:r>
        <m:sSub>
          <m:e>
            <m:r>
              <m:t>σ</m:t>
              <w:rPr>
                <w:rFonts w:ascii="Cambria Math" w:hAnsi="Cambria Math"/>
              </w:rPr>
            </m:r>
          </m:e>
          <m:sub>
            <m:r>
              <m:t>s</m:t>
              <w:rPr>
                <w:rFonts w:ascii="Cambria Math" w:hAnsi="Cambria Math"/>
              </w:rPr>
            </m:r>
          </m:sub>
        </m:sSub>
      </m:oMath>
      <w:r>
        <w:t xml:space="preserve">消除单位差异；</w:t>
      </w:r>
      <m:oMath>
        <m:sSub>
          <m:e>
            <m:r>
              <m:t>w</m:t>
              <w:rPr>
                <w:rFonts w:ascii="Cambria Math" w:hAnsi="Cambria Math"/>
              </w:rPr>
            </m:r>
          </m:e>
          <m:sub>
            <m:r>
              <m:t>s</m:t>
              <w:rPr>
                <w:rFonts w:ascii="Cambria Math" w:hAnsi="Cambria Math"/>
              </w:rPr>
            </m:r>
          </m:sub>
        </m:sSub>
        <m:r>
          <m:rPr>
            <m:sty m:val="p"/>
          </m:rPr>
          <m:t>&gt;</m:t>
          <w:rPr>
            <w:rFonts w:ascii="Cambria Math" w:hAnsi="Cambria Math"/>
          </w:rPr>
        </m:r>
        <m:r>
          <m:t>0</m:t>
          <w:rPr>
            <w:rFonts w:ascii="Cambria Math" w:hAnsi="Cambria Math"/>
          </w:rPr>
        </m:r>
      </m:oMath>
      <w:r>
        <w:t xml:space="preserve">且归一化表示变量相对重要性；Mahalanobis距离利用协方差；OPTICS给出局部可达距离。所有统计量应由训练数据估计。</w:t>
      </w:r>
    </w:p>
    <w:p>
      <w:pPr>
        <w:pStyle w:val="BodyText"/>
        <w:widowControl/>
      </w:pPr>
      <w:r>
        <w:rPr>
          <w:bCs/>
          <w:b/>
        </w:rPr>
        <w:t xml:space="preserve">D 主公式和例子。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d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r>
            <m:t>x</m:t>
            <w:rPr>
              <w:rFonts w:ascii="Cambria Math" w:hAnsi="Cambria Math"/>
            </w:rPr>
          </m:r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=</m:t>
            <w:rPr>
              <w:rFonts w:ascii="Cambria Math" w:hAnsi="Cambria Math"/>
            </w:rPr>
          </m:r>
          <m:f>
            <m:fPr>
              <m:type m:val="bar"/>
            </m:fPr>
            <m:num>
              <m:r>
                <m:t>1</m:t>
                <w:rPr>
                  <w:rFonts w:ascii="Cambria Math" w:hAnsi="Cambria Math"/>
                </w:rPr>
              </m:r>
            </m:num>
            <m:den>
              <m:r>
                <m:t>K</m:t>
                <w:rPr>
                  <w:rFonts w:ascii="Cambria Math" w:hAnsi="Cambria Math"/>
                </w:rPr>
              </m:r>
            </m:den>
          </m:f>
          <m:nary>
            <m:naryPr>
              <m:chr m:val="∑"/>
              <m:limLoc m:val="undOvr"/>
              <m:subHide m:val="0"/>
              <m:supHide m:val="1"/>
            </m:naryPr>
            <m:sub>
              <m:r>
                <m:t>z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∈</m:t>
                <w:rPr>
                  <w:rFonts w:ascii="Cambria Math" w:hAnsi="Cambria Math"/>
                </w:rPr>
              </m:r>
              <m:sSub>
                <m:e>
                  <m:r>
                    <m:t>N</m:t>
                    <w:rPr>
                      <w:rFonts w:ascii="Cambria Math" w:hAnsi="Cambria Math"/>
                    </w:rPr>
                  </m:r>
                </m:e>
                <m:sub>
                  <m:r>
                    <m:t>K</m:t>
                    <w:rPr>
                      <w:rFonts w:ascii="Cambria Math" w:hAnsi="Cambria Math"/>
                    </w:rPr>
                  </m:r>
                </m:sub>
              </m:sSub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  <m:r>
                <m:t>x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)</m:t>
                <w:rPr>
                  <w:rFonts w:ascii="Cambria Math" w:hAnsi="Cambria Math"/>
                </w:rPr>
              </m:r>
            </m:sub>
            <m:sup>
              <m:r>
                <m:t>​</m:t>
                <w:rPr>
                  <w:rFonts w:ascii="Cambria Math" w:hAnsi="Cambria Math"/>
                </w:rPr>
              </m:r>
            </m:sup>
            <m:e>
              <m:sSub>
                <m:e>
                  <m:r>
                    <m:t>D</m:t>
                    <w:rPr>
                      <w:rFonts w:ascii="Cambria Math" w:hAnsi="Cambria Math"/>
                    </w:rPr>
                  </m:r>
                </m:e>
                <m:sub>
                  <m:r>
                    <m:t>S</m:t>
                    <w:rPr>
                      <w:rFonts w:ascii="Cambria Math" w:hAnsi="Cambria Math"/>
                    </w:rPr>
                  </m:r>
                </m:sub>
              </m:sSub>
            </m:e>
          </m:nary>
          <m:r>
            <m:rPr>
              <m:sty m:val="p"/>
            </m:rPr>
            <m:t>(</m:t>
            <w:rPr>
              <w:rFonts w:ascii="Cambria Math" w:hAnsi="Cambria Math"/>
            </w:rPr>
          </m:r>
          <m:acc>
            <m:accPr>
              <m:chr m:val="̃"/>
            </m:accPr>
            <m:e>
              <m:r>
                <m:t>x</m:t>
                <w:rPr>
                  <w:rFonts w:ascii="Cambria Math" w:hAnsi="Cambria Math"/>
                </w:rPr>
              </m:r>
            </m:e>
          </m:acc>
          <m:r>
            <m:rPr>
              <m:sty m:val="p"/>
            </m:rPr>
            <m:t>,</m:t>
            <w:rPr>
              <w:rFonts w:ascii="Cambria Math" w:hAnsi="Cambria Math"/>
            </w:rPr>
          </m:r>
          <m:acc>
            <m:accPr>
              <m:chr m:val="̃"/>
            </m:accPr>
            <m:e>
              <m:r>
                <m:t>z</m:t>
                <w:rPr>
                  <w:rFonts w:ascii="Cambria Math" w:hAnsi="Cambria Math"/>
                </w:rPr>
              </m:r>
            </m:e>
          </m:acc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r>
            <m:t>  </m:t>
            <w:rPr>
              <w:rFonts w:ascii="Cambria Math" w:hAnsi="Cambria Math"/>
            </w:rPr>
          </m:r>
          <m:sSub>
            <m:e>
              <m:r>
                <m:t>D</m:t>
                <w:rPr>
                  <w:rFonts w:ascii="Cambria Math" w:hAnsi="Cambria Math"/>
                </w:rPr>
              </m:r>
            </m:e>
            <m:sub>
              <m:r>
                <m:rPr>
                  <m:sty m:val="p"/>
                </m:rPr>
                <m:t>M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a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n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(</m:t>
            <w:rPr>
              <w:rFonts w:ascii="Cambria Math" w:hAnsi="Cambria Math"/>
            </w:rPr>
          </m:r>
          <m:acc>
            <m:accPr>
              <m:chr m:val="̃"/>
            </m:accPr>
            <m:e>
              <m:r>
                <m:t>x</m:t>
                <w:rPr>
                  <w:rFonts w:ascii="Cambria Math" w:hAnsi="Cambria Math"/>
                </w:rPr>
              </m:r>
            </m:e>
          </m:acc>
          <m:r>
            <m:rPr>
              <m:sty m:val="p"/>
            </m:rPr>
            <m:t>,</m:t>
            <w:rPr>
              <w:rFonts w:ascii="Cambria Math" w:hAnsi="Cambria Math"/>
            </w:rPr>
          </m:r>
          <m:acc>
            <m:accPr>
              <m:chr m:val="̃"/>
            </m:accPr>
            <m:e>
              <m:r>
                <m:t>z</m:t>
                <w:rPr>
                  <w:rFonts w:ascii="Cambria Math" w:hAnsi="Cambria Math"/>
                </w:rPr>
              </m:r>
            </m:e>
          </m:acc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=</m:t>
            <w:rPr>
              <w:rFonts w:ascii="Cambria Math" w:hAnsi="Cambria Math"/>
            </w:rPr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s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∈</m:t>
                <w:rPr>
                  <w:rFonts w:ascii="Cambria Math" w:hAnsi="Cambria Math"/>
                </w:rPr>
              </m:r>
              <m:r>
                <m:t>S</m:t>
                <w:rPr>
                  <w:rFonts w:ascii="Cambria Math" w:hAnsi="Cambria Math"/>
                </w:rPr>
              </m:r>
            </m:sub>
            <m:sup>
              <m:r>
                <m:t>​</m:t>
                <w:rPr>
                  <w:rFonts w:ascii="Cambria Math" w:hAnsi="Cambria Math"/>
                </w:rPr>
              </m:r>
            </m:sup>
            <m:e>
              <m:sSub>
                <m:e>
                  <m:r>
                    <m:t>w</m:t>
                    <w:rPr>
                      <w:rFonts w:ascii="Cambria Math" w:hAnsi="Cambria Math"/>
                    </w:rPr>
                  </m:r>
                </m:e>
                <m:sub>
                  <m:r>
                    <m:t>s</m:t>
                    <w:rPr>
                      <w:rFonts w:ascii="Cambria Math" w:hAnsi="Cambria Math"/>
                    </w:rPr>
                  </m:r>
                </m:sub>
              </m:sSub>
            </m:e>
          </m:nary>
          <m:r>
            <m:rPr>
              <m:sty m:val="p"/>
            </m:rPr>
            <m:t>|</m:t>
            <w:rPr>
              <w:rFonts w:ascii="Cambria Math" w:hAnsi="Cambria Math"/>
            </w:rPr>
          </m:r>
          <m:sSub>
            <m:e>
              <m:acc>
                <m:accPr>
                  <m:chr m:val="̃"/>
                </m:accPr>
                <m:e>
                  <m:r>
                    <m:t>x</m:t>
                    <w:rPr>
                      <w:rFonts w:ascii="Cambria Math" w:hAnsi="Cambria Math"/>
                    </w:rPr>
                  </m:r>
                </m:e>
              </m:acc>
            </m:e>
            <m:sub>
              <m:r>
                <m:t>s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−</m:t>
            <w:rPr>
              <w:rFonts w:ascii="Cambria Math" w:hAnsi="Cambria Math"/>
            </w:rPr>
          </m:r>
          <m:sSub>
            <m:e>
              <m:acc>
                <m:accPr>
                  <m:chr m:val="̃"/>
                </m:accPr>
                <m:e>
                  <m:r>
                    <m:t>z</m:t>
                    <w:rPr>
                      <w:rFonts w:ascii="Cambria Math" w:hAnsi="Cambria Math"/>
                    </w:rPr>
                  </m:r>
                </m:e>
              </m:acc>
            </m:e>
            <m:sub>
              <m:r>
                <m:t>s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|</m:t>
            <w:rPr>
              <w:rFonts w:ascii="Cambria Math" w:hAnsi="Cambria Math"/>
            </w:rPr>
          </m:r>
          <m:r>
            <m:rPr>
              <m:sty m:val="p"/>
            </m:rPr>
            <m:t>.</m:t>
            <w:rPr>
              <w:rFonts w:ascii="Cambria Math" w:hAnsi="Cambria Math"/>
            </w:rPr>
          </m:r>
        </m:oMath>
      </m:oMathPara>
    </w:p>
    <w:p>
      <w:pPr>
        <w:pStyle w:val="FirstParagraph"/>
        <w:widowControl/>
      </w:pPr>
      <w:r>
        <w:t xml:space="preserve">上节坐标视为已经标准化，设</w:t>
      </w:r>
      <m:oMath>
        <m:sSub>
          <m:e>
            <m:r>
              <m:t>w</m:t>
              <w:rPr>
                <w:rFonts w:ascii="Cambria Math" w:hAnsi="Cambria Math"/>
              </w:rPr>
            </m:r>
          </m:e>
          <m:sub>
            <m:r>
              <m:t>1</m:t>
              <w:rPr>
                <w:rFonts w:ascii="Cambria Math" w:hAnsi="Cambria Math"/>
              </w:rPr>
            </m:r>
          </m:sub>
        </m:sSub>
        <m:r>
          <m:rPr>
            <m:sty m:val="p"/>
          </m:rPr>
          <m:t>=</m:t>
          <w:rPr>
            <w:rFonts w:ascii="Cambria Math" w:hAnsi="Cambria Math"/>
          </w:rPr>
        </m:r>
        <m:r>
          <m:t>0.75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sSub>
          <m:e>
            <m:r>
              <m:t>w</m:t>
              <w:rPr>
                <w:rFonts w:ascii="Cambria Math" w:hAnsi="Cambria Math"/>
              </w:rPr>
            </m:r>
          </m:e>
          <m:sub>
            <m:r>
              <m:t>2</m:t>
              <w:rPr>
                <w:rFonts w:ascii="Cambria Math" w:hAnsi="Cambria Math"/>
              </w:rPr>
            </m:r>
          </m:sub>
        </m:sSub>
        <m:r>
          <m:rPr>
            <m:sty m:val="p"/>
          </m:rPr>
          <m:t>=</m:t>
          <w:rPr>
            <w:rFonts w:ascii="Cambria Math" w:hAnsi="Cambria Math"/>
          </w:rPr>
        </m:r>
        <m:r>
          <m:t>0.25</m:t>
          <w:rPr>
            <w:rFonts w:ascii="Cambria Math" w:hAnsi="Cambria Math"/>
          </w:rPr>
        </m:r>
      </m:oMath>
      <w:r>
        <w:t xml:space="preserve">。与A距离为</w:t>
      </w:r>
      <m:oMath>
        <m:r>
          <m:t>0.75</m:t>
          <w:rPr>
            <w:rFonts w:ascii="Cambria Math" w:hAnsi="Cambria Math"/>
          </w:rPr>
        </m:r>
        <m:r>
          <m:rPr>
            <m:sty m:val="p"/>
          </m:rPr>
          <m:t>×</m:t>
          <w:rPr>
            <w:rFonts w:ascii="Cambria Math" w:hAnsi="Cambria Math"/>
          </w:rPr>
        </m:r>
        <m:r>
          <m:t>0.2</m:t>
          <w:rPr>
            <w:rFonts w:ascii="Cambria Math" w:hAnsi="Cambria Math"/>
          </w:rPr>
        </m:r>
        <m:r>
          <m:rPr>
            <m:sty m:val="p"/>
          </m:rPr>
          <m:t>+</m:t>
          <w:rPr>
            <w:rFonts w:ascii="Cambria Math" w:hAnsi="Cambria Math"/>
          </w:rPr>
        </m:r>
        <m:r>
          <m:t>0.25</m:t>
          <w:rPr>
            <w:rFonts w:ascii="Cambria Math" w:hAnsi="Cambria Math"/>
          </w:rPr>
        </m:r>
        <m:r>
          <m:rPr>
            <m:sty m:val="p"/>
          </m:rPr>
          <m:t>×</m:t>
          <w:rPr>
            <w:rFonts w:ascii="Cambria Math" w:hAnsi="Cambria Math"/>
          </w:rPr>
        </m:r>
        <m:r>
          <m:t>0.1</m:t>
          <w:rPr>
            <w:rFonts w:ascii="Cambria Math" w:hAnsi="Cambria Math"/>
          </w:rPr>
        </m:r>
        <m:r>
          <m:rPr>
            <m:sty m:val="p"/>
          </m:rPr>
          <m:t>=</m:t>
          <w:rPr>
            <w:rFonts w:ascii="Cambria Math" w:hAnsi="Cambria Math"/>
          </w:rPr>
        </m:r>
        <m:r>
          <m:t>0.175</m:t>
          <w:rPr>
            <w:rFonts w:ascii="Cambria Math" w:hAnsi="Cambria Math"/>
          </w:rPr>
        </m:r>
      </m:oMath>
      <w:r>
        <w:t xml:space="preserve">；与C为</w:t>
      </w:r>
      <m:oMath>
        <m:r>
          <m:t>0.75</m:t>
          <w:rPr>
            <w:rFonts w:ascii="Cambria Math" w:hAnsi="Cambria Math"/>
          </w:rPr>
        </m:r>
        <m:r>
          <m:rPr>
            <m:sty m:val="p"/>
          </m:rPr>
          <m:t>×</m:t>
          <w:rPr>
            <w:rFonts w:ascii="Cambria Math" w:hAnsi="Cambria Math"/>
          </w:rPr>
        </m:r>
        <m:r>
          <m:t>0.1</m:t>
          <w:rPr>
            <w:rFonts w:ascii="Cambria Math" w:hAnsi="Cambria Math"/>
          </w:rPr>
        </m:r>
        <m:r>
          <m:rPr>
            <m:sty m:val="p"/>
          </m:rPr>
          <m:t>+</m:t>
          <w:rPr>
            <w:rFonts w:ascii="Cambria Math" w:hAnsi="Cambria Math"/>
          </w:rPr>
        </m:r>
        <m:r>
          <m:t>0.25</m:t>
          <w:rPr>
            <w:rFonts w:ascii="Cambria Math" w:hAnsi="Cambria Math"/>
          </w:rPr>
        </m:r>
        <m:r>
          <m:rPr>
            <m:sty m:val="p"/>
          </m:rPr>
          <m:t>×</m:t>
          <w:rPr>
            <w:rFonts w:ascii="Cambria Math" w:hAnsi="Cambria Math"/>
          </w:rPr>
        </m:r>
        <m:r>
          <m:t>0.3</m:t>
          <w:rPr>
            <w:rFonts w:ascii="Cambria Math" w:hAnsi="Cambria Math"/>
          </w:rPr>
        </m:r>
        <m:r>
          <m:rPr>
            <m:sty m:val="p"/>
          </m:rPr>
          <m:t>=</m:t>
          <w:rPr>
            <w:rFonts w:ascii="Cambria Math" w:hAnsi="Cambria Math"/>
          </w:rPr>
        </m:r>
        <m:r>
          <m:t>0.150</m:t>
          <w:rPr>
            <w:rFonts w:ascii="Cambria Math" w:hAnsi="Cambria Math"/>
          </w:rPr>
        </m:r>
      </m:oMath>
      <w:r>
        <w:t xml:space="preserve">；最终</w:t>
      </w:r>
      <m:oMath>
        <m:r>
          <m:t>d</m:t>
          <w:rPr>
            <w:rFonts w:ascii="Cambria Math" w:hAnsi="Cambria Math"/>
          </w:rPr>
        </m:r>
        <m:r>
          <m:rPr>
            <m:sty m:val="p"/>
          </m:rPr>
          <m:t>=</m:t>
          <w:rPr>
            <w:rFonts w:ascii="Cambria Math" w:hAnsi="Cambria Math"/>
          </w:rPr>
        </m:r>
        <m:r>
          <m:t>0.1625</m:t>
          <w:rPr>
            <w:rFonts w:ascii="Cambria Math" w:hAnsi="Cambria Math"/>
          </w:rPr>
        </m:r>
      </m:oMath>
      <w:r>
        <w:t xml:space="preserve">。这个值只是教学计算，未给校准阈值就不能直接说它异常。</w:t>
      </w:r>
    </w:p>
    <w:tbl>
      <w:tblPr>
        <w:tblStyle w:val="Table"/>
        <w:tblW w:type="pct" w:w="500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170"/>
        <w:gridCol w:w="3946"/>
        <w:gridCol w:w="3749"/>
      </w:tblGrid>
      <w:tr>
        <w:trPr>
          <w:cantSplit/>
          <w:tblHeader/>
        </w:trPr>
        <w:tc>
          <w:tcPr>
            <w:tcW w:type="dxa" w:w="2170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变体</w:t>
            </w:r>
          </w:p>
        </w:tc>
        <w:tc>
          <w:tcPr>
            <w:tcW w:type="dxa" w:w="3946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公式（$</w:t>
            </w:r>
            <w:r>
              <w:rPr>
                <w:b/>
                <w:color w:val="000000"/>
                <w:sz w:val="19"/>
              </w:rPr>
              <w:t xml:space="preserve">_s=</w:t>
            </w:r>
            <w:r>
              <w:rPr>
                <w:b/>
                <w:color w:val="000000"/>
                <w:sz w:val="19"/>
              </w:rPr>
              <w:t xml:space="preserve">x_s-</w:t>
            </w:r>
            <w:r>
              <w:rPr>
                <w:b/>
                <w:color w:val="000000"/>
                <w:sz w:val="19"/>
              </w:rPr>
              <w:t xml:space="preserve">z_s</w:t>
            </w:r>
            <w:r>
              <w:rPr>
                <w:b/>
                <w:color w:val="000000"/>
                <w:sz w:val="19"/>
              </w:rPr>
              <w:t xml:space="preserve">$）</w:t>
            </w:r>
          </w:p>
        </w:tc>
        <w:tc>
          <w:tcPr>
            <w:tcW w:type="dxa" w:w="3749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算法意义和限制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Product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m:oMath>
              <m:nary>
                <m:naryPr>
                  <m:chr m:val="∏"/>
                  <m:limLoc m:val="undOvr"/>
                  <m:subHide m:val="0"/>
                  <m:supHide m:val="1"/>
                </m:naryPr>
                <m:sub>
                  <m:r>
                    <m:t>s</m:t>
                    <w:rPr>
                      <w:rFonts w:ascii="Cambria Math" w:hAnsi="Cambria Math"/>
                    </w:rPr>
                  </m:r>
                </m:sub>
                <m:sup>
                  <m:r>
                    <m:t>​</m:t>
                    <w:rPr>
                      <w:rFonts w:ascii="Cambria Math" w:hAnsi="Cambria Math"/>
                    </w:rPr>
                  </m:r>
                </m:sup>
                <m:e>
                  <m:r>
                    <m:rPr>
                      <m:sty m:val="p"/>
                    </m:rPr>
                    <m:t>(</m:t>
                    <w:rPr>
                      <w:rFonts w:ascii="Cambria Math" w:hAnsi="Cambria Math"/>
                    </w:rPr>
                  </m:r>
                </m:e>
              </m:nary>
              <m:sSub>
                <m:e>
                  <m:r>
                    <m:t>Δ</m:t>
                    <w:rPr>
                      <w:rFonts w:ascii="Cambria Math" w:hAnsi="Cambria Math"/>
                    </w:rPr>
                  </m:r>
                </m:e>
                <m:sub>
                  <m:r>
                    <m:t>s</m:t>
                    <w:rPr>
                      <w:rFonts w:ascii="Cambria Math" w:hAnsi="Cambria Math"/>
                    </w:rPr>
                  </m:r>
                </m:sub>
              </m:sSub>
              <m:r>
                <m:rPr>
                  <m:sty m:val="p"/>
                </m:rPr>
                <m:t>+</m:t>
                <w:rPr>
                  <w:rFonts w:ascii="Cambria Math" w:hAnsi="Cambria Math"/>
                </w:rPr>
              </m:r>
              <m:r>
                <m:t>ϵ</m:t>
                <w:rPr>
                  <w:rFonts w:ascii="Cambria Math" w:hAnsi="Cambria Math"/>
                </w:rPr>
              </m:r>
              <m:sSup>
                <m:e>
                  <m:r>
                    <m:rPr>
                      <m:sty m:val="p"/>
                    </m:rPr>
                    <m:t>)</m:t>
                    <w:rPr>
                      <w:rFonts w:ascii="Cambria Math" w:hAnsi="Cambria Math"/>
                    </w:rPr>
                  </m:r>
                </m:e>
                <m:sup>
                  <m:sSub>
                    <m:e>
                      <m:r>
                        <m:t>w</m:t>
                        <w:rPr>
                          <w:rFonts w:ascii="Cambria Math" w:hAnsi="Cambria Math"/>
                        </w:rPr>
                      </m:r>
                    </m:e>
                    <m:sub>
                      <m:r>
                        <m:t>s</m:t>
                        <w:rPr>
                          <w:rFonts w:ascii="Cambria Math" w:hAnsi="Cambria Math"/>
                        </w:rPr>
                      </m:r>
                    </m:sub>
                  </m:sSub>
                </m:sup>
              </m:sSup>
            </m:oMath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乘法／几何平均式差异；</w:t>
            </w:r>
            <m:oMath>
              <m:r>
                <m:t>ϵ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&gt;</m:t>
                <w:rPr>
                  <w:rFonts w:ascii="Cambria Math" w:hAnsi="Cambria Math"/>
                </w:rPr>
              </m:r>
              <m:r>
                <m:t>0</m:t>
                <w:rPr>
                  <w:rFonts w:ascii="Cambria Math" w:hAnsi="Cambria Math"/>
                </w:rPr>
              </m:r>
            </m:oMath>
            <w:r>
              <w:rPr>
                <w:color w:val="000000"/>
                <w:sz w:val="19"/>
              </w:rPr>
              <w:t xml:space="preserve">防数值问题。一般不满足严格度量全部公理，不能凭名称当作度量空间距离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Euclidean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m:oMath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s</m:t>
                    <w:rPr>
                      <w:rFonts w:ascii="Cambria Math" w:hAnsi="Cambria Math"/>
                    </w:rPr>
                  </m:r>
                </m:sub>
                <m:sup>
                  <m:r>
                    <m:t>​</m:t>
                    <w:rPr>
                      <w:rFonts w:ascii="Cambria Math" w:hAnsi="Cambria Math"/>
                    </w:rPr>
                  </m:r>
                </m:sup>
                <m:e>
                  <m:sSub>
                    <m:e>
                      <m:r>
                        <m:t>w</m:t>
                        <w:rPr>
                          <w:rFonts w:ascii="Cambria Math" w:hAnsi="Cambria Math"/>
                        </w:rPr>
                      </m:r>
                    </m:e>
                    <m:sub>
                      <m:r>
                        <m:t>s</m:t>
                        <w:rPr>
                          <w:rFonts w:ascii="Cambria Math" w:hAnsi="Cambria Math"/>
                        </w:rPr>
                      </m:r>
                    </m:sub>
                  </m:sSub>
                </m:e>
              </m:nary>
              <m:sSubSup>
                <m:e>
                  <m:r>
                    <m:t>Δ</m:t>
                    <w:rPr>
                      <w:rFonts w:ascii="Cambria Math" w:hAnsi="Cambria Math"/>
                    </w:rPr>
                  </m:r>
                </m:e>
                <m:sub>
                  <m:r>
                    <m:t>s</m:t>
                    <w:rPr>
                      <w:rFonts w:ascii="Cambria Math" w:hAnsi="Cambria Math"/>
                    </w:rPr>
                  </m:r>
                </m:sub>
                <m:sup>
                  <m:r>
                    <m:t>2</m:t>
                    <w:rPr>
                      <w:rFonts w:ascii="Cambria Math" w:hAnsi="Cambria Math"/>
                    </w:rPr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  <w:rPr>
                      <w:rFonts w:ascii="Cambria Math" w:hAnsi="Cambria Math"/>
                    </w:rPr>
                  </m:r>
                </m:e>
                <m:sup>
                  <m:r>
                    <m:t>1</m:t>
                    <w:rPr>
                      <w:rFonts w:ascii="Cambria Math" w:hAnsi="Cambria Math"/>
                    </w:rPr>
                  </m:r>
                  <m:r>
                    <m:rPr>
                      <m:sty m:val="p"/>
                    </m:rPr>
                    <m:t>/</m:t>
                    <w:rPr>
                      <w:rFonts w:ascii="Cambria Math" w:hAnsi="Cambria Math"/>
                    </w:rPr>
                  </m:r>
                  <m:r>
                    <m:t>2</m:t>
                    <w:rPr>
                      <w:rFonts w:ascii="Cambria Math" w:hAnsi="Cambria Math"/>
                    </w:rPr>
                  </m:r>
                </m:sup>
              </m:sSup>
            </m:oMath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较强调大偏差，易解释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Manhattan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m:oMath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s</m:t>
                    <w:rPr>
                      <w:rFonts w:ascii="Cambria Math" w:hAnsi="Cambria Math"/>
                    </w:rPr>
                  </m:r>
                </m:sub>
                <m:sup>
                  <m:r>
                    <m:t>​</m:t>
                    <w:rPr>
                      <w:rFonts w:ascii="Cambria Math" w:hAnsi="Cambria Math"/>
                    </w:rPr>
                  </m:r>
                </m:sup>
                <m:e>
                  <m:sSub>
                    <m:e>
                      <m:r>
                        <m:t>w</m:t>
                        <w:rPr>
                          <w:rFonts w:ascii="Cambria Math" w:hAnsi="Cambria Math"/>
                        </w:rPr>
                      </m:r>
                    </m:e>
                    <m:sub>
                      <m:r>
                        <m:t>s</m:t>
                        <w:rPr>
                          <w:rFonts w:ascii="Cambria Math" w:hAnsi="Cambria Math"/>
                        </w:rPr>
                      </m:r>
                    </m:sub>
                  </m:sSub>
                </m:e>
              </m:nary>
              <m:sSub>
                <m:e>
                  <m:r>
                    <m:t>Δ</m:t>
                    <w:rPr>
                      <w:rFonts w:ascii="Cambria Math" w:hAnsi="Cambria Math"/>
                    </w:rPr>
                  </m:r>
                </m:e>
                <m:sub>
                  <m:r>
                    <m:t>s</m:t>
                    <w:rPr>
                      <w:rFonts w:ascii="Cambria Math" w:hAnsi="Cambria Math"/>
                    </w:rPr>
                  </m:r>
                </m:sub>
              </m:sSub>
            </m:oMath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可逐变量分解的加权绝对偏差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Minkowski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m:oMath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s</m:t>
                    <w:rPr>
                      <w:rFonts w:ascii="Cambria Math" w:hAnsi="Cambria Math"/>
                    </w:rPr>
                  </m:r>
                </m:sub>
                <m:sup>
                  <m:r>
                    <m:t>​</m:t>
                    <w:rPr>
                      <w:rFonts w:ascii="Cambria Math" w:hAnsi="Cambria Math"/>
                    </w:rPr>
                  </m:r>
                </m:sup>
                <m:e>
                  <m:sSub>
                    <m:e>
                      <m:r>
                        <m:t>w</m:t>
                        <w:rPr>
                          <w:rFonts w:ascii="Cambria Math" w:hAnsi="Cambria Math"/>
                        </w:rPr>
                      </m:r>
                    </m:e>
                    <m:sub>
                      <m:r>
                        <m:t>s</m:t>
                        <w:rPr>
                          <w:rFonts w:ascii="Cambria Math" w:hAnsi="Cambria Math"/>
                        </w:rPr>
                      </m:r>
                    </m:sub>
                  </m:sSub>
                </m:e>
              </m:nary>
              <m:sSubSup>
                <m:e>
                  <m:r>
                    <m:t>Δ</m:t>
                    <w:rPr>
                      <w:rFonts w:ascii="Cambria Math" w:hAnsi="Cambria Math"/>
                    </w:rPr>
                  </m:r>
                </m:e>
                <m:sub>
                  <m:r>
                    <m:t>s</m:t>
                    <w:rPr>
                      <w:rFonts w:ascii="Cambria Math" w:hAnsi="Cambria Math"/>
                    </w:rPr>
                  </m:r>
                </m:sub>
                <m:sup>
                  <m:r>
                    <m:t>p</m:t>
                    <w:rPr>
                      <w:rFonts w:ascii="Cambria Math" w:hAnsi="Cambria Math"/>
                    </w:rPr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  <w:rPr>
                      <w:rFonts w:ascii="Cambria Math" w:hAnsi="Cambria Math"/>
                    </w:rPr>
                  </m:r>
                </m:e>
                <m:sup>
                  <m:r>
                    <m:t>1</m:t>
                    <w:rPr>
                      <w:rFonts w:ascii="Cambria Math" w:hAnsi="Cambria Math"/>
                    </w:rPr>
                  </m:r>
                  <m:r>
                    <m:rPr>
                      <m:sty m:val="p"/>
                    </m:rPr>
                    <m:t>/</m:t>
                    <w:rPr>
                      <w:rFonts w:ascii="Cambria Math" w:hAnsi="Cambria Math"/>
                    </w:rPr>
                  </m:r>
                  <m:r>
                    <m:t>p</m:t>
                    <w:rPr>
                      <w:rFonts w:ascii="Cambria Math" w:hAnsi="Cambria Math"/>
                    </w:rPr>
                  </m:r>
                </m:sup>
              </m:sSup>
            </m:oMath>
            <w:r>
              <w:rPr>
                <w:color w:val="000000"/>
                <w:sz w:val="19"/>
              </w:rPr>
              <w:t xml:space="preserve">，本文p=4</w:t>
            </w:r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比欧氏更强调大坐标偏差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Mahalanobis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m:oMath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  <m:sSup>
                <m:e>
                  <m:r>
                    <m:t>Δ</m:t>
                    <w:rPr>
                      <w:rFonts w:ascii="Cambria Math" w:hAnsi="Cambria Math"/>
                    </w:rPr>
                  </m:r>
                </m:e>
                <m:sup>
                  <m:r>
                    <m:t>T</m:t>
                    <w:rPr>
                      <w:rFonts w:ascii="Cambria Math" w:hAnsi="Cambria Math"/>
                    </w:rPr>
                  </m:r>
                </m:sup>
              </m:sSup>
              <m:sSubSup>
                <m:e>
                  <m:r>
                    <m:t>Σ</m:t>
                    <w:rPr>
                      <w:rFonts w:ascii="Cambria Math" w:hAnsi="Cambria Math"/>
                    </w:rPr>
                  </m:r>
                </m:e>
                <m:sub>
                  <m:r>
                    <m:t>S</m:t>
                    <w:rPr>
                      <w:rFonts w:ascii="Cambria Math" w:hAnsi="Cambria Math"/>
                    </w:rPr>
                  </m:r>
                </m:sub>
                <m:sup>
                  <m:r>
                    <m:rPr>
                      <m:sty m:val="p"/>
                    </m:rPr>
                    <m:t>−</m:t>
                    <w:rPr>
                      <w:rFonts w:ascii="Cambria Math" w:hAnsi="Cambria Math"/>
                    </w:rPr>
                  </m:r>
                  <m:r>
                    <m:t>1</m:t>
                    <w:rPr>
                      <w:rFonts w:ascii="Cambria Math" w:hAnsi="Cambria Math"/>
                    </w:rPr>
                  </m:r>
                </m:sup>
              </m:sSubSup>
              <m:r>
                <m:t>Δ</m:t>
                <w:rPr>
                  <w:rFonts w:ascii="Cambria Math" w:hAnsi="Cambria Math"/>
                </w:rPr>
              </m:r>
              <m:sSup>
                <m:e>
                  <m:r>
                    <m:rPr>
                      <m:sty m:val="p"/>
                    </m:rPr>
                    <m:t>)</m:t>
                    <w:rPr>
                      <w:rFonts w:ascii="Cambria Math" w:hAnsi="Cambria Math"/>
                    </w:rPr>
                  </m:r>
                </m:e>
                <m:sup>
                  <m:r>
                    <m:t>1</m:t>
                    <w:rPr>
                      <w:rFonts w:ascii="Cambria Math" w:hAnsi="Cambria Math"/>
                    </w:rPr>
                  </m:r>
                  <m:r>
                    <m:rPr>
                      <m:sty m:val="p"/>
                    </m:rPr>
                    <m:t>/</m:t>
                    <w:rPr>
                      <w:rFonts w:ascii="Cambria Math" w:hAnsi="Cambria Math"/>
                    </w:rPr>
                  </m:r>
                  <m:r>
                    <m:t>2</m:t>
                    <w:rPr>
                      <w:rFonts w:ascii="Cambria Math" w:hAnsi="Cambria Math"/>
                    </w:rPr>
                  </m:r>
                </m:sup>
              </m:sSup>
            </m:oMath>
            <w:r>
              <w:rPr>
                <w:color w:val="000000"/>
                <w:sz w:val="19"/>
              </w:rPr>
              <w:t xml:space="preserve">，此处</w:t>
            </w:r>
            <m:oMath>
              <m:r>
                <m:t>Δ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=</m:t>
                <w:rPr>
                  <w:rFonts w:ascii="Cambria Math" w:hAnsi="Cambria Math"/>
                </w:rPr>
              </m:r>
              <m:acc>
                <m:accPr>
                  <m:chr m:val="̃"/>
                </m:accPr>
                <m:e>
                  <m:r>
                    <m:t>x</m:t>
                    <w:rPr>
                      <w:rFonts w:ascii="Cambria Math" w:hAnsi="Cambria Math"/>
                    </w:rPr>
                  </m:r>
                </m:e>
              </m:acc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  <m:r>
                <m:t>S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)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−</m:t>
                <w:rPr>
                  <w:rFonts w:ascii="Cambria Math" w:hAnsi="Cambria Math"/>
                </w:rPr>
              </m:r>
              <m:acc>
                <m:accPr>
                  <m:chr m:val="̃"/>
                </m:accPr>
                <m:e>
                  <m:r>
                    <m:t>z</m:t>
                    <w:rPr>
                      <w:rFonts w:ascii="Cambria Math" w:hAnsi="Cambria Math"/>
                    </w:rPr>
                  </m:r>
                </m:e>
              </m:acc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  <m:r>
                <m:t>S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)</m:t>
                <w:rPr>
                  <w:rFonts w:ascii="Cambria Math" w:hAnsi="Cambria Math"/>
                </w:rPr>
              </m:r>
            </m:oMath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考虑训练相关性；表1不额外施加VarPro坐标权重；需可逆协方差或另行正则化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OPTICS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m:oMath>
              <m:r>
                <m:rPr>
                  <m:sty m:val="p"/>
                </m:rPr>
                <m:t>R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e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a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c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h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a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b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i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l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i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t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y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  <m:r>
                <m:t>x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∣</m:t>
                <w:rPr>
                  <w:rFonts w:ascii="Cambria Math" w:hAnsi="Cambria Math"/>
                </w:rPr>
              </m:r>
              <m:sSub>
                <m:e>
                  <m:r>
                    <m:t>N</m:t>
                    <w:rPr>
                      <w:rFonts w:ascii="Cambria Math" w:hAnsi="Cambria Math"/>
                    </w:rPr>
                  </m:r>
                </m:e>
                <m:sub>
                  <m:r>
                    <m:t>K</m:t>
                    <w:rPr>
                      <w:rFonts w:ascii="Cambria Math" w:hAnsi="Cambria Math"/>
                    </w:rPr>
                  </m:r>
                </m:sub>
              </m:sSub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  <m:r>
                <m:t>x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)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,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m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i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n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P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t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s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,</m:t>
                <w:rPr>
                  <w:rFonts w:ascii="Cambria Math" w:hAnsi="Cambria Math"/>
                </w:rPr>
              </m:r>
              <m:r>
                <m:t>w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)</m:t>
                <w:rPr>
                  <w:rFonts w:ascii="Cambria Math" w:hAnsi="Cambria Math"/>
                </w:rPr>
              </m:r>
            </m:oMath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在</w:t>
            </w:r>
            <m:oMath>
              <m:sSub>
                <m:e>
                  <m:r>
                    <m:t>N</m:t>
                    <w:rPr>
                      <w:rFonts w:ascii="Cambria Math" w:hAnsi="Cambria Math"/>
                    </w:rPr>
                  </m:r>
                </m:e>
                <m:sub>
                  <m:r>
                    <m:t>K</m:t>
                    <w:rPr>
                      <w:rFonts w:ascii="Cambria Math" w:hAnsi="Cambria Math"/>
                    </w:rPr>
                  </m:r>
                </m:sub>
              </m:sSub>
              <m:r>
                <m:rPr>
                  <m:sty m:val="p"/>
                </m:rPr>
                <m:t>∪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{</m:t>
                <w:rPr>
                  <w:rFonts w:ascii="Cambria Math" w:hAnsi="Cambria Math"/>
                </w:rPr>
              </m:r>
              <m:r>
                <m:t>x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}</m:t>
                <w:rPr>
                  <w:rFonts w:ascii="Cambria Math" w:hAnsi="Cambria Math"/>
                </w:rPr>
              </m:r>
            </m:oMath>
            <w:r>
              <w:rPr>
                <w:color w:val="000000"/>
                <w:sz w:val="19"/>
              </w:rPr>
              <w:t xml:space="preserve">上使用选定坐标并按</w:t>
            </w:r>
            <m:oMath>
              <m:rad>
                <m:radPr>
                  <m:degHide m:val="1"/>
                </m:radPr>
                <m:deg/>
                <m:e>
                  <m:sSub>
                    <m:e>
                      <m:r>
                        <m:t>w</m:t>
                        <w:rPr>
                          <w:rFonts w:ascii="Cambria Math" w:hAnsi="Cambria Math"/>
                        </w:rPr>
                      </m:r>
                    </m:e>
                    <m:sub>
                      <m:r>
                        <m:t>s</m:t>
                        <w:rPr>
                          <w:rFonts w:ascii="Cambria Math" w:hAnsi="Cambria Math"/>
                        </w:rPr>
                      </m:r>
                    </m:sub>
                  </m:sSub>
                </m:e>
              </m:rad>
            </m:oMath>
            <w:r>
              <w:rPr>
                <w:color w:val="000000"/>
                <w:sz w:val="19"/>
              </w:rPr>
              <w:t xml:space="preserve">缩放；默认minPts=5。直接返回可达分数，不走前五种平均成对距离公式</w:t>
            </w:r>
          </w:p>
        </w:tc>
      </w:tr>
    </w:tbl>
    <w:p>
      <w:pPr>
        <w:pStyle w:val="BodyText"/>
        <w:widowControl/>
      </w:pPr>
      <w:r>
        <w:t xml:space="preserve">相关关系二维直觉：训练标准化协方差</w:t>
      </w:r>
      <m:oMath>
        <m:r>
          <m:t>Σ</m:t>
          <w:rPr>
            <w:rFonts w:ascii="Cambria Math" w:hAnsi="Cambria Math"/>
          </w:rPr>
        </m:r>
        <m:r>
          <m:rPr>
            <m:sty m:val="p"/>
          </m:rPr>
          <m:t>=</m:t>
          <w:rPr>
            <w:rFonts w:ascii="Cambria Math" w:hAnsi="Cambria Math"/>
          </w:rPr>
        </m:r>
        <m:d>
          <m:dPr>
            <m:begChr m:val="("/>
            <m:endChr m:val=")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  <w:rPr>
                      <w:rFonts w:ascii="Cambria Math" w:hAnsi="Cambria Math"/>
                    </w:rPr>
                  </m:r>
                </m:e>
                <m:e>
                  <m:r>
                    <m:t>0.9</m:t>
                    <w:rPr>
                      <w:rFonts w:ascii="Cambria Math" w:hAnsi="Cambria Math"/>
                    </w:rPr>
                  </m:r>
                </m:e>
              </m:mr>
              <m:mr>
                <m:e>
                  <m:r>
                    <m:t>0.9</m:t>
                    <w:rPr>
                      <w:rFonts w:ascii="Cambria Math" w:hAnsi="Cambria Math"/>
                    </w:rPr>
                  </m:r>
                </m:e>
                <m:e>
                  <m:r>
                    <m:t>1</m:t>
                    <w:rPr>
                      <w:rFonts w:ascii="Cambria Math" w:hAnsi="Cambria Math"/>
                    </w:rPr>
                  </m:r>
                </m:e>
              </m:mr>
            </m:m>
          </m:e>
        </m:d>
      </m:oMath>
      <w:r>
        <w:t xml:space="preserve">。相对中心，</w:t>
      </w:r>
      <m:oMath>
        <m:r>
          <m:rPr>
            <m:sty m:val="p"/>
          </m:rPr>
          <m:t>(</m:t>
          <w:rPr>
            <w:rFonts w:ascii="Cambria Math" w:hAnsi="Cambria Math"/>
          </w:rPr>
        </m:r>
        <m:r>
          <m:t>1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1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</m:oMath>
      <w:r>
        <w:t xml:space="preserve">与</w:t>
      </w:r>
      <m:oMath>
        <m:r>
          <m:rPr>
            <m:sty m:val="p"/>
          </m:rPr>
          <m:t>(</m:t>
          <w:rPr>
            <w:rFonts w:ascii="Cambria Math" w:hAnsi="Cambria Math"/>
          </w:rPr>
        </m:r>
        <m:r>
          <m:t>1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rPr>
            <m:sty m:val="p"/>
          </m:rPr>
          <m:t>−</m:t>
          <w:rPr>
            <w:rFonts w:ascii="Cambria Math" w:hAnsi="Cambria Math"/>
          </w:rPr>
        </m:r>
        <m:r>
          <m:t>1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</m:oMath>
      <w:r>
        <w:t xml:space="preserve">的欧氏距离都为</w:t>
      </w:r>
      <m:oMath>
        <m:rad>
          <m:radPr>
            <m:degHide m:val="1"/>
          </m:radPr>
          <m:deg/>
          <m:e>
            <m:r>
              <m:t>2</m:t>
              <w:rPr>
                <w:rFonts w:ascii="Cambria Math" w:hAnsi="Cambria Math"/>
              </w:rPr>
            </m:r>
          </m:e>
        </m:rad>
      </m:oMath>
      <w:r>
        <w:t xml:space="preserve">，但Mahalanobis距离分别约1.026和4.472。后者违背</w:t>
      </w:r>
      <w:r>
        <w:t xml:space="preserve">“</w:t>
      </w:r>
      <w:r>
        <w:t xml:space="preserve">两个变量同向变化</w:t>
      </w:r>
      <w:r>
        <w:t xml:space="preserve">”</w:t>
      </w:r>
      <w:r>
        <w:t xml:space="preserve">的训练关系。【教学例；不是声称主算法只比较全局中心】</w:t>
      </w:r>
    </w:p>
    <w:p>
      <w:pPr>
        <w:pStyle w:val="BodyText"/>
        <w:widowControl/>
      </w:pPr>
      <w:r>
        <w:rPr>
          <w:bCs/>
          <w:b/>
        </w:rPr>
        <w:t xml:space="preserve">E 本节结论。</w:t>
      </w:r>
    </w:p>
    <w:p>
      <w:pPr>
        <w:widowControl/>
        <w:numPr>
          <w:ilvl w:val="0"/>
          <w:numId w:val="1005"/>
        </w:numPr>
        <w:pStyle w:val="Compact"/>
      </w:pPr>
      <w:r>
        <w:t xml:space="preserve">最终分数属于子空间距离，不是预测残差。</w:t>
      </w:r>
    </w:p>
    <w:p>
      <w:pPr>
        <w:widowControl/>
        <w:numPr>
          <w:ilvl w:val="0"/>
          <w:numId w:val="1005"/>
        </w:numPr>
        <w:pStyle w:val="Compact"/>
      </w:pPr>
      <w:r>
        <w:t xml:space="preserve">标准化、距离选择和协方差可逆性影响结果。</w:t>
      </w:r>
    </w:p>
    <w:p>
      <w:pPr>
        <w:widowControl/>
        <w:numPr>
          <w:ilvl w:val="0"/>
          <w:numId w:val="1005"/>
        </w:numPr>
        <w:pStyle w:val="Compact"/>
      </w:pPr>
      <w:r>
        <w:t xml:space="preserve">六个变体共享框架，但OPTICS的最终运算不同。</w:t>
      </w:r>
    </w:p>
    <w:bookmarkEnd w:id="30"/>
    <w:bookmarkStart w:id="31" w:name="comparison-methods名称相同不代表原始算法完全相同"/>
    <w:p>
      <w:pPr>
        <w:pStyle w:val="Heading3"/>
        <w:widowControl/>
      </w:pPr>
      <w:r>
        <w:rPr>
          <w:color w:val="000000"/>
        </w:rPr>
        <w:t xml:space="preserve">3.6 Comparison methods：名称相同不代表原始算法完全相同</w:t>
      </w:r>
    </w:p>
    <w:p>
      <w:pPr>
        <w:pStyle w:val="FirstParagraph"/>
        <w:widowControl/>
      </w:pPr>
      <w:r>
        <w:rPr>
          <w:bCs/>
          <w:b/>
        </w:rPr>
        <w:t xml:space="preserve">A 讲什么。</w:t>
      </w:r>
      <w:r>
        <w:t xml:space="preserve"> </w:t>
      </w:r>
      <w:r>
        <w:t xml:space="preserve">论文比较15种基线。神经网络通常共享两层ReLU隐藏层、batch normalization、dropout与单回归输出；采用MSE训练。[§4、表2]</w:t>
      </w:r>
    </w:p>
    <w:p>
      <w:pPr>
        <w:pStyle w:val="BodyText"/>
        <w:widowControl/>
      </w:pPr>
      <w:r>
        <w:rPr>
          <w:bCs/>
          <w:b/>
        </w:rPr>
        <w:t xml:space="preserve">B 为什么讲。</w:t>
      </w:r>
      <w:r>
        <w:t xml:space="preserve"> </w:t>
      </w:r>
      <w:r>
        <w:t xml:space="preserve">要知道优势是相对哪些实际实现得到的，而不是只读方法名称。</w:t>
      </w:r>
    </w:p>
    <w:p>
      <w:pPr>
        <w:pStyle w:val="BodyText"/>
        <w:widowControl/>
      </w:pPr>
      <w:r>
        <w:rPr>
          <w:bCs/>
          <w:b/>
        </w:rPr>
        <w:t xml:space="preserve">C 关键概念。</w:t>
      </w:r>
      <w:r>
        <w:t xml:space="preserve"> </w:t>
      </w:r>
      <m:oMath>
        <m:r>
          <m:t>f</m:t>
          <w:rPr>
            <w:rFonts w:ascii="Cambria Math" w:hAnsi="Cambria Math"/>
          </w:rPr>
        </m:r>
        <m:r>
          <m:rPr>
            <m:sty m:val="p"/>
          </m:rPr>
          <m:t>(</m:t>
          <w:rPr>
            <w:rFonts w:ascii="Cambria Math" w:hAnsi="Cambria Math"/>
          </w:rPr>
        </m:r>
        <m:r>
          <m:t>x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</m:oMath>
      <w:r>
        <w:t xml:space="preserve">为拟合预测；</w:t>
      </w:r>
      <m:oMath>
        <m:r>
          <m:t>h</m:t>
          <w:rPr>
            <w:rFonts w:ascii="Cambria Math" w:hAnsi="Cambria Math"/>
          </w:rPr>
        </m:r>
        <m:r>
          <m:rPr>
            <m:sty m:val="p"/>
          </m:rPr>
          <m:t>(</m:t>
          <w:rPr>
            <w:rFonts w:ascii="Cambria Math" w:hAnsi="Cambria Math"/>
          </w:rPr>
        </m:r>
        <m:r>
          <m:t>x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</m:oMath>
      <w:r>
        <w:t xml:space="preserve">为倒数第二层表征；输入梯度反映局部敏感性；后验预测方差和集成方差反映不同来源的不确定性。它们都不直接等于学习外真值。</w:t>
      </w:r>
    </w:p>
    <w:p>
      <w:pPr>
        <w:pStyle w:val="BodyText"/>
        <w:widowControl/>
      </w:pPr>
      <w:r>
        <w:rPr>
          <w:bCs/>
          <w:b/>
        </w:rPr>
        <w:t xml:space="preserve">D 公式。</w:t>
      </w:r>
      <w:r>
        <w:t xml:space="preserve"> </w:t>
      </w:r>
      <w:r>
        <w:t xml:space="preserve">见§5基线表。特别是MSP/ODIN/Energy在这里经过回归适配，conformal基线采用预测位置分数，不能将结果写为对原始分类算法或所有conformal方法的普遍否定。</w:t>
      </w:r>
    </w:p>
    <w:p>
      <w:pPr>
        <w:pStyle w:val="BodyText"/>
        <w:widowControl/>
      </w:pPr>
      <w:r>
        <w:rPr>
          <w:bCs/>
          <w:b/>
        </w:rPr>
        <w:t xml:space="preserve">E 本节结论。</w:t>
      </w:r>
    </w:p>
    <w:p>
      <w:pPr>
        <w:widowControl/>
        <w:numPr>
          <w:ilvl w:val="0"/>
          <w:numId w:val="1006"/>
        </w:numPr>
        <w:pStyle w:val="Compact"/>
      </w:pPr>
      <w:r>
        <w:t xml:space="preserve">汇报时注明回归适配版本。</w:t>
      </w:r>
    </w:p>
    <w:p>
      <w:pPr>
        <w:widowControl/>
        <w:numPr>
          <w:ilvl w:val="0"/>
          <w:numId w:val="1006"/>
        </w:numPr>
        <w:pStyle w:val="Compact"/>
      </w:pPr>
      <w:r>
        <w:t xml:space="preserve">基线使用X、Y、隐藏表征和梯度的条件不同。</w:t>
      </w:r>
    </w:p>
    <w:p>
      <w:pPr>
        <w:widowControl/>
        <w:numPr>
          <w:ilvl w:val="0"/>
          <w:numId w:val="1006"/>
        </w:numPr>
        <w:pStyle w:val="Compact"/>
      </w:pPr>
      <w:r>
        <w:t xml:space="preserve">公平比较还取决于调参预算及具体实现，正文信息未完全覆盖。</w:t>
      </w:r>
    </w:p>
    <w:bookmarkEnd w:id="31"/>
    <w:bookmarkStart w:id="32" w:name="experiments-5.1为什么被扰动不一定就是异常"/>
    <w:p>
      <w:pPr>
        <w:pStyle w:val="Heading3"/>
        <w:widowControl/>
      </w:pPr>
      <w:r>
        <w:rPr>
          <w:color w:val="000000"/>
        </w:rPr>
        <w:t xml:space="preserve">3.7 Experiments 5.1：为什么被扰动不一定就是异常</w:t>
      </w:r>
    </w:p>
    <w:p>
      <w:pPr>
        <w:pStyle w:val="FirstParagraph"/>
        <w:widowControl/>
      </w:pPr>
      <w:r>
        <w:rPr>
          <w:bCs/>
          <w:b/>
        </w:rPr>
        <w:t xml:space="preserve">A 讲什么。</w:t>
      </w:r>
      <w:r>
        <w:t xml:space="preserve"> </w:t>
      </w:r>
      <w:r>
        <w:t xml:space="preserve">以已知支持的Friedman回归生成训练数据，再扰动重要变量；只将超出[0,1]的点标为异常。[pp.12–13]</w:t>
      </w:r>
    </w:p>
    <w:p>
      <w:pPr>
        <w:pStyle w:val="BodyText"/>
        <w:widowControl/>
      </w:pPr>
      <w:r>
        <w:rPr>
          <w:bCs/>
          <w:b/>
        </w:rPr>
        <w:t xml:space="preserve">B 为什么讲。</w:t>
      </w:r>
      <w:r>
        <w:t xml:space="preserve"> </w:t>
      </w:r>
      <w:r>
        <w:t xml:space="preserve">避免把仍然合法的样本错误当成异常，提高评价标签可解释性。</w:t>
      </w:r>
    </w:p>
    <w:p>
      <w:pPr>
        <w:pStyle w:val="BodyText"/>
        <w:widowControl/>
      </w:pPr>
      <w:r>
        <w:rPr>
          <w:bCs/>
          <w:b/>
        </w:rPr>
        <w:t xml:space="preserve">C 关键概念。</w:t>
      </w:r>
      <w:r>
        <w:t xml:space="preserve"> </w:t>
      </w:r>
      <w:r>
        <w:t xml:space="preserve">支持是总体可能取值区域；均匀分布</w:t>
      </w:r>
      <m:oMath>
        <m:r>
          <m:t>U</m:t>
          <w:rPr>
            <w:rFonts w:ascii="Cambria Math" w:hAnsi="Cambria Math"/>
          </w:rPr>
        </m:r>
        <m:r>
          <m:rPr>
            <m:sty m:val="p"/>
          </m:rPr>
          <m:t>[</m:t>
          <w:rPr>
            <w:rFonts w:ascii="Cambria Math" w:hAnsi="Cambria Math"/>
          </w:rPr>
        </m:r>
        <m:r>
          <m:t>0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1</m:t>
          <w:rPr>
            <w:rFonts w:ascii="Cambria Math" w:hAnsi="Cambria Math"/>
          </w:rPr>
        </m:r>
        <m:r>
          <m:rPr>
            <m:sty m:val="p"/>
          </m:rPr>
          <m:t>]</m:t>
          <w:rPr>
            <w:rFonts w:ascii="Cambria Math" w:hAnsi="Cambria Math"/>
          </w:rPr>
        </m:r>
      </m:oMath>
      <w:r>
        <w:t xml:space="preserve">不是有限训练样本最小最大值区间；真实标签由已知生成规则给出，而非模型预测对错。</w:t>
      </w:r>
    </w:p>
    <w:p>
      <w:pPr>
        <w:pStyle w:val="BodyText"/>
        <w:widowControl/>
      </w:pPr>
      <w:r>
        <w:rPr>
          <w:bCs/>
          <w:b/>
        </w:rPr>
        <w:t xml:space="preserve">D 必需公式。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Y</m:t>
            <w:rPr>
              <w:rFonts w:ascii="Cambria Math" w:hAnsi="Cambria Math"/>
            </w:rPr>
          </m:r>
          <m:r>
            <m:rPr>
              <m:sty m:val="p"/>
            </m:rPr>
            <m:t>=</m:t>
            <w:rPr>
              <w:rFonts w:ascii="Cambria Math" w:hAnsi="Cambria Math"/>
            </w:rPr>
          </m:r>
          <m:r>
            <m:t>10</m:t>
            <w:rPr>
              <w:rFonts w:ascii="Cambria Math" w:hAnsi="Cambria Math"/>
            </w:rPr>
          </m:r>
          <m:r>
            <m:rPr>
              <m:nor/>
              <m:sty m:val="p"/>
            </m:rPr>
            <m:t>sin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r>
            <m:t>π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1</m:t>
                <w:rPr>
                  <w:rFonts w:ascii="Cambria Math" w:hAnsi="Cambria Math"/>
                </w:rPr>
              </m:r>
            </m:sub>
          </m:sSub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2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+</m:t>
            <w:rPr>
              <w:rFonts w:ascii="Cambria Math" w:hAnsi="Cambria Math"/>
            </w:rPr>
          </m:r>
          <m:r>
            <m:t>20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3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−</m:t>
            <w:rPr>
              <w:rFonts w:ascii="Cambria Math" w:hAnsi="Cambria Math"/>
            </w:rPr>
          </m:r>
          <m:r>
            <m:t>0.5</m:t>
            <w:rPr>
              <w:rFonts w:ascii="Cambria Math" w:hAnsi="Cambria Math"/>
            </w:rPr>
          </m:r>
          <m:sSup>
            <m:e>
              <m:r>
                <m:rPr>
                  <m:sty m:val="p"/>
                </m:rPr>
                <m:t>)</m:t>
                <w:rPr>
                  <w:rFonts w:ascii="Cambria Math" w:hAnsi="Cambria Math"/>
                </w:rPr>
              </m:r>
            </m:e>
            <m:sup>
              <m:r>
                <m:t>2</m:t>
                <w:rPr>
                  <w:rFonts w:ascii="Cambria Math" w:hAnsi="Cambria Math"/>
                </w:rPr>
              </m:r>
            </m:sup>
          </m:sSup>
          <m:r>
            <m:rPr>
              <m:sty m:val="p"/>
            </m:rPr>
            <m:t>+</m:t>
            <w:rPr>
              <w:rFonts w:ascii="Cambria Math" w:hAnsi="Cambria Math"/>
            </w:rPr>
          </m:r>
          <m:r>
            <m:t>10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4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+</m:t>
            <w:rPr>
              <w:rFonts w:ascii="Cambria Math" w:hAnsi="Cambria Math"/>
            </w:rPr>
          </m:r>
          <m:r>
            <m:t>5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5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+</m:t>
            <w:rPr>
              <w:rFonts w:ascii="Cambria Math" w:hAnsi="Cambria Math"/>
            </w:rPr>
          </m:r>
          <m:r>
            <m:t>ϵ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r>
            <m:t> 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j</m:t>
                <w:rPr>
                  <w:rFonts w:ascii="Cambria Math" w:hAnsi="Cambria Math"/>
                </w:rPr>
              </m:r>
            </m:sub>
          </m:sSub>
          <m:limUpp>
            <m:e>
              <m:r>
                <m:rPr>
                  <m:sty m:val="p"/>
                </m:rPr>
                <m:t>∼</m:t>
                <w:rPr>
                  <w:rFonts w:ascii="Cambria Math" w:hAnsi="Cambria Math"/>
                </w:rPr>
              </m:r>
            </m:e>
            <m:lim>
              <m:r>
                <m:t>i</m:t>
                <w:rPr>
                  <w:rFonts w:ascii="Cambria Math" w:hAnsi="Cambria Math"/>
                </w:rPr>
              </m:r>
              <m:r>
                <m:t>i</m:t>
                <w:rPr>
                  <w:rFonts w:ascii="Cambria Math" w:hAnsi="Cambria Math"/>
                </w:rPr>
              </m:r>
              <m:r>
                <m:t>d</m:t>
                <w:rPr>
                  <w:rFonts w:ascii="Cambria Math" w:hAnsi="Cambria Math"/>
                </w:rPr>
              </m:r>
            </m:lim>
          </m:limUpp>
          <m:r>
            <m:t>U</m:t>
            <w:rPr>
              <w:rFonts w:ascii="Cambria Math" w:hAnsi="Cambria Math"/>
            </w:rPr>
          </m:r>
          <m:r>
            <m:rPr>
              <m:sty m:val="p"/>
            </m:rPr>
            <m:t>[</m:t>
            <w:rPr>
              <w:rFonts w:ascii="Cambria Math" w:hAnsi="Cambria Math"/>
            </w:rPr>
          </m:r>
          <m:r>
            <m:t>0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r>
            <m:t>1</m:t>
            <w:rPr>
              <w:rFonts w:ascii="Cambria Math" w:hAnsi="Cambria Math"/>
            </w:rPr>
          </m:r>
          <m:r>
            <m:rPr>
              <m:sty m:val="p"/>
            </m:rPr>
            <m:t>]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r>
            <m:t> </m:t>
            <w:rPr>
              <w:rFonts w:ascii="Cambria Math" w:hAnsi="Cambria Math"/>
            </w:rPr>
          </m:r>
          <m:r>
            <m:t>ϵ</m:t>
            <w:rPr>
              <w:rFonts w:ascii="Cambria Math" w:hAnsi="Cambria Math"/>
            </w:rPr>
          </m:r>
          <m:r>
            <m:rPr>
              <m:sty m:val="p"/>
            </m:rPr>
            <m:t>∼</m:t>
            <w:rPr>
              <w:rFonts w:ascii="Cambria Math" w:hAnsi="Cambria Math"/>
            </w:rPr>
          </m:r>
          <m:r>
            <m:t>N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r>
            <m:t>0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r>
            <m:t>1</m:t>
            <w:rPr>
              <w:rFonts w:ascii="Cambria Math" w:hAnsi="Cambria Math"/>
            </w:rPr>
          </m:r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.</m:t>
            <w:rPr>
              <w:rFonts w:ascii="Cambria Math" w:hAnsi="Cambria Math"/>
            </w:rPr>
          </m:r>
        </m:oMath>
      </m:oMathPara>
    </w:p>
    <w:p>
      <w:pPr>
        <w:pStyle w:val="FirstParagraph"/>
        <w:widowControl/>
      </w:pPr>
      <w:r>
        <w:t xml:space="preserve">d=20，但只有前5个变量决定Y。</w:t>
      </w:r>
      <m:oMath>
        <m:r>
          <m:t>ϵ</m:t>
          <w:rPr>
            <w:rFonts w:ascii="Cambria Math" w:hAnsi="Cambria Math"/>
          </w:rPr>
        </m:r>
      </m:oMath>
      <w:r>
        <w:t xml:space="preserve">是输出噪声。实际选择gradient boosting排名前10%的输入进行扰动，即20维中2个。</w:t>
      </w:r>
    </w:p>
    <w:p>
      <w:pPr>
        <w:pStyle w:val="BodyText"/>
        <w:widowControl/>
      </w:pPr>
      <m:oMathPara>
        <m:oMathParaPr>
          <m:jc m:val="center"/>
        </m:oMathParaPr>
        <m:oMath>
          <m:sSup>
            <m:e>
              <m:r>
                <m:t>X</m:t>
                <w:rPr>
                  <w:rFonts w:ascii="Cambria Math" w:hAnsi="Cambria Math"/>
                </w:rPr>
              </m:r>
            </m:e>
            <m:sup>
              <m:r>
                <m:rPr>
                  <m:sty m:val="p"/>
                </m:rPr>
                <m:t>*</m:t>
                <w:rPr>
                  <w:rFonts w:ascii="Cambria Math" w:hAnsi="Cambria Math"/>
                </w:rPr>
              </m:r>
            </m:sup>
          </m:sSup>
          <m:r>
            <m:rPr>
              <m:sty m:val="p"/>
            </m:rPr>
            <m:t>=</m:t>
            <w:rPr>
              <w:rFonts w:ascii="Cambria Math" w:hAnsi="Cambria Math"/>
            </w:rPr>
          </m:r>
          <m:r>
            <m:t>X</m:t>
            <w:rPr>
              <w:rFonts w:ascii="Cambria Math" w:hAnsi="Cambria Math"/>
            </w:rPr>
          </m:r>
          <m:r>
            <m:rPr>
              <m:sty m:val="p"/>
            </m:rPr>
            <m:t>+</m:t>
            <w:rPr>
              <w:rFonts w:ascii="Cambria Math" w:hAnsi="Cambria Math"/>
            </w:rPr>
          </m:r>
          <m:r>
            <m:t>δ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r>
            <m:t>  </m:t>
            <w:rPr>
              <w:rFonts w:ascii="Cambria Math" w:hAnsi="Cambria Math"/>
            </w:rPr>
          </m:r>
          <m:r>
            <m:t>P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sSup>
            <m:e>
              <m:r>
                <m:t>X</m:t>
                <w:rPr>
                  <w:rFonts w:ascii="Cambria Math" w:hAnsi="Cambria Math"/>
                </w:rPr>
              </m:r>
            </m:e>
            <m:sup>
              <m:r>
                <m:rPr>
                  <m:sty m:val="p"/>
                </m:rPr>
                <m:t>*</m:t>
                <w:rPr>
                  <w:rFonts w:ascii="Cambria Math" w:hAnsi="Cambria Math"/>
                </w:rPr>
              </m:r>
            </m:sup>
          </m:sSup>
          <m:r>
            <m:rPr>
              <m:sty m:val="p"/>
            </m:rPr>
            <m:t>∉</m:t>
            <w:rPr>
              <w:rFonts w:ascii="Cambria Math" w:hAnsi="Cambria Math"/>
            </w:rPr>
          </m:r>
          <m:r>
            <m:rPr>
              <m:sty m:val="p"/>
            </m:rPr>
            <m:t>[</m:t>
            <w:rPr>
              <w:rFonts w:ascii="Cambria Math" w:hAnsi="Cambria Math"/>
            </w:rPr>
          </m:r>
          <m:r>
            <m:t>0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r>
            <m:t>1</m:t>
            <w:rPr>
              <w:rFonts w:ascii="Cambria Math" w:hAnsi="Cambria Math"/>
            </w:rPr>
          </m:r>
          <m:sSup>
            <m:e>
              <m:r>
                <m:rPr>
                  <m:sty m:val="p"/>
                </m:rPr>
                <m:t>]</m:t>
                <w:rPr>
                  <w:rFonts w:ascii="Cambria Math" w:hAnsi="Cambria Math"/>
                </w:rPr>
              </m:r>
            </m:e>
            <m:sup>
              <m:r>
                <m:t>d</m:t>
                <w:rPr>
                  <w:rFonts w:ascii="Cambria Math" w:hAnsi="Cambria Math"/>
                </w:rPr>
              </m:r>
            </m:sup>
          </m:sSup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=</m:t>
            <w:rPr>
              <w:rFonts w:ascii="Cambria Math" w:hAnsi="Cambria Math"/>
            </w:rPr>
          </m:r>
          <m:r>
            <m:t>1</m:t>
            <w:rPr>
              <w:rFonts w:ascii="Cambria Math" w:hAnsi="Cambria Math"/>
            </w:rPr>
          </m:r>
          <m:r>
            <m:rPr>
              <m:sty m:val="p"/>
            </m:rPr>
            <m:t>−</m:t>
            <w:rPr>
              <w:rFonts w:ascii="Cambria Math" w:hAnsi="Cambria Math"/>
            </w:rPr>
          </m:r>
          <m:nary>
            <m:naryPr>
              <m:chr m:val="∏"/>
              <m:limLoc m:val="undOvr"/>
              <m:subHide m:val="0"/>
              <m:supHide m:val="0"/>
            </m:naryPr>
            <m:sub>
              <m:r>
                <m:t>j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=</m:t>
                <w:rPr>
                  <w:rFonts w:ascii="Cambria Math" w:hAnsi="Cambria Math"/>
                </w:rPr>
              </m:r>
              <m:r>
                <m:t>1</m:t>
                <w:rPr>
                  <w:rFonts w:ascii="Cambria Math" w:hAnsi="Cambria Math"/>
                </w:rPr>
              </m:r>
            </m:sub>
            <m:sup>
              <m:r>
                <m:t>d</m:t>
                <w:rPr>
                  <w:rFonts w:ascii="Cambria Math" w:hAnsi="Cambria Math"/>
                </w:rPr>
              </m:r>
            </m:sup>
            <m:e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</m:e>
          </m:nary>
          <m:r>
            <m:t>1</m:t>
            <w:rPr>
              <w:rFonts w:ascii="Cambria Math" w:hAnsi="Cambria Math"/>
            </w:rPr>
          </m:r>
          <m:r>
            <m:rPr>
              <m:sty m:val="p"/>
            </m:rPr>
            <m:t>−</m:t>
            <w:rPr>
              <w:rFonts w:ascii="Cambria Math" w:hAnsi="Cambria Math"/>
            </w:rPr>
          </m:r>
          <m:r>
            <m:rPr>
              <m:sty m:val="p"/>
            </m:rPr>
            <m:t>|</m:t>
            <w:rPr>
              <w:rFonts w:ascii="Cambria Math" w:hAnsi="Cambria Math"/>
            </w:rPr>
          </m:r>
          <m:sSub>
            <m:e>
              <m:r>
                <m:t>δ</m:t>
                <w:rPr>
                  <w:rFonts w:ascii="Cambria Math" w:hAnsi="Cambria Math"/>
                </w:rPr>
              </m:r>
            </m:e>
            <m:sub>
              <m:r>
                <m:t>j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|</m:t>
            <w:rPr>
              <w:rFonts w:ascii="Cambria Math" w:hAnsi="Cambria Math"/>
            </w:rPr>
          </m:r>
          <m:sSub>
            <m:e>
              <m:r>
                <m:rPr>
                  <m:sty m:val="p"/>
                </m:rPr>
                <m:t>)</m:t>
                <w:rPr>
                  <w:rFonts w:ascii="Cambria Math" w:hAnsi="Cambria Math"/>
                </w:rPr>
              </m:r>
            </m:e>
            <m:sub>
              <m:r>
                <m:rPr>
                  <m:sty m:val="p"/>
                </m:rPr>
                <m:t>+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.</m:t>
            <w:rPr>
              <w:rFonts w:ascii="Cambria Math" w:hAnsi="Cambria Math"/>
            </w:rPr>
          </m:r>
        </m:oMath>
      </m:oMathPara>
    </w:p>
    <w:p>
      <w:pPr>
        <w:pStyle w:val="FirstParagraph"/>
        <w:widowControl/>
      </w:pPr>
      <w:r>
        <w:t xml:space="preserve">固定平移量</w:t>
      </w:r>
      <m:oMath>
        <m:sSub>
          <m:e>
            <m:r>
              <m:t>δ</m:t>
              <w:rPr>
                <w:rFonts w:ascii="Cambria Math" w:hAnsi="Cambria Math"/>
              </w:rPr>
            </m:r>
          </m:e>
          <m:sub>
            <m:r>
              <m:t>j</m:t>
              <w:rPr>
                <w:rFonts w:ascii="Cambria Math" w:hAnsi="Cambria Math"/>
              </w:rPr>
            </m:r>
          </m:sub>
        </m:sSub>
      </m:oMath>
      <w:r>
        <w:t xml:space="preserve">下，</w:t>
      </w:r>
      <m:oMath>
        <m:r>
          <m:rPr>
            <m:sty m:val="p"/>
          </m:rPr>
          <m:t>(</m:t>
          <w:rPr>
            <w:rFonts w:ascii="Cambria Math" w:hAnsi="Cambria Math"/>
          </w:rPr>
        </m:r>
        <m:r>
          <m:t>a</m:t>
          <w:rPr>
            <w:rFonts w:ascii="Cambria Math" w:hAnsi="Cambria Math"/>
          </w:rPr>
        </m:r>
        <m:sSub>
          <m:e>
            <m:r>
              <m:rPr>
                <m:sty m:val="p"/>
              </m:rPr>
              <m:t>)</m:t>
              <w:rPr>
                <w:rFonts w:ascii="Cambria Math" w:hAnsi="Cambria Math"/>
              </w:rPr>
            </m:r>
          </m:e>
          <m:sub>
            <m:r>
              <m:rPr>
                <m:sty m:val="p"/>
              </m:rPr>
              <m:t>+</m:t>
              <w:rPr>
                <w:rFonts w:ascii="Cambria Math" w:hAnsi="Cambria Math"/>
              </w:rPr>
            </m:r>
          </m:sub>
        </m:sSub>
        <m:r>
          <m:rPr>
            <m:sty m:val="p"/>
          </m:rPr>
          <m:t>=</m:t>
          <w:rPr>
            <w:rFonts w:ascii="Cambria Math" w:hAnsi="Cambria Math"/>
          </w:rPr>
        </m:r>
        <m:r>
          <m:rPr>
            <m:nor/>
            <m:sty m:val="p"/>
          </m:rPr>
          <m:t>max</m:t>
          <w:rPr>
            <w:rFonts w:ascii="Cambria Math" w:hAnsi="Cambria Math"/>
          </w:rPr>
        </m:r>
        <m:r>
          <m:rPr>
            <m:sty m:val="p"/>
          </m:rPr>
          <m:t>(</m:t>
          <w:rPr>
            <w:rFonts w:ascii="Cambria Math" w:hAnsi="Cambria Math"/>
          </w:rPr>
        </m:r>
        <m:r>
          <m:t>a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0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</m:oMath>
      <w:r>
        <w:t xml:space="preserve">。二维两坐标各平移0.1时，真正越界概率</w:t>
      </w:r>
      <m:oMath>
        <m:r>
          <m:t>1</m:t>
          <w:rPr>
            <w:rFonts w:ascii="Cambria Math" w:hAnsi="Cambria Math"/>
          </w:rPr>
        </m:r>
        <m:r>
          <m:rPr>
            <m:sty m:val="p"/>
          </m:rPr>
          <m:t>−</m:t>
          <w:rPr>
            <w:rFonts w:ascii="Cambria Math" w:hAnsi="Cambria Math"/>
          </w:rPr>
        </m:r>
        <m:sSup>
          <m:e>
            <m:r>
              <m:t>0.9</m:t>
              <w:rPr>
                <w:rFonts w:ascii="Cambria Math" w:hAnsi="Cambria Math"/>
              </w:rPr>
            </m:r>
          </m:e>
          <m:sup>
            <m:r>
              <m:t>2</m:t>
              <w:rPr>
                <w:rFonts w:ascii="Cambria Math" w:hAnsi="Cambria Math"/>
              </w:rPr>
            </m:r>
          </m:sup>
        </m:sSup>
        <m:r>
          <m:rPr>
            <m:sty m:val="p"/>
          </m:rPr>
          <m:t>=</m:t>
          <w:rPr>
            <w:rFonts w:ascii="Cambria Math" w:hAnsi="Cambria Math"/>
          </w:rPr>
        </m:r>
        <m:r>
          <m:t>0.19</m:t>
          <w:rPr>
            <w:rFonts w:ascii="Cambria Math" w:hAnsi="Cambria Math"/>
          </w:rPr>
        </m:r>
      </m:oMath>
      <w:r>
        <w:t xml:space="preserve">，并非100%。</w:t>
      </w:r>
      <m:oMath>
        <m:r>
          <m:rPr>
            <m:sty m:val="p"/>
          </m:rPr>
          <m:t>(</m:t>
          <w:rPr>
            <w:rFonts w:ascii="Cambria Math" w:hAnsi="Cambria Math"/>
          </w:rPr>
        </m:r>
        <m:r>
          <m:t>0.4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0.5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  <m:r>
          <m:rPr>
            <m:sty m:val="p"/>
          </m:rPr>
          <m:t>→</m:t>
          <w:rPr>
            <w:rFonts w:ascii="Cambria Math" w:hAnsi="Cambria Math"/>
          </w:rPr>
        </m:r>
        <m:r>
          <m:rPr>
            <m:sty m:val="p"/>
          </m:rPr>
          <m:t>(</m:t>
          <w:rPr>
            <w:rFonts w:ascii="Cambria Math" w:hAnsi="Cambria Math"/>
          </w:rPr>
        </m:r>
        <m:r>
          <m:t>0.5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0.6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</m:oMath>
      <w:r>
        <w:t xml:space="preserve">仍合法，</w:t>
      </w:r>
      <m:oMath>
        <m:r>
          <m:rPr>
            <m:sty m:val="p"/>
          </m:rPr>
          <m:t>(</m:t>
          <w:rPr>
            <w:rFonts w:ascii="Cambria Math" w:hAnsi="Cambria Math"/>
          </w:rPr>
        </m:r>
        <m:r>
          <m:t>0.95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0.5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  <m:r>
          <m:rPr>
            <m:sty m:val="p"/>
          </m:rPr>
          <m:t>→</m:t>
          <w:rPr>
            <w:rFonts w:ascii="Cambria Math" w:hAnsi="Cambria Math"/>
          </w:rPr>
        </m:r>
        <m:r>
          <m:rPr>
            <m:sty m:val="p"/>
          </m:rPr>
          <m:t>(</m:t>
          <w:rPr>
            <w:rFonts w:ascii="Cambria Math" w:hAnsi="Cambria Math"/>
          </w:rPr>
        </m:r>
        <m:r>
          <m:t>1.05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0.6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</m:oMath>
      <w:r>
        <w:t xml:space="preserve">越界。</w:t>
      </w:r>
    </w:p>
    <w:p>
      <w:pPr>
        <w:pStyle w:val="BodyText"/>
        <w:widowControl/>
      </w:pPr>
      <w:r>
        <w:rPr>
          <w:bCs/>
          <w:b/>
        </w:rPr>
        <w:t xml:space="preserve">E 本节结论。</w:t>
      </w:r>
    </w:p>
    <w:p>
      <w:pPr>
        <w:widowControl/>
        <w:numPr>
          <w:ilvl w:val="0"/>
          <w:numId w:val="1007"/>
        </w:numPr>
        <w:pStyle w:val="Compact"/>
      </w:pPr>
      <w:r>
        <w:t xml:space="preserve">扰动标记与OOD标签必须分开保存。</w:t>
      </w:r>
    </w:p>
    <w:p>
      <w:pPr>
        <w:widowControl/>
        <w:numPr>
          <w:ilvl w:val="0"/>
          <w:numId w:val="1007"/>
        </w:numPr>
        <w:pStyle w:val="Compact"/>
      </w:pPr>
      <w:r>
        <w:t xml:space="preserve">小shift对应的实际OOD比例可很低。</w:t>
      </w:r>
    </w:p>
    <w:p>
      <w:pPr>
        <w:widowControl/>
        <w:numPr>
          <w:ilvl w:val="0"/>
          <w:numId w:val="1007"/>
        </w:numPr>
        <w:pStyle w:val="Compact"/>
      </w:pPr>
      <w:r>
        <w:t xml:space="preserve">“</w:t>
      </w:r>
      <w:r>
        <w:t xml:space="preserve">shift分布不同</w:t>
      </w:r>
      <w:r>
        <w:t xml:space="preserve">”</w:t>
      </w:r>
      <w:r>
        <w:t xml:space="preserve">与</w:t>
      </w:r>
      <w:r>
        <w:t xml:space="preserve">“</w:t>
      </w:r>
      <w:r>
        <w:t xml:space="preserve">每一个shift样本越界</w:t>
      </w:r>
      <w:r>
        <w:t xml:space="preserve">”</w:t>
      </w:r>
      <w:r>
        <w:t xml:space="preserve">不等价。</w:t>
      </w:r>
    </w:p>
    <w:bookmarkEnd w:id="32"/>
    <w:bookmarkStart w:id="33" w:name="experiments-5.2copula怎样区分边缘与联合关系"/>
    <w:p>
      <w:pPr>
        <w:pStyle w:val="Heading3"/>
        <w:widowControl/>
      </w:pPr>
      <w:r>
        <w:rPr>
          <w:color w:val="000000"/>
        </w:rPr>
        <w:t xml:space="preserve">3.8 Experiments 5.2：Copula怎样区分边缘与联合关系</w:t>
      </w:r>
    </w:p>
    <w:p>
      <w:pPr>
        <w:pStyle w:val="FirstParagraph"/>
        <w:widowControl/>
      </w:pPr>
      <w:r>
        <w:rPr>
          <w:bCs/>
          <w:b/>
        </w:rPr>
        <w:t xml:space="preserve">A 讲什么。</w:t>
      </w:r>
      <w:r>
        <w:t xml:space="preserve"> </w:t>
      </w:r>
      <w:r>
        <w:t xml:space="preserve">将原始变量映射到分位数，再到潜在高斯空间，在不同阶段扰动以生成warp、joint和support。[pp.13、16–17]</w:t>
      </w:r>
    </w:p>
    <w:p>
      <w:pPr>
        <w:pStyle w:val="BodyText"/>
        <w:widowControl/>
      </w:pPr>
      <w:r>
        <w:rPr>
          <w:bCs/>
          <w:b/>
        </w:rPr>
        <w:t xml:space="preserve">B 为什么讲。</w:t>
      </w:r>
      <w:r>
        <w:t xml:space="preserve"> </w:t>
      </w:r>
      <w:r>
        <w:t xml:space="preserve">真实变量有偏态、长尾及相关性，不能仅靠独立均匀数据代表学习外问题。</w:t>
      </w:r>
    </w:p>
    <w:p>
      <w:pPr>
        <w:pStyle w:val="BodyText"/>
        <w:widowControl/>
      </w:pPr>
      <w:r>
        <w:rPr>
          <w:bCs/>
          <w:b/>
        </w:rPr>
        <w:t xml:space="preserve">C 关键概念。</w:t>
      </w:r>
      <w:r>
        <w:t xml:space="preserve"> </w:t>
      </w:r>
      <w:r>
        <w:t xml:space="preserve">边缘CDF</w:t>
      </w:r>
      <w:r>
        <w:t xml:space="preserve"> </w:t>
      </w:r>
      <m:oMath>
        <m:sSub>
          <m:e>
            <m:r>
              <m:t>F</m:t>
              <w:rPr>
                <w:rFonts w:ascii="Cambria Math" w:hAnsi="Cambria Math"/>
              </w:rPr>
            </m:r>
          </m:e>
          <m:sub>
            <m:r>
              <m:t>j</m:t>
              <w:rPr>
                <w:rFonts w:ascii="Cambria Math" w:hAnsi="Cambria Math"/>
              </w:rPr>
            </m:r>
          </m:sub>
        </m:sSub>
      </m:oMath>
      <w:r>
        <w:t xml:space="preserve">描述第j变量自己的分布；Copula描述边缘分位数之间的依赖结构；</w:t>
      </w:r>
      <m:oMath>
        <m:r>
          <m:t>Φ</m:t>
          <w:rPr>
            <w:rFonts w:ascii="Cambria Math" w:hAnsi="Cambria Math"/>
          </w:rPr>
        </m:r>
      </m:oMath>
      <w:r>
        <w:t xml:space="preserve">为标准正态CDF；</w:t>
      </w:r>
      <m:oMath>
        <m:r>
          <m:t>R</m:t>
          <w:rPr>
            <w:rFonts w:ascii="Cambria Math" w:hAnsi="Cambria Math"/>
          </w:rPr>
        </m:r>
      </m:oMath>
      <w:r>
        <w:t xml:space="preserve">为潜在相关矩阵；尾部阈值描述构造异常用的参考，不是OutPro报警阈值。</w:t>
      </w:r>
    </w:p>
    <w:p>
      <w:pPr>
        <w:pStyle w:val="BodyText"/>
        <w:widowControl/>
      </w:pPr>
      <w:r>
        <w:rPr>
          <w:bCs/>
          <w:b/>
        </w:rPr>
        <w:t xml:space="preserve">D 必需公式。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Z</m:t>
            <w:rPr>
              <w:rFonts w:ascii="Cambria Math" w:hAnsi="Cambria Math"/>
            </w:rPr>
          </m:r>
          <m:r>
            <m:rPr>
              <m:sty m:val="p"/>
            </m:rPr>
            <m:t>∼</m:t>
            <w:rPr>
              <w:rFonts w:ascii="Cambria Math" w:hAnsi="Cambria Math"/>
            </w:rPr>
          </m:r>
          <m:r>
            <m:t>N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r>
            <m:t>0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r>
            <m:t>R</m:t>
            <w:rPr>
              <w:rFonts w:ascii="Cambria Math" w:hAnsi="Cambria Math"/>
            </w:rPr>
          </m:r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r>
            <m:t> </m:t>
            <w:rPr>
              <w:rFonts w:ascii="Cambria Math" w:hAnsi="Cambria Math"/>
            </w:rPr>
          </m:r>
          <m:sSub>
            <m:e>
              <m:r>
                <m:t>U</m:t>
                <w:rPr>
                  <w:rFonts w:ascii="Cambria Math" w:hAnsi="Cambria Math"/>
                </w:rPr>
              </m:r>
            </m:e>
            <m:sub>
              <m:r>
                <m:t>j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=</m:t>
            <w:rPr>
              <w:rFonts w:ascii="Cambria Math" w:hAnsi="Cambria Math"/>
            </w:rPr>
          </m:r>
          <m:r>
            <m:t>Φ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Z</m:t>
                <w:rPr>
                  <w:rFonts w:ascii="Cambria Math" w:hAnsi="Cambria Math"/>
                </w:rPr>
              </m:r>
            </m:e>
            <m:sub>
              <m:r>
                <m:t>j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r>
            <m:t> 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j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=</m:t>
            <w:rPr>
              <w:rFonts w:ascii="Cambria Math" w:hAnsi="Cambria Math"/>
            </w:rPr>
          </m:r>
          <m:sSubSup>
            <m:e>
              <m:r>
                <m:t>F</m:t>
                <w:rPr>
                  <w:rFonts w:ascii="Cambria Math" w:hAnsi="Cambria Math"/>
                </w:rPr>
              </m:r>
            </m:e>
            <m:sub>
              <m:r>
                <m:t>j</m:t>
                <w:rPr>
                  <w:rFonts w:ascii="Cambria Math" w:hAnsi="Cambria Math"/>
                </w:rPr>
              </m:r>
            </m:sub>
            <m:sup>
              <m:r>
                <m:rPr>
                  <m:sty m:val="p"/>
                </m:rPr>
                <m:t>−</m:t>
                <w:rPr>
                  <w:rFonts w:ascii="Cambria Math" w:hAnsi="Cambria Math"/>
                </w:rPr>
              </m:r>
              <m:r>
                <m:t>1</m:t>
                <w:rPr>
                  <w:rFonts w:ascii="Cambria Math" w:hAnsi="Cambria Math"/>
                </w:rPr>
              </m:r>
            </m:sup>
          </m:sSubSup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U</m:t>
                <w:rPr>
                  <w:rFonts w:ascii="Cambria Math" w:hAnsi="Cambria Math"/>
                </w:rPr>
              </m:r>
            </m:e>
            <m:sub>
              <m:r>
                <m:t>j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r>
            <m:t> </m:t>
            <w:rPr>
              <w:rFonts w:ascii="Cambria Math" w:hAnsi="Cambria Math"/>
            </w:rPr>
          </m:r>
          <m:r>
            <m:t>F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r>
            <m:t>x</m:t>
            <w:rPr>
              <w:rFonts w:ascii="Cambria Math" w:hAnsi="Cambria Math"/>
            </w:rPr>
          </m:r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=</m:t>
            <w:rPr>
              <w:rFonts w:ascii="Cambria Math" w:hAnsi="Cambria Math"/>
            </w:rPr>
          </m:r>
          <m:r>
            <m:t>C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F</m:t>
                <w:rPr>
                  <w:rFonts w:ascii="Cambria Math" w:hAnsi="Cambria Math"/>
                </w:rPr>
              </m:r>
            </m:e>
            <m:sub>
              <m:r>
                <m:t>1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1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r>
            <m:rPr>
              <m:sty m:val="p"/>
            </m:rPr>
            <m:t>…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sSub>
            <m:e>
              <m:r>
                <m:t>F</m:t>
                <w:rPr>
                  <w:rFonts w:ascii="Cambria Math" w:hAnsi="Cambria Math"/>
                </w:rPr>
              </m:r>
            </m:e>
            <m:sub>
              <m:r>
                <m:t>d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d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.</m:t>
            <w:rPr>
              <w:rFonts w:ascii="Cambria Math" w:hAnsi="Cambria Math"/>
            </w:rPr>
          </m:r>
        </m:oMath>
      </m:oMathPara>
    </w:p>
    <w:p>
      <w:pPr>
        <w:pStyle w:val="FirstParagraph"/>
        <w:widowControl/>
      </w:pPr>
      <w:r>
        <w:t xml:space="preserve">直观上先决定</w:t>
      </w:r>
      <w:r>
        <w:t xml:space="preserve">“</w:t>
      </w:r>
      <w:r>
        <w:t xml:space="preserve">各变量的分位数组合</w:t>
      </w:r>
      <w:r>
        <w:t xml:space="preserve">”</w:t>
      </w:r>
      <w:r>
        <w:t xml:space="preserve">，再还原为真实单位。二维例：各变量范围都为[0,1]，正常点接近</w:t>
      </w:r>
      <m:oMath>
        <m:sSub>
          <m:e>
            <m:r>
              <m:t>X</m:t>
              <w:rPr>
                <w:rFonts w:ascii="Cambria Math" w:hAnsi="Cambria Math"/>
              </w:rPr>
            </m:r>
          </m:e>
          <m:sub>
            <m:r>
              <m:t>2</m:t>
              <w:rPr>
                <w:rFonts w:ascii="Cambria Math" w:hAnsi="Cambria Math"/>
              </w:rPr>
            </m:r>
          </m:sub>
        </m:sSub>
        <m:r>
          <m:rPr>
            <m:sty m:val="p"/>
          </m:rPr>
          <m:t>=</m:t>
          <w:rPr>
            <w:rFonts w:ascii="Cambria Math" w:hAnsi="Cambria Math"/>
          </w:rPr>
        </m:r>
        <m:sSub>
          <m:e>
            <m:r>
              <m:t>X</m:t>
              <w:rPr>
                <w:rFonts w:ascii="Cambria Math" w:hAnsi="Cambria Math"/>
              </w:rPr>
            </m:r>
          </m:e>
          <m:sub>
            <m:r>
              <m:t>1</m:t>
              <w:rPr>
                <w:rFonts w:ascii="Cambria Math" w:hAnsi="Cambria Math"/>
              </w:rPr>
            </m:r>
          </m:sub>
        </m:sSub>
      </m:oMath>
      <w:r>
        <w:t xml:space="preserve">；</w:t>
      </w:r>
      <m:oMath>
        <m:r>
          <m:rPr>
            <m:sty m:val="p"/>
          </m:rPr>
          <m:t>(</m:t>
          <w:rPr>
            <w:rFonts w:ascii="Cambria Math" w:hAnsi="Cambria Math"/>
          </w:rPr>
        </m:r>
        <m:r>
          <m:t>0.9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0.1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</m:oMath>
      <w:r>
        <w:t xml:space="preserve">虽然均未越界，却可能很少见。</w:t>
      </w:r>
    </w:p>
    <w:p>
      <w:pPr>
        <w:pStyle w:val="BodyText"/>
        <w:widowControl/>
      </w:pPr>
      <w:r>
        <w:t xml:space="preserve">warp对分位数做</w:t>
      </w:r>
    </w:p>
    <w:p>
      <w:pPr>
        <w:pStyle w:val="BodyText"/>
        <w:widowControl/>
      </w:pPr>
      <m:oMathPara>
        <m:oMathParaPr>
          <m:jc m:val="center"/>
        </m:oMathParaPr>
        <m:oMath>
          <m:sSup>
            <m:e>
              <m:r>
                <m:t>u</m:t>
                <w:rPr>
                  <w:rFonts w:ascii="Cambria Math" w:hAnsi="Cambria Math"/>
                </w:rPr>
              </m:r>
            </m:e>
            <m:sup>
              <m:r>
                <m:rPr>
                  <m:sty m:val="p"/>
                </m:rPr>
                <m:t>*</m:t>
                <w:rPr>
                  <w:rFonts w:ascii="Cambria Math" w:hAnsi="Cambria Math"/>
                </w:rPr>
              </m:r>
            </m:sup>
          </m:sSup>
          <m:r>
            <m:rPr>
              <m:sty m:val="p"/>
            </m:rPr>
            <m:t>=</m:t>
            <w:rPr>
              <w:rFonts w:ascii="Cambria Math" w:hAnsi="Cambria Math"/>
            </w:rPr>
          </m:r>
          <m:f>
            <m:fPr>
              <m:type m:val="bar"/>
            </m:fPr>
            <m:num>
              <m:sSup>
                <m:e>
                  <m:r>
                    <m:t>u</m:t>
                    <w:rPr>
                      <w:rFonts w:ascii="Cambria Math" w:hAnsi="Cambria Math"/>
                    </w:rPr>
                  </m:r>
                </m:e>
                <m:sup>
                  <m:r>
                    <m:t>γ</m:t>
                    <w:rPr>
                      <w:rFonts w:ascii="Cambria Math" w:hAnsi="Cambria Math"/>
                    </w:rPr>
                  </m:r>
                </m:sup>
              </m:sSup>
            </m:num>
            <m:den>
              <m:sSup>
                <m:e>
                  <m:r>
                    <m:t>u</m:t>
                    <w:rPr>
                      <w:rFonts w:ascii="Cambria Math" w:hAnsi="Cambria Math"/>
                    </w:rPr>
                  </m:r>
                </m:e>
                <m:sup>
                  <m:r>
                    <m:t>γ</m:t>
                    <w:rPr>
                      <w:rFonts w:ascii="Cambria Math" w:hAnsi="Cambria Math"/>
                    </w:rPr>
                  </m:r>
                </m:sup>
              </m:sSup>
              <m:r>
                <m:rPr>
                  <m:sty m:val="p"/>
                </m:rPr>
                <m:t>+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  <m:r>
                <m:t>1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−</m:t>
                <w:rPr>
                  <w:rFonts w:ascii="Cambria Math" w:hAnsi="Cambria Math"/>
                </w:rPr>
              </m:r>
              <m:r>
                <m:t>u</m:t>
                <w:rPr>
                  <w:rFonts w:ascii="Cambria Math" w:hAnsi="Cambria Math"/>
                </w:rPr>
              </m:r>
              <m:sSup>
                <m:e>
                  <m:r>
                    <m:rPr>
                      <m:sty m:val="p"/>
                    </m:rPr>
                    <m:t>)</m:t>
                    <w:rPr>
                      <w:rFonts w:ascii="Cambria Math" w:hAnsi="Cambria Math"/>
                    </w:rPr>
                  </m:r>
                </m:e>
                <m:sup>
                  <m:r>
                    <m:t>γ</m:t>
                    <w:rPr>
                      <w:rFonts w:ascii="Cambria Math" w:hAnsi="Cambria Math"/>
                    </w:rPr>
                  </m:r>
                </m:sup>
              </m:sSup>
            </m:den>
          </m:f>
          <m:r>
            <m:rPr>
              <m:sty m:val="p"/>
            </m:rPr>
            <m:t>,</m:t>
            <w:rPr>
              <w:rFonts w:ascii="Cambria Math" w:hAnsi="Cambria Math"/>
            </w:rPr>
          </m:r>
          <m:r>
            <m:t> </m:t>
            <w:rPr>
              <w:rFonts w:ascii="Cambria Math" w:hAnsi="Cambria Math"/>
            </w:rPr>
          </m:r>
          <m:r>
            <m:t>γ</m:t>
            <w:rPr>
              <w:rFonts w:ascii="Cambria Math" w:hAnsi="Cambria Math"/>
            </w:rPr>
          </m:r>
          <m:r>
            <m:rPr>
              <m:sty m:val="p"/>
            </m:rPr>
            <m:t>&gt;</m:t>
            <w:rPr>
              <w:rFonts w:ascii="Cambria Math" w:hAnsi="Cambria Math"/>
            </w:rPr>
          </m:r>
          <m:r>
            <m:t>1</m:t>
            <w:rPr>
              <w:rFonts w:ascii="Cambria Math" w:hAnsi="Cambria Math"/>
            </w:rPr>
          </m:r>
          <m:r>
            <m:rPr>
              <m:sty m:val="p"/>
            </m:rPr>
            <m:t>.</m:t>
            <w:rPr>
              <w:rFonts w:ascii="Cambria Math" w:hAnsi="Cambria Math"/>
            </w:rPr>
          </m:r>
        </m:oMath>
      </m:oMathPara>
    </w:p>
    <w:p>
      <w:pPr>
        <w:pStyle w:val="FirstParagraph"/>
        <w:widowControl/>
      </w:pPr>
      <w:r>
        <w:t xml:space="preserve">例如</w:t>
      </w:r>
      <m:oMath>
        <m:r>
          <m:t>u</m:t>
          <w:rPr>
            <w:rFonts w:ascii="Cambria Math" w:hAnsi="Cambria Math"/>
          </w:rPr>
        </m:r>
        <m:r>
          <m:rPr>
            <m:sty m:val="p"/>
          </m:rPr>
          <m:t>=</m:t>
          <w:rPr>
            <w:rFonts w:ascii="Cambria Math" w:hAnsi="Cambria Math"/>
          </w:rPr>
        </m:r>
        <m:r>
          <m:t>0.8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γ</m:t>
          <w:rPr>
            <w:rFonts w:ascii="Cambria Math" w:hAnsi="Cambria Math"/>
          </w:rPr>
        </m:r>
        <m:r>
          <m:rPr>
            <m:sty m:val="p"/>
          </m:rPr>
          <m:t>=</m:t>
          <w:rPr>
            <w:rFonts w:ascii="Cambria Math" w:hAnsi="Cambria Math"/>
          </w:rPr>
        </m:r>
        <m:r>
          <m:t>2</m:t>
          <w:rPr>
            <w:rFonts w:ascii="Cambria Math" w:hAnsi="Cambria Math"/>
          </w:rPr>
        </m:r>
      </m:oMath>
      <w:r>
        <w:t xml:space="preserve">得到</w:t>
      </w:r>
      <m:oMath>
        <m:sSup>
          <m:e>
            <m:r>
              <m:t>u</m:t>
              <w:rPr>
                <w:rFonts w:ascii="Cambria Math" w:hAnsi="Cambria Math"/>
              </w:rPr>
            </m:r>
          </m:e>
          <m:sup>
            <m:r>
              <m:rPr>
                <m:sty m:val="p"/>
              </m:rPr>
              <m:t>*</m:t>
              <w:rPr>
                <w:rFonts w:ascii="Cambria Math" w:hAnsi="Cambria Math"/>
              </w:rPr>
            </m:r>
          </m:sup>
        </m:sSup>
        <m:r>
          <m:rPr>
            <m:sty m:val="p"/>
          </m:rPr>
          <m:t>≈</m:t>
          <w:rPr>
            <w:rFonts w:ascii="Cambria Math" w:hAnsi="Cambria Math"/>
          </w:rPr>
        </m:r>
        <m:r>
          <m:t>0.9412</m:t>
          <w:rPr>
            <w:rFonts w:ascii="Cambria Math" w:hAnsi="Cambria Math"/>
          </w:rPr>
        </m:r>
      </m:oMath>
      <w:r>
        <w:t xml:space="preserve">，更靠近尾部。再以潜在Mahalanobis半径是否超过训练95%分位数标注；不是所有生成点自动为OOD。</w:t>
      </w:r>
    </w:p>
    <w:p>
      <w:pPr>
        <w:pStyle w:val="BodyText"/>
        <w:widowControl/>
      </w:pPr>
      <w:r>
        <w:t xml:space="preserve">joint选潜在训练点</w:t>
      </w:r>
      <m:oMath>
        <m:sSub>
          <m:e>
            <m:r>
              <m:t>z</m:t>
              <w:rPr>
                <w:rFonts w:ascii="Cambria Math" w:hAnsi="Cambria Math"/>
              </w:rPr>
            </m:r>
          </m:e>
          <m:sub>
            <m:r>
              <m:t>b</m:t>
              <w:rPr>
                <w:rFonts w:ascii="Cambria Math" w:hAnsi="Cambria Math"/>
              </w:rPr>
            </m:r>
          </m:sub>
        </m:sSub>
      </m:oMath>
      <w:r>
        <w:t xml:space="preserve">，随机方向单位向量</w:t>
      </w:r>
      <m:oMath>
        <m:r>
          <m:t>ζ</m:t>
          <w:rPr>
            <w:rFonts w:ascii="Cambria Math" w:hAnsi="Cambria Math"/>
          </w:rPr>
        </m:r>
      </m:oMath>
      <w:r>
        <w:t xml:space="preserve">，以卡方分布上尾的平方根为步长r，构造</w:t>
      </w:r>
      <m:oMath>
        <m:sSup>
          <m:e>
            <m:r>
              <m:t>z</m:t>
              <w:rPr>
                <w:rFonts w:ascii="Cambria Math" w:hAnsi="Cambria Math"/>
              </w:rPr>
            </m:r>
          </m:e>
          <m:sup>
            <m:r>
              <m:rPr>
                <m:sty m:val="p"/>
              </m:rPr>
              <m:t>*</m:t>
              <w:rPr>
                <w:rFonts w:ascii="Cambria Math" w:hAnsi="Cambria Math"/>
              </w:rPr>
            </m:r>
          </m:sup>
        </m:sSup>
        <m:r>
          <m:rPr>
            <m:sty m:val="p"/>
          </m:rPr>
          <m:t>=</m:t>
          <w:rPr>
            <w:rFonts w:ascii="Cambria Math" w:hAnsi="Cambria Math"/>
          </w:rPr>
        </m:r>
        <m:sSub>
          <m:e>
            <m:r>
              <m:t>z</m:t>
              <w:rPr>
                <w:rFonts w:ascii="Cambria Math" w:hAnsi="Cambria Math"/>
              </w:rPr>
            </m:r>
          </m:e>
          <m:sub>
            <m:r>
              <m:t>b</m:t>
              <w:rPr>
                <w:rFonts w:ascii="Cambria Math" w:hAnsi="Cambria Math"/>
              </w:rPr>
            </m:r>
          </m:sub>
        </m:sSub>
        <m:r>
          <m:rPr>
            <m:sty m:val="p"/>
          </m:rPr>
          <m:t>+</m:t>
          <w:rPr>
            <w:rFonts w:ascii="Cambria Math" w:hAnsi="Cambria Math"/>
          </w:rPr>
        </m:r>
        <m:r>
          <m:t>r</m:t>
          <w:rPr>
            <w:rFonts w:ascii="Cambria Math" w:hAnsi="Cambria Math"/>
          </w:rPr>
        </m:r>
        <m:r>
          <m:t>ζ</m:t>
          <w:rPr>
            <w:rFonts w:ascii="Cambria Math" w:hAnsi="Cambria Math"/>
          </w:rPr>
        </m:r>
      </m:oMath>
      <w:r>
        <w:t xml:space="preserve">，经原逆CDF映回，全标为异常。support沿</w:t>
      </w:r>
      <m:oMath>
        <m:sSub>
          <m:e>
            <m:r>
              <m:t>z</m:t>
              <w:rPr>
                <w:rFonts w:ascii="Cambria Math" w:hAnsi="Cambria Math"/>
              </w:rPr>
            </m:r>
          </m:e>
          <m:sub>
            <m:r>
              <m:t>b</m:t>
              <w:rPr>
                <w:rFonts w:ascii="Cambria Math" w:hAnsi="Cambria Math"/>
              </w:rPr>
            </m:r>
          </m:sub>
        </m:sSub>
      </m:oMath>
      <w:r>
        <w:t xml:space="preserve">方向按目标尾部半径缩放，再用能外推的</w:t>
      </w:r>
      <m:oMath>
        <m:sSubSup>
          <m:e>
            <m:acc>
              <m:accPr>
                <m:chr m:val="̃"/>
              </m:accPr>
              <m:e>
                <m:r>
                  <m:t>F</m:t>
                  <w:rPr>
                    <w:rFonts w:ascii="Cambria Math" w:hAnsi="Cambria Math"/>
                  </w:rPr>
                </m:r>
              </m:e>
            </m:acc>
          </m:e>
          <m:sub>
            <m:r>
              <m:t>j</m:t>
              <w:rPr>
                <w:rFonts w:ascii="Cambria Math" w:hAnsi="Cambria Math"/>
              </w:rPr>
            </m:r>
          </m:sub>
          <m:sup>
            <m:r>
              <m:rPr>
                <m:sty m:val="p"/>
              </m:rPr>
              <m:t>−</m:t>
              <w:rPr>
                <w:rFonts w:ascii="Cambria Math" w:hAnsi="Cambria Math"/>
              </w:rPr>
            </m:r>
            <m:r>
              <m:t>1</m:t>
              <w:rPr>
                <w:rFonts w:ascii="Cambria Math" w:hAnsi="Cambria Math"/>
              </w:rPr>
            </m:r>
          </m:sup>
        </m:sSubSup>
      </m:oMath>
      <w:r>
        <w:t xml:space="preserve">超出观测范围，全标为异常。表3的尾部概率q=0.05，和§3中信号变量个数q是同字母不同含义。</w:t>
      </w:r>
    </w:p>
    <w:p>
      <w:pPr>
        <w:pStyle w:val="BodyText"/>
        <w:widowControl/>
      </w:pPr>
      <w:r>
        <w:rPr>
          <w:bCs/>
          <w:b/>
        </w:rPr>
        <w:t xml:space="preserve">解释边界。</w:t>
      </w:r>
      <w:r>
        <w:t xml:space="preserve"> </w:t>
      </w:r>
      <w:r>
        <w:t xml:space="preserve">保留</w:t>
      </w:r>
      <m:oMath>
        <m:sSubSup>
          <m:e>
            <m:r>
              <m:t>F</m:t>
              <w:rPr>
                <w:rFonts w:ascii="Cambria Math" w:hAnsi="Cambria Math"/>
              </w:rPr>
            </m:r>
          </m:e>
          <m:sub>
            <m:r>
              <m:t>j</m:t>
              <w:rPr>
                <w:rFonts w:ascii="Cambria Math" w:hAnsi="Cambria Math"/>
              </w:rPr>
            </m:r>
          </m:sub>
          <m:sup>
            <m:r>
              <m:rPr>
                <m:sty m:val="p"/>
              </m:rPr>
              <m:t>−</m:t>
              <w:rPr>
                <w:rFonts w:ascii="Cambria Math" w:hAnsi="Cambria Math"/>
              </w:rPr>
            </m:r>
            <m:r>
              <m:t>1</m:t>
              <w:rPr>
                <w:rFonts w:ascii="Cambria Math" w:hAnsi="Cambria Math"/>
              </w:rPr>
            </m:r>
          </m:sup>
        </m:sSubSup>
      </m:oMath>
      <w:r>
        <w:t xml:space="preserve">这个映射，不等于生成后的每个边缘分布严格不变；只有对应</w:t>
      </w:r>
      <m:oMath>
        <m:sSub>
          <m:e>
            <m:r>
              <m:t>U</m:t>
              <w:rPr>
                <w:rFonts w:ascii="Cambria Math" w:hAnsi="Cambria Math"/>
              </w:rPr>
            </m:r>
          </m:e>
          <m:sub>
            <m:r>
              <m:t>j</m:t>
              <w:rPr>
                <w:rFonts w:ascii="Cambria Math" w:hAnsi="Cambria Math"/>
              </w:rPr>
            </m:r>
          </m:sub>
        </m:sSub>
      </m:oMath>
      <w:r>
        <w:t xml:space="preserve">仍为均匀时才保持原边缘。joint的位移也不保证每个点都离训练支持很远。因此它是作者设计的联合异常代理，不能当作</w:t>
      </w:r>
      <w:r>
        <w:t xml:space="preserve">“</w:t>
      </w:r>
      <w:r>
        <w:t xml:space="preserve">纯相关性漂移</w:t>
      </w:r>
      <w:r>
        <w:t xml:space="preserve">”</w:t>
      </w:r>
      <w:r>
        <w:t xml:space="preserve">的严格证明。support的外推函数、warp的具体</w:t>
      </w:r>
      <m:oMath>
        <m:r>
          <m:t>γ</m:t>
          <w:rPr>
            <w:rFonts w:ascii="Cambria Math" w:hAnsi="Cambria Math"/>
          </w:rPr>
        </m:r>
      </m:oMath>
      <w:r>
        <w:t xml:space="preserve">、高维R的正则化等未在正文完整展开。</w:t>
      </w:r>
    </w:p>
    <w:p>
      <w:pPr>
        <w:pStyle w:val="BodyText"/>
        <w:widowControl/>
      </w:pPr>
      <w:r>
        <w:rPr>
          <w:bCs/>
          <w:b/>
        </w:rPr>
        <w:t xml:space="preserve">E 本节结论。</w:t>
      </w:r>
    </w:p>
    <w:p>
      <w:pPr>
        <w:widowControl/>
        <w:numPr>
          <w:ilvl w:val="0"/>
          <w:numId w:val="1008"/>
        </w:numPr>
        <w:pStyle w:val="Compact"/>
      </w:pPr>
      <w:r>
        <w:t xml:space="preserve">warp主要测试尾部／稀少区域；joint主要测试联合结构偏离；support主要测试范围外偏离。</w:t>
      </w:r>
    </w:p>
    <w:p>
      <w:pPr>
        <w:widowControl/>
        <w:numPr>
          <w:ilvl w:val="0"/>
          <w:numId w:val="1008"/>
        </w:numPr>
        <w:pStyle w:val="Compact"/>
      </w:pPr>
      <w:r>
        <w:t xml:space="preserve">三种生成器标签可信程度和定义不同。</w:t>
      </w:r>
    </w:p>
    <w:p>
      <w:pPr>
        <w:widowControl/>
        <w:numPr>
          <w:ilvl w:val="0"/>
          <w:numId w:val="1008"/>
        </w:numPr>
        <w:pStyle w:val="Compact"/>
      </w:pPr>
      <w:r>
        <w:t xml:space="preserve">联合相关异常与时间上下文异常不是同义词。</w:t>
      </w:r>
    </w:p>
    <w:bookmarkEnd w:id="33"/>
    <w:bookmarkStart w:id="34" w:name="experiments-5.35.4性能随异常类型变化"/>
    <w:p>
      <w:pPr>
        <w:pStyle w:val="Heading3"/>
        <w:widowControl/>
      </w:pPr>
      <w:r>
        <w:rPr>
          <w:color w:val="000000"/>
        </w:rPr>
        <w:t xml:space="preserve">3.9 Experiments 5.3–5.4：性能随异常类型变化</w:t>
      </w:r>
    </w:p>
    <w:p>
      <w:pPr>
        <w:pStyle w:val="FirstParagraph"/>
        <w:widowControl/>
      </w:pPr>
      <w:r>
        <w:rPr>
          <w:bCs/>
          <w:b/>
        </w:rPr>
        <w:t xml:space="preserve">A 讲什么。</w:t>
      </w:r>
      <w:r>
        <w:t xml:space="preserve"> </w:t>
      </w:r>
      <w:r>
        <w:t xml:space="preserve">61个PMLB回归任务、5个高维微阵列任务，每种设置100次重复；主指标AUC-PR。[pp.16–21]</w:t>
      </w:r>
    </w:p>
    <w:p>
      <w:pPr>
        <w:pStyle w:val="BodyText"/>
        <w:widowControl/>
      </w:pPr>
      <w:r>
        <w:rPr>
          <w:bCs/>
          <w:b/>
        </w:rPr>
        <w:t xml:space="preserve">B 为什么讲。</w:t>
      </w:r>
      <w:r>
        <w:t xml:space="preserve"> </w:t>
      </w:r>
      <w:r>
        <w:t xml:space="preserve">测试低维到高维、多种偏移下的普适性。</w:t>
      </w:r>
    </w:p>
    <w:p>
      <w:pPr>
        <w:pStyle w:val="BodyText"/>
        <w:widowControl/>
      </w:pPr>
      <w:r>
        <w:rPr>
          <w:bCs/>
          <w:b/>
        </w:rPr>
        <w:t xml:space="preserve">C 关键概念。</w:t>
      </w:r>
      <w:r>
        <w:t xml:space="preserve"> </w:t>
      </w:r>
      <w:r>
        <w:t xml:space="preserve">AUC-PR是precision–recall曲线面积；平均排名是相对顺序；CD图中连接线表示在指定检验下未发现显著差异，不意味着方法完全相等。生存OOB死亡风险是伪回归目标，不是新的真实临床结果。</w:t>
      </w:r>
    </w:p>
    <w:p>
      <w:pPr>
        <w:pStyle w:val="BodyText"/>
        <w:widowControl/>
      </w:pPr>
      <w:r>
        <w:rPr>
          <w:bCs/>
          <w:b/>
        </w:rPr>
        <w:t xml:space="preserve">D 必需指标。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ty m:val="p"/>
            </m:rPr>
            <m:t>P</m:t>
            <w:rPr>
              <w:rFonts w:ascii="Cambria Math" w:hAnsi="Cambria Math"/>
            </w:rPr>
          </m:r>
          <m:r>
            <m:rPr>
              <m:sty m:val="p"/>
            </m:rPr>
            <m:t>r</m:t>
            <w:rPr>
              <w:rFonts w:ascii="Cambria Math" w:hAnsi="Cambria Math"/>
            </w:rPr>
          </m:r>
          <m:r>
            <m:rPr>
              <m:sty m:val="p"/>
            </m:rPr>
            <m:t>e</m:t>
            <w:rPr>
              <w:rFonts w:ascii="Cambria Math" w:hAnsi="Cambria Math"/>
            </w:rPr>
          </m:r>
          <m:r>
            <m:rPr>
              <m:sty m:val="p"/>
            </m:rPr>
            <m:t>c</m:t>
            <w:rPr>
              <w:rFonts w:ascii="Cambria Math" w:hAnsi="Cambria Math"/>
            </w:rPr>
          </m:r>
          <m:r>
            <m:rPr>
              <m:sty m:val="p"/>
            </m:rPr>
            <m:t>i</m:t>
            <w:rPr>
              <w:rFonts w:ascii="Cambria Math" w:hAnsi="Cambria Math"/>
            </w:rPr>
          </m:r>
          <m:r>
            <m:rPr>
              <m:sty m:val="p"/>
            </m:rPr>
            <m:t>s</m:t>
            <w:rPr>
              <w:rFonts w:ascii="Cambria Math" w:hAnsi="Cambria Math"/>
            </w:rPr>
          </m:r>
          <m:r>
            <m:rPr>
              <m:sty m:val="p"/>
            </m:rPr>
            <m:t>i</m:t>
            <w:rPr>
              <w:rFonts w:ascii="Cambria Math" w:hAnsi="Cambria Math"/>
            </w:rPr>
          </m:r>
          <m:r>
            <m:rPr>
              <m:sty m:val="p"/>
            </m:rPr>
            <m:t>o</m:t>
            <w:rPr>
              <w:rFonts w:ascii="Cambria Math" w:hAnsi="Cambria Math"/>
            </w:rPr>
          </m:r>
          <m:r>
            <m:rPr>
              <m:sty m:val="p"/>
            </m:rPr>
            <m:t>n</m:t>
            <w:rPr>
              <w:rFonts w:ascii="Cambria Math" w:hAnsi="Cambria Math"/>
            </w:rPr>
          </m:r>
          <m:r>
            <m:rPr>
              <m:sty m:val="p"/>
            </m:rPr>
            <m:t>=</m:t>
            <w:rPr>
              <w:rFonts w:ascii="Cambria Math" w:hAnsi="Cambria Math"/>
            </w:rPr>
          </m:r>
          <m:r>
            <m:t>T</m:t>
            <w:rPr>
              <w:rFonts w:ascii="Cambria Math" w:hAnsi="Cambria Math"/>
            </w:rPr>
          </m:r>
          <m:r>
            <m:t>P</m:t>
            <w:rPr>
              <w:rFonts w:ascii="Cambria Math" w:hAnsi="Cambria Math"/>
            </w:rPr>
          </m:r>
          <m:r>
            <m:rPr>
              <m:sty m:val="p"/>
            </m:rPr>
            <m:t>/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r>
            <m:t>T</m:t>
            <w:rPr>
              <w:rFonts w:ascii="Cambria Math" w:hAnsi="Cambria Math"/>
            </w:rPr>
          </m:r>
          <m:r>
            <m:t>P</m:t>
            <w:rPr>
              <w:rFonts w:ascii="Cambria Math" w:hAnsi="Cambria Math"/>
            </w:rPr>
          </m:r>
          <m:r>
            <m:rPr>
              <m:sty m:val="p"/>
            </m:rPr>
            <m:t>+</m:t>
            <w:rPr>
              <w:rFonts w:ascii="Cambria Math" w:hAnsi="Cambria Math"/>
            </w:rPr>
          </m:r>
          <m:r>
            <m:t>F</m:t>
            <w:rPr>
              <w:rFonts w:ascii="Cambria Math" w:hAnsi="Cambria Math"/>
            </w:rPr>
          </m:r>
          <m:r>
            <m:t>P</m:t>
            <w:rPr>
              <w:rFonts w:ascii="Cambria Math" w:hAnsi="Cambria Math"/>
            </w:rPr>
          </m:r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r>
            <m:t> </m:t>
            <w:rPr>
              <w:rFonts w:ascii="Cambria Math" w:hAnsi="Cambria Math"/>
            </w:rPr>
          </m:r>
          <m:r>
            <m:rPr>
              <m:sty m:val="p"/>
            </m:rPr>
            <m:t>R</m:t>
            <w:rPr>
              <w:rFonts w:ascii="Cambria Math" w:hAnsi="Cambria Math"/>
            </w:rPr>
          </m:r>
          <m:r>
            <m:rPr>
              <m:sty m:val="p"/>
            </m:rPr>
            <m:t>e</m:t>
            <w:rPr>
              <w:rFonts w:ascii="Cambria Math" w:hAnsi="Cambria Math"/>
            </w:rPr>
          </m:r>
          <m:r>
            <m:rPr>
              <m:sty m:val="p"/>
            </m:rPr>
            <m:t>c</m:t>
            <w:rPr>
              <w:rFonts w:ascii="Cambria Math" w:hAnsi="Cambria Math"/>
            </w:rPr>
          </m:r>
          <m:r>
            <m:rPr>
              <m:sty m:val="p"/>
            </m:rPr>
            <m:t>a</m:t>
            <w:rPr>
              <w:rFonts w:ascii="Cambria Math" w:hAnsi="Cambria Math"/>
            </w:rPr>
          </m:r>
          <m:r>
            <m:rPr>
              <m:sty m:val="p"/>
            </m:rPr>
            <m:t>l</m:t>
            <w:rPr>
              <w:rFonts w:ascii="Cambria Math" w:hAnsi="Cambria Math"/>
            </w:rPr>
          </m:r>
          <m:r>
            <m:rPr>
              <m:sty m:val="p"/>
            </m:rPr>
            <m:t>l</m:t>
            <w:rPr>
              <w:rFonts w:ascii="Cambria Math" w:hAnsi="Cambria Math"/>
            </w:rPr>
          </m:r>
          <m:r>
            <m:rPr>
              <m:sty m:val="p"/>
            </m:rPr>
            <m:t>=</m:t>
            <w:rPr>
              <w:rFonts w:ascii="Cambria Math" w:hAnsi="Cambria Math"/>
            </w:rPr>
          </m:r>
          <m:r>
            <m:t>T</m:t>
            <w:rPr>
              <w:rFonts w:ascii="Cambria Math" w:hAnsi="Cambria Math"/>
            </w:rPr>
          </m:r>
          <m:r>
            <m:t>P</m:t>
            <w:rPr>
              <w:rFonts w:ascii="Cambria Math" w:hAnsi="Cambria Math"/>
            </w:rPr>
          </m:r>
          <m:r>
            <m:rPr>
              <m:sty m:val="p"/>
            </m:rPr>
            <m:t>/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r>
            <m:t>T</m:t>
            <w:rPr>
              <w:rFonts w:ascii="Cambria Math" w:hAnsi="Cambria Math"/>
            </w:rPr>
          </m:r>
          <m:r>
            <m:t>P</m:t>
            <w:rPr>
              <w:rFonts w:ascii="Cambria Math" w:hAnsi="Cambria Math"/>
            </w:rPr>
          </m:r>
          <m:r>
            <m:rPr>
              <m:sty m:val="p"/>
            </m:rPr>
            <m:t>+</m:t>
            <w:rPr>
              <w:rFonts w:ascii="Cambria Math" w:hAnsi="Cambria Math"/>
            </w:rPr>
          </m:r>
          <m:r>
            <m:t>F</m:t>
            <w:rPr>
              <w:rFonts w:ascii="Cambria Math" w:hAnsi="Cambria Math"/>
            </w:rPr>
          </m:r>
          <m:r>
            <m:t>N</m:t>
            <w:rPr>
              <w:rFonts w:ascii="Cambria Math" w:hAnsi="Cambria Math"/>
            </w:rPr>
          </m:r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r>
            <m:t> </m:t>
            <w:rPr>
              <w:rFonts w:ascii="Cambria Math" w:hAnsi="Cambria Math"/>
            </w:rPr>
          </m:r>
          <m:r>
            <m:rPr>
              <m:sty m:val="p"/>
            </m:rPr>
            <m:t>F</m:t>
            <w:rPr>
              <w:rFonts w:ascii="Cambria Math" w:hAnsi="Cambria Math"/>
            </w:rPr>
          </m:r>
          <m:r>
            <m:rPr>
              <m:sty m:val="p"/>
            </m:rPr>
            <m:t>P</m:t>
            <w:rPr>
              <w:rFonts w:ascii="Cambria Math" w:hAnsi="Cambria Math"/>
            </w:rPr>
          </m:r>
          <m:r>
            <m:rPr>
              <m:sty m:val="p"/>
            </m:rPr>
            <m:t>R</m:t>
            <w:rPr>
              <w:rFonts w:ascii="Cambria Math" w:hAnsi="Cambria Math"/>
            </w:rPr>
          </m:r>
          <m:r>
            <m:rPr>
              <m:sty m:val="p"/>
            </m:rPr>
            <m:t>=</m:t>
            <w:rPr>
              <w:rFonts w:ascii="Cambria Math" w:hAnsi="Cambria Math"/>
            </w:rPr>
          </m:r>
          <m:r>
            <m:t>F</m:t>
            <w:rPr>
              <w:rFonts w:ascii="Cambria Math" w:hAnsi="Cambria Math"/>
            </w:rPr>
          </m:r>
          <m:r>
            <m:t>P</m:t>
            <w:rPr>
              <w:rFonts w:ascii="Cambria Math" w:hAnsi="Cambria Math"/>
            </w:rPr>
          </m:r>
          <m:r>
            <m:rPr>
              <m:sty m:val="p"/>
            </m:rPr>
            <m:t>/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r>
            <m:t>F</m:t>
            <w:rPr>
              <w:rFonts w:ascii="Cambria Math" w:hAnsi="Cambria Math"/>
            </w:rPr>
          </m:r>
          <m:r>
            <m:t>P</m:t>
            <w:rPr>
              <w:rFonts w:ascii="Cambria Math" w:hAnsi="Cambria Math"/>
            </w:rPr>
          </m:r>
          <m:r>
            <m:rPr>
              <m:sty m:val="p"/>
            </m:rPr>
            <m:t>+</m:t>
            <w:rPr>
              <w:rFonts w:ascii="Cambria Math" w:hAnsi="Cambria Math"/>
            </w:rPr>
          </m:r>
          <m:r>
            <m:t>T</m:t>
            <w:rPr>
              <w:rFonts w:ascii="Cambria Math" w:hAnsi="Cambria Math"/>
            </w:rPr>
          </m:r>
          <m:r>
            <m:t>N</m:t>
            <w:rPr>
              <w:rFonts w:ascii="Cambria Math" w:hAnsi="Cambria Math"/>
            </w:rPr>
          </m:r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.</m:t>
            <w:rPr>
              <w:rFonts w:ascii="Cambria Math" w:hAnsi="Cambria Math"/>
            </w:rPr>
          </m:r>
        </m:oMath>
      </m:oMathPara>
    </w:p>
    <w:p>
      <w:pPr>
        <w:pStyle w:val="FirstParagraph"/>
        <w:widowControl/>
      </w:pPr>
      <w:r>
        <w:t xml:space="preserve">TP为正确检出OOD，FP为ID误报，FN为漏检OOD，TN为正确接收ID。改变阈值产生PR曲线；随机排序的PR基准受OOD比例影响。论文使用Nemenyi检验、</w:t>
      </w:r>
      <m:oMath>
        <m:r>
          <m:t>α</m:t>
          <w:rPr>
            <w:rFonts w:ascii="Cambria Math" w:hAnsi="Cambria Math"/>
          </w:rPr>
        </m:r>
        <m:r>
          <m:rPr>
            <m:sty m:val="p"/>
          </m:rPr>
          <m:t>=</m:t>
          <w:rPr>
            <w:rFonts w:ascii="Cambria Math" w:hAnsi="Cambria Math"/>
          </w:rPr>
        </m:r>
        <m:r>
          <m:t>0.05</m:t>
          <w:rPr>
            <w:rFonts w:ascii="Cambria Math" w:hAnsi="Cambria Math"/>
          </w:rPr>
        </m:r>
      </m:oMath>
      <w:r>
        <w:t xml:space="preserve">绘制CD比较，但正文未给所有原始分数或PR积分实现细节。</w:t>
      </w:r>
    </w:p>
    <w:p>
      <w:pPr>
        <w:pStyle w:val="BodyText"/>
        <w:widowControl/>
      </w:pPr>
      <w:r>
        <w:rPr>
          <w:bCs/>
          <w:b/>
        </w:rPr>
        <w:t xml:space="preserve">E 本节结论。</w:t>
      </w:r>
    </w:p>
    <w:p>
      <w:pPr>
        <w:widowControl/>
        <w:numPr>
          <w:ilvl w:val="0"/>
          <w:numId w:val="1009"/>
        </w:numPr>
        <w:pStyle w:val="Compact"/>
      </w:pPr>
      <w:r>
        <w:t xml:space="preserve">PMLB的joint、support由OutPro领先；warp由传统方法领先。</w:t>
      </w:r>
    </w:p>
    <w:p>
      <w:pPr>
        <w:widowControl/>
        <w:numPr>
          <w:ilvl w:val="0"/>
          <w:numId w:val="1009"/>
        </w:numPr>
        <w:pStyle w:val="Compact"/>
      </w:pPr>
      <w:r>
        <w:t xml:space="preserve">高维joint仍由OutPro领先；support由robust kNN density领先，多个OutPro变体靠前。</w:t>
      </w:r>
    </w:p>
    <w:p>
      <w:pPr>
        <w:widowControl/>
        <w:numPr>
          <w:ilvl w:val="0"/>
          <w:numId w:val="1009"/>
        </w:numPr>
        <w:pStyle w:val="Compact"/>
      </w:pPr>
      <w:r>
        <w:t xml:space="preserve">不能将排名写成准确率，更不能无依据给出提升百分比。</w:t>
      </w:r>
    </w:p>
    <w:bookmarkEnd w:id="34"/>
    <w:bookmarkStart w:id="35" w:name="experiments-5.55.6参数与组件究竟贡献多少"/>
    <w:p>
      <w:pPr>
        <w:pStyle w:val="Heading3"/>
        <w:widowControl/>
      </w:pPr>
      <w:r>
        <w:rPr>
          <w:color w:val="000000"/>
        </w:rPr>
        <w:t xml:space="preserve">3.10 Experiments 5.5–5.6：参数与组件究竟贡献多少</w:t>
      </w:r>
    </w:p>
    <w:p>
      <w:pPr>
        <w:pStyle w:val="FirstParagraph"/>
        <w:widowControl/>
      </w:pPr>
      <w:r>
        <w:rPr>
          <w:bCs/>
          <w:b/>
        </w:rPr>
        <w:t xml:space="preserve">A 讲什么。</w:t>
      </w:r>
      <w:r>
        <w:t xml:space="preserve"> </w:t>
      </w:r>
      <w:r>
        <w:t xml:space="preserve">改变K与OPTICS minPts，并移除变量选择、权重或树邻域。[pp.19、21–23]</w:t>
      </w:r>
    </w:p>
    <w:p>
      <w:pPr>
        <w:pStyle w:val="BodyText"/>
        <w:widowControl/>
      </w:pPr>
      <w:r>
        <w:rPr>
          <w:bCs/>
          <w:b/>
        </w:rPr>
        <w:t xml:space="preserve">B 为什么讲。</w:t>
      </w:r>
      <w:r>
        <w:t xml:space="preserve"> </w:t>
      </w:r>
      <w:r>
        <w:t xml:space="preserve">区分</w:t>
      </w:r>
      <w:r>
        <w:t xml:space="preserve">“</w:t>
      </w:r>
      <w:r>
        <w:t xml:space="preserve">整体有效</w:t>
      </w:r>
      <w:r>
        <w:t xml:space="preserve">”</w:t>
      </w:r>
      <w:r>
        <w:t xml:space="preserve">与</w:t>
      </w:r>
      <w:r>
        <w:t xml:space="preserve">“</w:t>
      </w:r>
      <w:r>
        <w:t xml:space="preserve">每个组件必然必要</w:t>
      </w:r>
      <w:r>
        <w:t xml:space="preserve">”</w:t>
      </w:r>
      <w:r>
        <w:t xml:space="preserve">。</w:t>
      </w:r>
    </w:p>
    <w:p>
      <w:pPr>
        <w:pStyle w:val="BodyText"/>
        <w:widowControl/>
      </w:pPr>
      <w:r>
        <w:rPr>
          <w:bCs/>
          <w:b/>
        </w:rPr>
        <w:t xml:space="preserve">C 关键概念。</w:t>
      </w:r>
      <w:r>
        <w:t xml:space="preserve"> </w:t>
      </w:r>
      <w:r>
        <w:t xml:space="preserve">消融应控制其余因素；本文统一Manhattan与默认K，才比较组件。</w:t>
      </w:r>
      <m:oMath>
        <m:sSub>
          <m:e>
            <m:r>
              <m:t>K</m:t>
              <w:rPr>
                <w:rFonts w:ascii="Cambria Math" w:hAnsi="Cambria Math"/>
              </w:rPr>
            </m:r>
          </m:e>
          <m:sub>
            <m:r>
              <m:t>0</m:t>
              <w:rPr>
                <w:rFonts w:ascii="Cambria Math" w:hAnsi="Cambria Math"/>
              </w:rPr>
            </m:r>
          </m:sub>
        </m:sSub>
        <m:r>
          <m:rPr>
            <m:sty m:val="p"/>
          </m:rPr>
          <m:t>=</m:t>
          <w:rPr>
            <w:rFonts w:ascii="Cambria Math" w:hAnsi="Cambria Math"/>
          </w:rPr>
        </m:r>
        <m:r>
          <m:rPr>
            <m:nor/>
            <m:sty m:val="p"/>
          </m:rPr>
          <m:t>min</m:t>
          <w:rPr>
            <w:rFonts w:ascii="Cambria Math" w:hAnsi="Cambria Math"/>
          </w:rPr>
        </m:r>
        <m:r>
          <m:rPr>
            <m:sty m:val="p"/>
          </m:rPr>
          <m:t>(</m:t>
          <w:rPr>
            <w:rFonts w:ascii="Cambria Math" w:hAnsi="Cambria Math"/>
          </w:rPr>
        </m:r>
        <m:sSub>
          <m:e>
            <m:r>
              <m:t>n</m:t>
              <w:rPr>
                <w:rFonts w:ascii="Cambria Math" w:hAnsi="Cambria Math"/>
              </w:rPr>
            </m:r>
          </m:e>
          <m:sub>
            <m:r>
              <m:t>t</m:t>
              <w:rPr>
                <w:rFonts w:ascii="Cambria Math" w:hAnsi="Cambria Math"/>
              </w:rPr>
            </m:r>
            <m:r>
              <m:t>r</m:t>
              <w:rPr>
                <w:rFonts w:ascii="Cambria Math" w:hAnsi="Cambria Math"/>
              </w:rPr>
            </m:r>
            <m:r>
              <m:t>a</m:t>
              <w:rPr>
                <w:rFonts w:ascii="Cambria Math" w:hAnsi="Cambria Math"/>
              </w:rPr>
            </m:r>
            <m:r>
              <m:t>i</m:t>
              <w:rPr>
                <w:rFonts w:ascii="Cambria Math" w:hAnsi="Cambria Math"/>
              </w:rPr>
            </m:r>
            <m:r>
              <m:t>n</m:t>
              <w:rPr>
                <w:rFonts w:ascii="Cambria Math" w:hAnsi="Cambria Math"/>
              </w:rPr>
            </m:r>
          </m:sub>
        </m:sSub>
        <m:r>
          <m:rPr>
            <m:sty m:val="p"/>
          </m:rPr>
          <m:t>/</m:t>
          <w:rPr>
            <w:rFonts w:ascii="Cambria Math" w:hAnsi="Cambria Math"/>
          </w:rPr>
        </m:r>
        <m:r>
          <m:t>10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5000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</m:oMath>
      <w:r>
        <w:t xml:space="preserve">；这里n按算法训练样本数解释，不是整个数据集总量。</w:t>
      </w:r>
    </w:p>
    <w:p>
      <w:pPr>
        <w:pStyle w:val="BodyText"/>
        <w:widowControl/>
      </w:pPr>
      <w:r>
        <w:rPr>
          <w:bCs/>
          <w:b/>
        </w:rPr>
        <w:t xml:space="preserve">D 关键数据：表5，数值为平均AUC-PR排名，越低越好。</w:t>
      </w:r>
    </w:p>
    <w:tbl>
      <w:tblPr>
        <w:tblStyle w:val="Table"/>
        <w:tblW w:type="pct" w:w="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3749"/>
        <w:gridCol w:w="1529"/>
        <w:gridCol w:w="1529"/>
        <w:gridCol w:w="1529"/>
        <w:gridCol w:w="1529"/>
      </w:tblGrid>
      <w:tr>
        <w:trPr>
          <w:cantSplit/>
          <w:tblHeader/>
        </w:trPr>
        <w:tc>
          <w:tcPr>
            <w:tcW w:type="dxa" w:w="3749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设置</w:t>
            </w:r>
          </w:p>
        </w:tc>
        <w:tc>
          <w:tcPr>
            <w:tcW w:type="dxa" w:w="1529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right"/>
            </w:pPr>
            <w:r>
              <w:rPr>
                <w:b/>
                <w:color w:val="000000"/>
                <w:sz w:val="19"/>
              </w:rPr>
              <w:t xml:space="preserve">joint</w:t>
            </w:r>
          </w:p>
        </w:tc>
        <w:tc>
          <w:tcPr>
            <w:tcW w:type="dxa" w:w="1529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right"/>
            </w:pPr>
            <w:r>
              <w:rPr>
                <w:b/>
                <w:color w:val="000000"/>
                <w:sz w:val="19"/>
              </w:rPr>
              <w:t xml:space="preserve">support</w:t>
            </w:r>
          </w:p>
        </w:tc>
        <w:tc>
          <w:tcPr>
            <w:tcW w:type="dxa" w:w="1529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right"/>
            </w:pPr>
            <w:r>
              <w:rPr>
                <w:b/>
                <w:color w:val="000000"/>
                <w:sz w:val="19"/>
              </w:rPr>
              <w:t xml:space="preserve">warp</w:t>
            </w:r>
          </w:p>
        </w:tc>
        <w:tc>
          <w:tcPr>
            <w:tcW w:type="dxa" w:w="1529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right"/>
            </w:pPr>
            <w:r>
              <w:rPr>
                <w:b/>
                <w:color w:val="000000"/>
                <w:sz w:val="19"/>
              </w:rPr>
              <w:t xml:space="preserve">三模式平均</w:t>
            </w:r>
          </w:p>
        </w:tc>
      </w:tr>
      <w:tr>
        <w:trPr>
          <w:cantSplit/>
        </w:trPr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Full OutPro</w:t>
            </w:r>
          </w:p>
        </w:tc>
        <w:tc>
          <w:tcPr>
            <w:tcW w:type="dxa" w:w="152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2.88</w:t>
            </w:r>
          </w:p>
        </w:tc>
        <w:tc>
          <w:tcPr>
            <w:tcW w:type="dxa" w:w="152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1.40</w:t>
            </w:r>
          </w:p>
        </w:tc>
        <w:tc>
          <w:tcPr>
            <w:tcW w:type="dxa" w:w="152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1.23</w:t>
            </w:r>
          </w:p>
        </w:tc>
        <w:tc>
          <w:tcPr>
            <w:tcW w:type="dxa" w:w="152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1.84</w:t>
            </w:r>
          </w:p>
        </w:tc>
      </w:tr>
      <w:tr>
        <w:trPr>
          <w:cantSplit/>
        </w:trPr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Unweighted OutPro</w:t>
            </w:r>
          </w:p>
        </w:tc>
        <w:tc>
          <w:tcPr>
            <w:tcW w:type="dxa" w:w="152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3.38</w:t>
            </w:r>
          </w:p>
        </w:tc>
        <w:tc>
          <w:tcPr>
            <w:tcW w:type="dxa" w:w="152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3.42</w:t>
            </w:r>
          </w:p>
        </w:tc>
        <w:tc>
          <w:tcPr>
            <w:tcW w:type="dxa" w:w="152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3.80</w:t>
            </w:r>
          </w:p>
        </w:tc>
        <w:tc>
          <w:tcPr>
            <w:tcW w:type="dxa" w:w="152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3.53</w:t>
            </w:r>
          </w:p>
        </w:tc>
      </w:tr>
      <w:tr>
        <w:trPr>
          <w:cantSplit/>
        </w:trPr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All-coordinate OutPro</w:t>
            </w:r>
          </w:p>
        </w:tc>
        <w:tc>
          <w:tcPr>
            <w:tcW w:type="dxa" w:w="152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2.91</w:t>
            </w:r>
          </w:p>
        </w:tc>
        <w:tc>
          <w:tcPr>
            <w:tcW w:type="dxa" w:w="152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2.94</w:t>
            </w:r>
          </w:p>
        </w:tc>
        <w:tc>
          <w:tcPr>
            <w:tcW w:type="dxa" w:w="152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3.89</w:t>
            </w:r>
          </w:p>
        </w:tc>
        <w:tc>
          <w:tcPr>
            <w:tcW w:type="dxa" w:w="152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3.25</w:t>
            </w:r>
          </w:p>
        </w:tc>
      </w:tr>
      <w:tr>
        <w:trPr>
          <w:cantSplit/>
        </w:trPr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Subspace KNN</w:t>
            </w:r>
          </w:p>
        </w:tc>
        <w:tc>
          <w:tcPr>
            <w:tcW w:type="dxa" w:w="152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bCs/>
                <w:b/>
                <w:color w:val="000000"/>
                <w:sz w:val="19"/>
              </w:rPr>
              <w:t xml:space="preserve">1.47</w:t>
            </w:r>
          </w:p>
        </w:tc>
        <w:tc>
          <w:tcPr>
            <w:tcW w:type="dxa" w:w="152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2.82</w:t>
            </w:r>
          </w:p>
        </w:tc>
        <w:tc>
          <w:tcPr>
            <w:tcW w:type="dxa" w:w="152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2.30</w:t>
            </w:r>
          </w:p>
        </w:tc>
        <w:tc>
          <w:tcPr>
            <w:tcW w:type="dxa" w:w="152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2.33</w:t>
            </w:r>
          </w:p>
        </w:tc>
      </w:tr>
      <w:tr>
        <w:trPr>
          <w:cantSplit/>
        </w:trPr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Full-space KNN</w:t>
            </w:r>
          </w:p>
        </w:tc>
        <w:tc>
          <w:tcPr>
            <w:tcW w:type="dxa" w:w="152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4.37</w:t>
            </w:r>
          </w:p>
        </w:tc>
        <w:tc>
          <w:tcPr>
            <w:tcW w:type="dxa" w:w="152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4.42</w:t>
            </w:r>
          </w:p>
        </w:tc>
        <w:tc>
          <w:tcPr>
            <w:tcW w:type="dxa" w:w="152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3.78</w:t>
            </w:r>
          </w:p>
        </w:tc>
        <w:tc>
          <w:tcPr>
            <w:tcW w:type="dxa" w:w="152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4.19</w:t>
            </w:r>
          </w:p>
        </w:tc>
      </w:tr>
    </w:tbl>
    <w:p>
      <w:pPr>
        <w:pStyle w:val="BodyText"/>
        <w:widowControl/>
      </w:pPr>
      <w:r>
        <w:t xml:space="preserve">敏感性：</w:t>
      </w:r>
      <m:oMath>
        <m:r>
          <m:t>K</m:t>
          <w:rPr>
            <w:rFonts w:ascii="Cambria Math" w:hAnsi="Cambria Math"/>
          </w:rPr>
        </m:r>
        <m:r>
          <m:rPr>
            <m:sty m:val="p"/>
          </m:rPr>
          <m:t>/</m:t>
          <w:rPr>
            <w:rFonts w:ascii="Cambria Math" w:hAnsi="Cambria Math"/>
          </w:rPr>
        </m:r>
        <m:sSub>
          <m:e>
            <m:r>
              <m:t>K</m:t>
              <w:rPr>
                <w:rFonts w:ascii="Cambria Math" w:hAnsi="Cambria Math"/>
              </w:rPr>
            </m:r>
          </m:e>
          <m:sub>
            <m:r>
              <m:t>0</m:t>
              <w:rPr>
                <w:rFonts w:ascii="Cambria Math" w:hAnsi="Cambria Math"/>
              </w:rPr>
            </m:r>
          </m:sub>
        </m:sSub>
        <m:r>
          <m:rPr>
            <m:sty m:val="p"/>
          </m:rPr>
          <m:t>∈</m:t>
          <w:rPr>
            <w:rFonts w:ascii="Cambria Math" w:hAnsi="Cambria Math"/>
          </w:rPr>
        </m:r>
        <m:r>
          <m:rPr>
            <m:sty m:val="p"/>
          </m:rPr>
          <m:t>{</m:t>
          <w:rPr>
            <w:rFonts w:ascii="Cambria Math" w:hAnsi="Cambria Math"/>
          </w:rPr>
        </m:r>
        <m:r>
          <m:t>0.5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1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1.5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2</m:t>
          <w:rPr>
            <w:rFonts w:ascii="Cambria Math" w:hAnsi="Cambria Math"/>
          </w:rPr>
        </m:r>
        <m:r>
          <m:rPr>
            <m:sty m:val="p"/>
          </m:rPr>
          <m:t>}</m:t>
          <w:rPr>
            <w:rFonts w:ascii="Cambria Math" w:hAnsi="Cambria Math"/>
          </w:rPr>
        </m:r>
      </m:oMath>
      <w:r>
        <w:t xml:space="preserve">，minPts∈{3,5,10}。所测support设置中增大K有适度收益，minPts变化影响小。不能外推为任意K或任意工况都稳定。</w:t>
      </w:r>
    </w:p>
    <w:p>
      <w:pPr>
        <w:pStyle w:val="BodyText"/>
        <w:widowControl/>
      </w:pPr>
      <w:r>
        <w:rPr>
          <w:bCs/>
          <w:b/>
        </w:rPr>
        <w:t xml:space="preserve">E 本节结论。</w:t>
      </w:r>
    </w:p>
    <w:p>
      <w:pPr>
        <w:widowControl/>
        <w:numPr>
          <w:ilvl w:val="0"/>
          <w:numId w:val="1010"/>
        </w:numPr>
        <w:pStyle w:val="Compact"/>
      </w:pPr>
      <w:r>
        <w:t xml:space="preserve">选择变量和加权有实验支持。</w:t>
      </w:r>
    </w:p>
    <w:p>
      <w:pPr>
        <w:widowControl/>
        <w:numPr>
          <w:ilvl w:val="0"/>
          <w:numId w:val="1010"/>
        </w:numPr>
        <w:pStyle w:val="Compact"/>
      </w:pPr>
      <w:r>
        <w:t xml:space="preserve">树邻域的好处随偏移类型变化：joint中子空间KNN更优。</w:t>
      </w:r>
    </w:p>
    <w:p>
      <w:pPr>
        <w:widowControl/>
        <w:numPr>
          <w:ilvl w:val="0"/>
          <w:numId w:val="1010"/>
        </w:numPr>
        <w:pStyle w:val="Compact"/>
      </w:pPr>
      <w:r>
        <w:t xml:space="preserve">表5只在5个消融方案间排名，不能与15基线主比较的排名数值直接相减。</w:t>
      </w:r>
    </w:p>
    <w:bookmarkEnd w:id="35"/>
    <w:bookmarkStart w:id="36" w:name="case-studywecc能说明什么不能说明什么"/>
    <w:p>
      <w:pPr>
        <w:pStyle w:val="Heading3"/>
        <w:widowControl/>
      </w:pPr>
      <w:r>
        <w:rPr>
          <w:color w:val="000000"/>
        </w:rPr>
        <w:t xml:space="preserve">3.11 Case study：WECC能说明什么，不能说明什么</w:t>
      </w:r>
    </w:p>
    <w:p>
      <w:pPr>
        <w:pStyle w:val="FirstParagraph"/>
        <w:widowControl/>
      </w:pPr>
      <w:r>
        <w:rPr>
          <w:bCs/>
          <w:b/>
        </w:rPr>
        <w:t xml:space="preserve">A 讲什么。</w:t>
      </w:r>
      <w:r>
        <w:t xml:space="preserve"> </w:t>
      </w:r>
      <w:r>
        <w:t xml:space="preserve">在6142名食管腺癌病例中，改变淋巴结切除数门槛形成31个训练／测试场景，观察pT3–4且淋巴结阳性患者的平均OOD百分位。[pp.23–24图9]</w:t>
      </w:r>
    </w:p>
    <w:p>
      <w:pPr>
        <w:pStyle w:val="BodyText"/>
        <w:widowControl/>
      </w:pPr>
      <w:r>
        <w:rPr>
          <w:bCs/>
          <w:b/>
        </w:rPr>
        <w:t xml:space="preserve">B 为什么讲。</w:t>
      </w:r>
      <w:r>
        <w:t xml:space="preserve"> </w:t>
      </w:r>
      <w:r>
        <w:t xml:space="preserve">展示相对于临床参考人群，分数可以怎样帮助解释群体差异。</w:t>
      </w:r>
    </w:p>
    <w:p>
      <w:pPr>
        <w:pStyle w:val="BodyText"/>
        <w:widowControl/>
      </w:pPr>
      <w:r>
        <w:rPr>
          <w:bCs/>
          <w:b/>
        </w:rPr>
        <w:t xml:space="preserve">C 关键概念。</w:t>
      </w:r>
      <w:r>
        <w:t xml:space="preserve"> </w:t>
      </w:r>
      <w:r>
        <w:t xml:space="preserve">右删失表示只知生存至少到随访时间；RSF处理生存时间和事件状态；OOB预测由未使用该样本训练的树给出；百分位表示相对参考分布的位置，不是死亡概率或OOD后验概率。</w:t>
      </w:r>
    </w:p>
    <w:p>
      <w:pPr>
        <w:pStyle w:val="BodyText"/>
        <w:widowControl/>
      </w:pPr>
      <w:r>
        <w:rPr>
          <w:bCs/>
          <w:b/>
        </w:rPr>
        <w:t xml:space="preserve">D 核心操作。</w:t>
      </w:r>
      <w:r>
        <w:t xml:space="preserve"> </w:t>
      </w:r>
      <w:r>
        <w:t xml:space="preserve">对</w:t>
      </w:r>
      <m:oMath>
        <m:r>
          <m:t>c</m:t>
          <w:rPr>
            <w:rFonts w:ascii="Cambria Math" w:hAnsi="Cambria Math"/>
          </w:rPr>
        </m:r>
        <m:r>
          <m:rPr>
            <m:sty m:val="p"/>
          </m:rPr>
          <m:t>=</m:t>
          <w:rPr>
            <w:rFonts w:ascii="Cambria Math" w:hAnsi="Cambria Math"/>
          </w:rPr>
        </m:r>
        <m:r>
          <m:t>0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1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rPr>
            <m:sty m:val="p"/>
          </m:rPr>
          <m:t>…</m:t>
          <w:rPr>
            <w:rFonts w:ascii="Cambria Math" w:hAnsi="Cambria Math"/>
          </w:rPr>
        </m:r>
        <m:r>
          <m:rPr>
            <m:sty m:val="p"/>
          </m:rPr>
          <m:t>,</m:t>
          <w:rPr>
            <w:rFonts w:ascii="Cambria Math" w:hAnsi="Cambria Math"/>
          </w:rPr>
        </m:r>
        <m:r>
          <m:t>30</m:t>
          <w:rPr>
            <w:rFonts w:ascii="Cambria Math" w:hAnsi="Cambria Math"/>
          </w:rPr>
        </m:r>
      </m:oMath>
      <w:r>
        <w:t xml:space="preserve">，测试集为</w:t>
      </w:r>
      <w:r>
        <w:t xml:space="preserve">“</w:t>
      </w:r>
      <w:r>
        <w:t xml:space="preserve">pT3–4、淋巴结阳性、切除数≥c</w:t>
      </w:r>
      <w:r>
        <w:t xml:space="preserve">”</w:t>
      </w:r>
      <w:r>
        <w:t xml:space="preserve">的患者，其余训练。图9统计测试群体平均OOD百分位。正文未完整给出零分布估计公式，不能据图反推出个体报警性能。</w:t>
      </w:r>
    </w:p>
    <w:p>
      <w:pPr>
        <w:pStyle w:val="BodyText"/>
        <w:widowControl/>
      </w:pPr>
      <w:r>
        <w:t xml:space="preserve">【论文结果】95百分位参考下，1–2和3–6阳性结节组约需3个切除结节，≥7组约需30个；90百分位下前两组约5和10个。它们是作者描述的群体曲线位置，不是本报告的手术建议。</w:t>
      </w:r>
    </w:p>
    <w:p>
      <w:pPr>
        <w:pStyle w:val="BodyText"/>
        <w:widowControl/>
      </w:pPr>
      <w:r>
        <w:t xml:space="preserve">【判断】门槛改变时测试人群和训练参考同时改变；分数下降不能直接归因为对同一个人增加切除量的因果效果。群体均值低于95也不等于所有个体均非OOD。无独立OOD真值，不可计算真实检出率或证明临床效益。</w:t>
      </w:r>
    </w:p>
    <w:p>
      <w:pPr>
        <w:pStyle w:val="BodyText"/>
        <w:widowControl/>
      </w:pPr>
      <w:r>
        <w:rPr>
          <w:bCs/>
          <w:b/>
        </w:rPr>
        <w:t xml:space="preserve">E 本节结论。</w:t>
      </w:r>
    </w:p>
    <w:p>
      <w:pPr>
        <w:widowControl/>
        <w:numPr>
          <w:ilvl w:val="0"/>
          <w:numId w:val="1011"/>
        </w:numPr>
        <w:pStyle w:val="Compact"/>
      </w:pPr>
      <w:r>
        <w:t xml:space="preserve">实例支持分数的探索性解释用途。</w:t>
      </w:r>
    </w:p>
    <w:p>
      <w:pPr>
        <w:widowControl/>
        <w:numPr>
          <w:ilvl w:val="0"/>
          <w:numId w:val="1011"/>
        </w:numPr>
        <w:pStyle w:val="Compact"/>
      </w:pPr>
      <w:r>
        <w:t xml:space="preserve">分组差异、观察性关联与因果治疗效应必须分开。</w:t>
      </w:r>
    </w:p>
    <w:p>
      <w:pPr>
        <w:widowControl/>
        <w:numPr>
          <w:ilvl w:val="0"/>
          <w:numId w:val="1011"/>
        </w:numPr>
        <w:pStyle w:val="Compact"/>
      </w:pPr>
      <w:r>
        <w:t xml:space="preserve">“</w:t>
      </w:r>
      <w:r>
        <w:t xml:space="preserve">随访时间</w:t>
      </w:r>
      <w:r>
        <w:t xml:space="preserve">”</w:t>
      </w:r>
      <w:r>
        <w:t xml:space="preserve">是输出的一部分，并非传感器输入时间窗口。</w:t>
      </w:r>
    </w:p>
    <w:bookmarkEnd w:id="36"/>
    <w:bookmarkStart w:id="37" w:name="summary-and-limitations"/>
    <w:p>
      <w:pPr>
        <w:pStyle w:val="Heading3"/>
        <w:widowControl/>
      </w:pPr>
      <w:r>
        <w:rPr>
          <w:color w:val="000000"/>
        </w:rPr>
        <w:t xml:space="preserve">3.12 Summary and limitations</w:t>
      </w:r>
    </w:p>
    <w:p>
      <w:pPr>
        <w:pStyle w:val="FirstParagraph"/>
        <w:widowControl/>
      </w:pPr>
      <w:r>
        <w:rPr>
          <w:bCs/>
          <w:b/>
        </w:rPr>
        <w:t xml:space="preserve">A 讲什么。</w:t>
      </w:r>
      <w:r>
        <w:t xml:space="preserve"> </w:t>
      </w:r>
      <w:r>
        <w:t xml:space="preserve">回顾模型与子空间结合的优势，承认不同距离表现不同、变量筛选误差、合成异常局限和纯概念漂移不可检测。[pp.24–26]</w:t>
      </w:r>
    </w:p>
    <w:p>
      <w:pPr>
        <w:pStyle w:val="BodyText"/>
        <w:widowControl/>
      </w:pPr>
      <w:r>
        <w:rPr>
          <w:bCs/>
          <w:b/>
        </w:rPr>
        <w:t xml:space="preserve">B 为什么讲。</w:t>
      </w:r>
      <w:r>
        <w:t xml:space="preserve"> </w:t>
      </w:r>
      <w:r>
        <w:t xml:space="preserve">给出方法可主张的范围。</w:t>
      </w:r>
    </w:p>
    <w:p>
      <w:pPr>
        <w:pStyle w:val="BodyText"/>
        <w:widowControl/>
      </w:pPr>
      <w:r>
        <w:rPr>
          <w:bCs/>
          <w:b/>
        </w:rPr>
        <w:t xml:space="preserve">C 关键概念。</w:t>
      </w:r>
      <w:r>
        <w:t xml:space="preserve"> </w:t>
      </w:r>
      <w:r>
        <w:t xml:space="preserve">模型支持度、预测误差与安全风险不是同一个量；计算可行不等于已满足实时最坏延迟。</w:t>
      </w:r>
    </w:p>
    <w:p>
      <w:pPr>
        <w:pStyle w:val="BodyText"/>
        <w:widowControl/>
      </w:pPr>
      <w:r>
        <w:rPr>
          <w:bCs/>
          <w:b/>
        </w:rPr>
        <w:t xml:space="preserve">D 公式。</w:t>
      </w:r>
      <w:r>
        <w:t xml:space="preserve"> </w:t>
      </w:r>
      <w:r>
        <w:t xml:space="preserve">本节没有新增必需公式；输入不变时无法检测概念漂移的推导见§1.2。</w:t>
      </w:r>
    </w:p>
    <w:p>
      <w:pPr>
        <w:pStyle w:val="BodyText"/>
        <w:widowControl/>
      </w:pPr>
      <w:r>
        <w:rPr>
          <w:bCs/>
          <w:b/>
        </w:rPr>
        <w:t xml:space="preserve">E 本节结论。</w:t>
      </w:r>
    </w:p>
    <w:p>
      <w:pPr>
        <w:widowControl/>
        <w:numPr>
          <w:ilvl w:val="0"/>
          <w:numId w:val="1012"/>
        </w:numPr>
        <w:pStyle w:val="Compact"/>
      </w:pPr>
      <w:r>
        <w:t xml:space="preserve">属于值得验证的任务相关输入监测方法。</w:t>
      </w:r>
    </w:p>
    <w:p>
      <w:pPr>
        <w:widowControl/>
        <w:numPr>
          <w:ilvl w:val="0"/>
          <w:numId w:val="1012"/>
        </w:numPr>
        <w:pStyle w:val="Compact"/>
      </w:pPr>
      <w:r>
        <w:t xml:space="preserve">论文未建立分数与失效概率的校准对应。</w:t>
      </w:r>
    </w:p>
    <w:p>
      <w:pPr>
        <w:widowControl/>
        <w:numPr>
          <w:ilvl w:val="0"/>
          <w:numId w:val="1012"/>
        </w:numPr>
        <w:pStyle w:val="Compact"/>
      </w:pPr>
      <w:r>
        <w:t xml:space="preserve">实际部署仍需要阈值、数据覆盖和时间序列验证。</w:t>
      </w:r>
    </w:p>
    <w:bookmarkEnd w:id="37"/>
    <w:bookmarkEnd w:id="38"/>
    <w:bookmarkStart w:id="43" w:name="正式研究报告检测算法训练运行信息与阈值"/>
    <w:p>
      <w:pPr>
        <w:pStyle w:val="Heading2"/>
        <w:widowControl/>
      </w:pPr>
      <w:r>
        <w:rPr>
          <w:color w:val="000000"/>
        </w:rPr>
        <w:t xml:space="preserve">4. 正式研究报告：检测算法、训练／运行信息与阈值</w:t>
      </w:r>
    </w:p>
    <w:bookmarkStart w:id="39" w:name="方法分类标准与归属"/>
    <w:p>
      <w:pPr>
        <w:pStyle w:val="Heading3"/>
        <w:widowControl/>
      </w:pPr>
      <w:r>
        <w:rPr>
          <w:color w:val="000000"/>
        </w:rPr>
        <w:t xml:space="preserve">4.1 方法分类标准与归属</w:t>
      </w:r>
    </w:p>
    <w:p>
      <w:pPr>
        <w:pStyle w:val="FirstParagraph"/>
        <w:widowControl/>
      </w:pPr>
      <w:r>
        <w:t xml:space="preserve">分类采用四个独立轴，避免把</w:t>
      </w:r>
      <w:r>
        <w:t xml:space="preserve">“</w:t>
      </w:r>
      <w:r>
        <w:t xml:space="preserve">模型感知</w:t>
      </w:r>
      <w:r>
        <w:t xml:space="preserve">”</w:t>
      </w:r>
      <w:r>
        <w:t xml:space="preserve">和</w:t>
      </w:r>
      <w:r>
        <w:t xml:space="preserve">“</w:t>
      </w:r>
      <w:r>
        <w:t xml:space="preserve">距离法</w:t>
      </w:r>
      <w:r>
        <w:t xml:space="preserve">”</w:t>
      </w:r>
      <w:r>
        <w:t xml:space="preserve">误写成互斥类别。</w:t>
      </w:r>
    </w:p>
    <w:tbl>
      <w:tblPr>
        <w:tblStyle w:val="Table"/>
        <w:tblW w:type="pct" w:w="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170"/>
        <w:gridCol w:w="3946"/>
        <w:gridCol w:w="3749"/>
      </w:tblGrid>
      <w:tr>
        <w:trPr>
          <w:cantSplit/>
          <w:tblHeader/>
        </w:trPr>
        <w:tc>
          <w:tcPr>
            <w:tcW w:type="dxa" w:w="2170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分类轴</w:t>
            </w:r>
          </w:p>
        </w:tc>
        <w:tc>
          <w:tcPr>
            <w:tcW w:type="dxa" w:w="3946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类别</w:t>
            </w:r>
          </w:p>
        </w:tc>
        <w:tc>
          <w:tcPr>
            <w:tcW w:type="dxa" w:w="3749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本文归属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最终评分依据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范围／距离；概率密度；预测不确定性；其他</w:t>
            </w:r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主体为加权子空间距离，OPTICS为局部可达性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建模时信息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仅输入；输入+任务输出；还需OOD标签</w:t>
            </w:r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输入+任务输出，不需训练OOD标签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依赖预测模型的方式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不依赖；只依赖输出；表征／梯度；内部结构</w:t>
            </w:r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依赖监督森林规则、VarPro重要度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检测单位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单点；上下文条件点；序列／群体</w:t>
            </w:r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每个表格输入向量；无原生序列逻辑</w:t>
            </w:r>
          </w:p>
        </w:tc>
      </w:tr>
    </w:tbl>
    <w:p>
      <w:pPr>
        <w:pStyle w:val="BodyText"/>
        <w:widowControl/>
      </w:pPr>
      <w:r>
        <w:rPr>
          <w:bCs/>
          <w:b/>
        </w:rPr>
        <w:t xml:space="preserve">归档分类：监督任务引导的、模型与子空间感知的参考邻域距离方法。</w:t>
      </w:r>
      <w:r>
        <w:t xml:space="preserve"> </w:t>
      </w:r>
      <w:r>
        <w:t xml:space="preserve">“</w:t>
      </w:r>
      <w:r>
        <w:t xml:space="preserve">只需ID训练</w:t>
      </w:r>
      <w:r>
        <w:t xml:space="preserve">”</w:t>
      </w:r>
      <w:r>
        <w:t xml:space="preserve">不能理解为</w:t>
      </w:r>
      <w:r>
        <w:t xml:space="preserve">“</w:t>
      </w:r>
      <w:r>
        <w:t xml:space="preserve">完全无监督</w:t>
      </w:r>
      <w:r>
        <w:t xml:space="preserve">”</w:t>
      </w:r>
      <w:r>
        <w:t xml:space="preserve">，因为监督输出Y仍然必需。</w:t>
      </w:r>
    </w:p>
    <w:bookmarkEnd w:id="39"/>
    <w:bookmarkStart w:id="40" w:name="具体算法与所需信息"/>
    <w:p>
      <w:pPr>
        <w:pStyle w:val="Heading3"/>
        <w:widowControl/>
      </w:pPr>
      <w:r>
        <w:rPr>
          <w:color w:val="000000"/>
        </w:rPr>
        <w:t xml:space="preserve">4.2 具体算法与所需信息</w:t>
      </w:r>
    </w:p>
    <w:tbl>
      <w:tblPr>
        <w:tblStyle w:val="Table"/>
        <w:tblW w:type="pct" w:w="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170"/>
        <w:gridCol w:w="3946"/>
        <w:gridCol w:w="3749"/>
      </w:tblGrid>
      <w:tr>
        <w:trPr>
          <w:cantSplit/>
          <w:tblHeader/>
        </w:trPr>
        <w:tc>
          <w:tcPr>
            <w:tcW w:type="dxa" w:w="2170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阶段</w:t>
            </w:r>
          </w:p>
        </w:tc>
        <w:tc>
          <w:tcPr>
            <w:tcW w:type="dxa" w:w="3946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输入／操作</w:t>
            </w:r>
          </w:p>
        </w:tc>
        <w:tc>
          <w:tcPr>
            <w:tcW w:type="dxa" w:w="3749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离线训练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ID的</w:t>
            </w:r>
            <m:oMath>
              <m:r>
                <m:t>X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,</m:t>
                <w:rPr>
                  <w:rFonts w:ascii="Cambria Math" w:hAnsi="Cambria Math"/>
                </w:rPr>
              </m:r>
              <m:r>
                <m:t>Y</m:t>
                <w:rPr>
                  <w:rFonts w:ascii="Cambria Math" w:hAnsi="Cambria Math"/>
                </w:rPr>
              </m:r>
            </m:oMath>
            <w:r>
              <w:rPr>
                <w:color w:val="000000"/>
                <w:sz w:val="19"/>
              </w:rPr>
              <w:t xml:space="preserve">；生存任务用时间和删失／事件状态；训练监督森林</w:t>
            </w:r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树和叶规则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离线选择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VarPro释放规则、评价输出行为变化</w:t>
            </w:r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S、重要度权重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离线统计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训练均值／标准差；需要时协方差</w:t>
            </w:r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固定预处理参数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在线规则匹配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当前x、森林内部规则、训练参考样本</w:t>
            </w:r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包含x的规则及释放频率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在线邻域选择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各训练点W，K</w:t>
            </w:r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m:oMath>
              <m:sSub>
                <m:e>
                  <m:r>
                    <m:t>N</m:t>
                    <w:rPr>
                      <w:rFonts w:ascii="Cambria Math" w:hAnsi="Cambria Math"/>
                    </w:rPr>
                  </m:r>
                </m:e>
                <m:sub>
                  <m:r>
                    <m:t>K</m:t>
                    <w:rPr>
                      <w:rFonts w:ascii="Cambria Math" w:hAnsi="Cambria Math"/>
                    </w:rPr>
                  </m:r>
                </m:sub>
              </m:sSub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  <m:r>
                <m:t>x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)</m:t>
                <w:rPr>
                  <w:rFonts w:ascii="Cambria Math" w:hAnsi="Cambria Math"/>
                </w:rPr>
              </m:r>
            </m:oMath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在线评分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标准化x和邻居、S、权重、距离参数</w:t>
            </w:r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连续分数d；大表示偏离强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报警层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d及校准阈值</w:t>
            </w:r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ID／OOD决定；不是算法1的主要输出</w:t>
            </w:r>
          </w:p>
        </w:tc>
      </w:tr>
    </w:tbl>
    <w:p>
      <w:pPr>
        <w:pStyle w:val="BodyText"/>
        <w:widowControl/>
      </w:pPr>
      <w:r>
        <w:t xml:space="preserve">运行时不需要新样本Y、不需要预测残差、不必调用目标模型的预测输出；但需要训练森林及参考输入等离线资产。因此</w:t>
      </w:r>
      <w:r>
        <w:t xml:space="preserve">“</w:t>
      </w:r>
      <w:r>
        <w:t xml:space="preserve">新来一个样本只提供X即可评分</w:t>
      </w:r>
      <w:r>
        <w:t xml:space="preserve">”</w:t>
      </w:r>
      <w:r>
        <w:t xml:space="preserve">成立，</w:t>
      </w:r>
      <w:r>
        <w:t xml:space="preserve">“</w:t>
      </w:r>
      <w:r>
        <w:t xml:space="preserve">仅凭X且不保留任何模型或历史信息即可检测</w:t>
      </w:r>
      <w:r>
        <w:t xml:space="preserve">”</w:t>
      </w:r>
      <w:r>
        <w:t xml:space="preserve">不成立。</w:t>
      </w:r>
    </w:p>
    <w:bookmarkEnd w:id="40"/>
    <w:bookmarkStart w:id="41" w:name="阈值与检出误报权衡"/>
    <w:p>
      <w:pPr>
        <w:pStyle w:val="Heading3"/>
        <w:widowControl/>
      </w:pPr>
      <w:r>
        <w:rPr>
          <w:color w:val="000000"/>
        </w:rPr>
        <w:t xml:space="preserve">4.3 阈值与检出／误报权衡</w:t>
      </w:r>
    </w:p>
    <w:p>
      <w:pPr>
        <w:pStyle w:val="FirstParagraph"/>
        <w:widowControl/>
      </w:pPr>
      <w:r>
        <w:t xml:space="preserve">【论文】基准主要比较连续分数的AUC-PR，未规定统一的OutPro部署报警阈值。WECC使用90／95百分位解释群体曲线。Copula的q=0.05是异常构造尾部率；VarPro筛选cutoff是选变量阈值；K是邻居数量；它们都不是同一个报警阈值。</w:t>
      </w:r>
    </w:p>
    <w:p>
      <w:pPr>
        <w:pStyle w:val="BodyText"/>
        <w:widowControl/>
      </w:pPr>
      <w:r>
        <w:t xml:space="preserve">【建议，非原文已验证方案】保留独立、代表目标正常工况的ID校准集，冻结评分器后计算分数，设</w:t>
      </w:r>
      <m:oMath>
        <m:r>
          <m:t>t</m:t>
          <w:rPr>
            <w:rFonts w:ascii="Cambria Math" w:hAnsi="Cambria Math"/>
          </w:rPr>
        </m:r>
      </m:oMath>
      <w:r>
        <w:t xml:space="preserve">为校准分数的</w:t>
      </w:r>
      <m:oMath>
        <m:r>
          <m:t>1</m:t>
          <w:rPr>
            <w:rFonts w:ascii="Cambria Math" w:hAnsi="Cambria Math"/>
          </w:rPr>
        </m:r>
        <m:r>
          <m:rPr>
            <m:sty m:val="p"/>
          </m:rPr>
          <m:t>−</m:t>
          <w:rPr>
            <w:rFonts w:ascii="Cambria Math" w:hAnsi="Cambria Math"/>
          </w:rPr>
        </m:r>
        <m:r>
          <m:t>α</m:t>
          <w:rPr>
            <w:rFonts w:ascii="Cambria Math" w:hAnsi="Cambria Math"/>
          </w:rPr>
        </m:r>
      </m:oMath>
      <w:r>
        <w:t xml:space="preserve">分位数，使用</w:t>
      </w:r>
      <m:oMath>
        <m:acc>
          <m:accPr>
            <m:chr m:val="̂"/>
          </m:accPr>
          <m:e>
            <m:r>
              <m:t>a</m:t>
              <w:rPr>
                <w:rFonts w:ascii="Cambria Math" w:hAnsi="Cambria Math"/>
              </w:rPr>
            </m:r>
          </m:e>
        </m:acc>
        <m:r>
          <m:rPr>
            <m:sty m:val="p"/>
          </m:rPr>
          <m:t>(</m:t>
          <w:rPr>
            <w:rFonts w:ascii="Cambria Math" w:hAnsi="Cambria Math"/>
          </w:rPr>
        </m:r>
        <m:r>
          <m:t>x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  <m:r>
          <m:rPr>
            <m:sty m:val="p"/>
          </m:rPr>
          <m:t>=</m:t>
          <w:rPr>
            <w:rFonts w:ascii="Cambria Math" w:hAnsi="Cambria Math"/>
          </w:rPr>
        </m:r>
        <m:r>
          <m:rPr>
            <m:sty m:val="b"/>
          </m:rPr>
          <m:t>1</m:t>
          <w:rPr>
            <w:rFonts w:ascii="Cambria Math" w:hAnsi="Cambria Math"/>
          </w:rPr>
        </m:r>
        <m:r>
          <m:rPr>
            <m:sty m:val="p"/>
          </m:rPr>
          <m:t>{</m:t>
          <w:rPr>
            <w:rFonts w:ascii="Cambria Math" w:hAnsi="Cambria Math"/>
          </w:rPr>
        </m:r>
        <m:r>
          <m:t>d</m:t>
          <w:rPr>
            <w:rFonts w:ascii="Cambria Math" w:hAnsi="Cambria Math"/>
          </w:rPr>
        </m:r>
        <m:r>
          <m:rPr>
            <m:sty m:val="p"/>
          </m:rPr>
          <m:t>(</m:t>
          <w:rPr>
            <w:rFonts w:ascii="Cambria Math" w:hAnsi="Cambria Math"/>
          </w:rPr>
        </m:r>
        <m:r>
          <m:t>x</m:t>
          <w:rPr>
            <w:rFonts w:ascii="Cambria Math" w:hAnsi="Cambria Math"/>
          </w:rPr>
        </m:r>
        <m:r>
          <m:rPr>
            <m:sty m:val="p"/>
          </m:rPr>
          <m:t>)</m:t>
          <w:rPr>
            <w:rFonts w:ascii="Cambria Math" w:hAnsi="Cambria Math"/>
          </w:rPr>
        </m:r>
        <m:r>
          <m:rPr>
            <m:sty m:val="p"/>
          </m:rPr>
          <m:t>&gt;</m:t>
          <w:rPr>
            <w:rFonts w:ascii="Cambria Math" w:hAnsi="Cambria Math"/>
          </w:rPr>
        </m:r>
        <m:r>
          <m:t>t</m:t>
          <w:rPr>
            <w:rFonts w:ascii="Cambria Math" w:hAnsi="Cambria Math"/>
          </w:rPr>
        </m:r>
        <m:r>
          <m:rPr>
            <m:sty m:val="p"/>
          </m:rPr>
          <m:t>}</m:t>
          <w:rPr>
            <w:rFonts w:ascii="Cambria Math" w:hAnsi="Cambria Math"/>
          </w:rPr>
        </m:r>
      </m:oMath>
      <w:r>
        <w:t xml:space="preserve">。阈值降低一般会提高检出率并增加误报；提高则反之。对具有时间依赖的数据，这个经验分位数本身不保证未来误报率等于</w:t>
      </w:r>
      <m:oMath>
        <m:r>
          <m:t>α</m:t>
          <w:rPr>
            <w:rFonts w:ascii="Cambria Math" w:hAnsi="Cambria Math"/>
          </w:rPr>
        </m:r>
      </m:oMath>
      <w:r>
        <w:t xml:space="preserve">。需要按工况和时间验证。</w:t>
      </w:r>
    </w:p>
    <w:p>
      <w:pPr>
        <w:pStyle w:val="BodyText"/>
        <w:widowControl/>
      </w:pPr>
      <w:r>
        <w:t xml:space="preserve">【教学例】1000个ID与100个OOD，某阈值下TP=80、FP=50：Recall=80%，FPR=5%，Precision≈61.5%。若实际只有1%输入是OOD，即使TPR=80%、FPR=5%，精确率也仅约13.9%。因此论文约平衡的测试比例不能直接代表低故障率现场报警质量。</w:t>
      </w:r>
    </w:p>
    <w:bookmarkEnd w:id="41"/>
    <w:bookmarkStart w:id="42" w:name="无真实ood标签时怎样评价"/>
    <w:p>
      <w:pPr>
        <w:pStyle w:val="Heading3"/>
        <w:widowControl/>
      </w:pPr>
      <w:r>
        <w:rPr>
          <w:color w:val="000000"/>
        </w:rPr>
        <w:t xml:space="preserve">4.4 无真实OOD标签时怎样评价</w:t>
      </w:r>
    </w:p>
    <w:p>
      <w:pPr>
        <w:pStyle w:val="FirstParagraph"/>
        <w:widowControl/>
      </w:pPr>
      <w:r>
        <w:t xml:space="preserve">【论文】WECC主要用分数趋势及与既往生存分析的一致性作探索性评价，没有独立真值的检出性能评估。</w:t>
      </w:r>
    </w:p>
    <w:p>
      <w:pPr>
        <w:pStyle w:val="BodyText"/>
        <w:widowControl/>
      </w:pPr>
      <w:r>
        <w:t xml:space="preserve">【建议】可用可信正常时段估计误报；专家复核报警、记录干预和后续事件；注入具有物理意义且标签明确的偏移；有输出后检查分数分层的预测误差。没有正类真值，不能直接报告真实召回率、F1或AUC-PR。人工注入的好结果也只适用于注入机制。</w:t>
      </w:r>
    </w:p>
    <w:bookmarkEnd w:id="42"/>
    <w:bookmarkEnd w:id="43"/>
    <w:bookmarkStart w:id="44" w:name="各比较方法评分信息需求和局限"/>
    <w:p>
      <w:pPr>
        <w:pStyle w:val="Heading2"/>
        <w:widowControl/>
      </w:pPr>
      <w:r>
        <w:rPr>
          <w:color w:val="000000"/>
        </w:rPr>
        <w:t xml:space="preserve">5. 各比较方法：评分、信息需求和局限</w:t>
      </w:r>
    </w:p>
    <w:p>
      <w:pPr>
        <w:pStyle w:val="FirstParagraph"/>
        <w:widowControl/>
      </w:pPr>
      <w:r>
        <w:t xml:space="preserve">以下为本文表2的实现，而不是对同名方法全部版本的说明。所有方法的正类为OOD，最终方向统一为分数大更异常。共同评价协议见§6；本文没有为每个方法提供逐数据集固定FPR下的TPR表。</w:t>
      </w:r>
    </w:p>
    <w:tbl>
      <w:tblPr>
        <w:tblStyle w:val="Table"/>
        <w:tblW w:type="pct" w:w="500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874"/>
        <w:gridCol w:w="2762"/>
        <w:gridCol w:w="2466"/>
        <w:gridCol w:w="2762"/>
      </w:tblGrid>
      <w:tr>
        <w:trPr>
          <w:cantSplit/>
          <w:tblHeader/>
        </w:trPr>
        <w:tc>
          <w:tcPr>
            <w:tcW w:type="dxa" w:w="1874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方法及分类</w:t>
            </w:r>
          </w:p>
        </w:tc>
        <w:tc>
          <w:tcPr>
            <w:tcW w:type="dxa" w:w="2762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本文评分／关键设置</w:t>
            </w:r>
          </w:p>
        </w:tc>
        <w:tc>
          <w:tcPr>
            <w:tcW w:type="dxa" w:w="2466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训练与运行信息</w:t>
            </w:r>
          </w:p>
        </w:tc>
        <w:tc>
          <w:tcPr>
            <w:tcW w:type="dxa" w:w="2762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优点；限制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MSP回归适配；预测值位置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$</w:t>
            </w:r>
            <w:r>
              <w:rPr>
                <w:color w:val="000000"/>
                <w:sz w:val="19"/>
              </w:rPr>
              <w:t xml:space="preserve">f(x)-</w:t>
            </w:r>
            <w:r>
              <w:rPr>
                <w:color w:val="000000"/>
                <w:sz w:val="19"/>
              </w:rPr>
              <w:t xml:space="preserve">y_{train}</w:t>
            </w:r>
            <w:r>
              <w:rPr>
                <w:color w:val="000000"/>
                <w:sz w:val="19"/>
              </w:rPr>
              <w:t xml:space="preserve">$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X,Y拟合NN；运行f(x)及训练均值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简单；极端但合法目标值也可高分，非原始softmax概率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ODIN回归适配；扰动输出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m:oMath>
              <m:acc>
                <m:accPr>
                  <m:chr m:val="̃"/>
                </m:accPr>
                <m:e>
                  <m:r>
                    <m:t>x</m:t>
                    <w:rPr>
                      <w:rFonts w:ascii="Cambria Math" w:hAnsi="Cambria Math"/>
                    </w:rPr>
                  </m:r>
                </m:e>
              </m:acc>
              <m:r>
                <m:rPr>
                  <m:sty m:val="p"/>
                </m:rPr>
                <m:t>=</m:t>
                <w:rPr>
                  <w:rFonts w:ascii="Cambria Math" w:hAnsi="Cambria Math"/>
                </w:rPr>
              </m:r>
              <m:r>
                <m:t>x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+</m:t>
                <w:rPr>
                  <w:rFonts w:ascii="Cambria Math" w:hAnsi="Cambria Math"/>
                </w:rPr>
              </m:r>
              <m:r>
                <m:t>0.01</m:t>
                <w:rPr>
                  <w:rFonts w:ascii="Cambria Math" w:hAnsi="Cambria Math"/>
                </w:rPr>
              </m:r>
              <m:r>
                <m:rPr>
                  <m:nor/>
                  <m:sty m:val="p"/>
                </m:rPr>
                <m:t>sign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  <m:r>
                <m:t>x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)</m:t>
                <w:rPr>
                  <w:rFonts w:ascii="Cambria Math" w:hAnsi="Cambria Math"/>
                </w:rPr>
              </m:r>
            </m:oMath>
            <w:r>
              <w:rPr>
                <w:color w:val="000000"/>
                <w:sz w:val="19"/>
              </w:rPr>
              <w:t xml:space="preserve">，$</w:t>
            </w:r>
            <w:r>
              <w:rPr>
                <w:color w:val="000000"/>
                <w:sz w:val="19"/>
              </w:rPr>
              <w:t xml:space="preserve">f(</w:t>
            </w:r>
            <w:r>
              <w:rPr>
                <w:color w:val="000000"/>
                <w:sz w:val="19"/>
              </w:rPr>
              <w:t xml:space="preserve">x)-</w:t>
            </w:r>
            <w:r>
              <w:rPr>
                <w:color w:val="000000"/>
                <w:sz w:val="19"/>
              </w:rPr>
              <w:t xml:space="preserve">y</w:t>
            </w:r>
            <w:r>
              <w:rPr>
                <w:color w:val="000000"/>
                <w:sz w:val="19"/>
              </w:rPr>
              <w:t xml:space="preserve">$</w:t>
            </w:r>
          </w:p>
        </w:tc>
        <w:tc>
          <w:tcPr>
            <w:tcW w:type="dxa" w:w="246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同上，需扰动后预测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易实现；并非原分类ODIN完整配置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Energy适配；潜在表征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m:oMath>
              <m:r>
                <m:rPr>
                  <m:sty m:val="p"/>
                </m:rPr>
                <m:t>‖</m:t>
                <w:rPr>
                  <w:rFonts w:ascii="Cambria Math" w:hAnsi="Cambria Math"/>
                </w:rPr>
              </m:r>
              <m:r>
                <m:t>h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  <m:acc>
                <m:accPr>
                  <m:chr m:val="̃"/>
                </m:accPr>
                <m:e>
                  <m:r>
                    <m:t>x</m:t>
                    <w:rPr>
                      <w:rFonts w:ascii="Cambria Math" w:hAnsi="Cambria Math"/>
                    </w:rPr>
                  </m:r>
                </m:e>
              </m:acc>
              <m:r>
                <m:rPr>
                  <m:sty m:val="p"/>
                </m:rPr>
                <m:t>)</m:t>
                <w:rPr>
                  <w:rFonts w:ascii="Cambria Math" w:hAnsi="Cambria Math"/>
                </w:rPr>
              </m:r>
              <m:sSubSup>
                <m:e>
                  <m:r>
                    <m:rPr>
                      <m:sty m:val="p"/>
                    </m:rPr>
                    <m:t>‖</m:t>
                    <w:rPr>
                      <w:rFonts w:ascii="Cambria Math" w:hAnsi="Cambria Math"/>
                    </w:rPr>
                  </m:r>
                </m:e>
                <m:sub>
                  <m:r>
                    <m:t>2</m:t>
                    <w:rPr>
                      <w:rFonts w:ascii="Cambria Math" w:hAnsi="Cambria Math"/>
                    </w:rPr>
                  </m:r>
                </m:sub>
                <m:sup>
                  <m:r>
                    <m:t>2</m:t>
                    <w:rPr>
                      <w:rFonts w:ascii="Cambria Math" w:hAnsi="Cambria Math"/>
                    </w:rPr>
                  </m:r>
                </m:sup>
              </m:sSubSup>
            </m:oMath>
          </w:p>
        </w:tc>
        <w:tc>
          <w:tcPr>
            <w:tcW w:type="dxa" w:w="246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X,Y与NN；隐藏表征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利用学习表征；不是经典分类log-sum-exp直接套用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全局Mahalanobis；距离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m:oMath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>(</m:t>
                    <w:rPr>
                      <w:rFonts w:ascii="Cambria Math" w:hAnsi="Cambria Math"/>
                    </w:rPr>
                  </m:r>
                  <m:r>
                    <m:t>x</m:t>
                    <w:rPr>
                      <w:rFonts w:ascii="Cambria Math" w:hAnsi="Cambria Math"/>
                    </w:rPr>
                  </m:r>
                  <m:r>
                    <m:rPr>
                      <m:sty m:val="p"/>
                    </m:rPr>
                    <m:t>−</m:t>
                    <w:rPr>
                      <w:rFonts w:ascii="Cambria Math" w:hAnsi="Cambria Math"/>
                    </w:rPr>
                  </m:r>
                  <m:r>
                    <m:t>μ</m:t>
                    <w:rPr>
                      <w:rFonts w:ascii="Cambria Math" w:hAnsi="Cambria Math"/>
                    </w:rPr>
                  </m:r>
                  <m:sSup>
                    <m:e>
                      <m:r>
                        <m:rPr>
                          <m:sty m:val="p"/>
                        </m:rPr>
                        <m:t>)</m:t>
                        <w:rPr>
                          <w:rFonts w:ascii="Cambria Math" w:hAnsi="Cambria Math"/>
                        </w:rPr>
                      </m:r>
                    </m:e>
                    <m:sup>
                      <m:r>
                        <m:t>T</m:t>
                        <w:rPr>
                          <w:rFonts w:ascii="Cambria Math" w:hAnsi="Cambria Math"/>
                        </w:rPr>
                      </m:r>
                    </m:sup>
                  </m:sSup>
                  <m:sSup>
                    <m:e>
                      <m:r>
                        <m:t>Σ</m:t>
                        <w:rPr>
                          <w:rFonts w:ascii="Cambria Math" w:hAnsi="Cambria Math"/>
                        </w:rPr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  <w:rPr>
                          <w:rFonts w:ascii="Cambria Math" w:hAnsi="Cambria Math"/>
                        </w:rPr>
                      </m:r>
                      <m:r>
                        <m:t>1</m:t>
                        <w:rPr>
                          <w:rFonts w:ascii="Cambria Math" w:hAnsi="Cambria Math"/>
                        </w:rPr>
                      </m:r>
                    </m:sup>
                  </m:sSup>
                  <m:r>
                    <m:rPr>
                      <m:sty m:val="p"/>
                    </m:rPr>
                    <m:t>(</m:t>
                    <w:rPr>
                      <w:rFonts w:ascii="Cambria Math" w:hAnsi="Cambria Math"/>
                    </w:rPr>
                  </m:r>
                  <m:r>
                    <m:t>x</m:t>
                    <w:rPr>
                      <w:rFonts w:ascii="Cambria Math" w:hAnsi="Cambria Math"/>
                    </w:rPr>
                  </m:r>
                  <m:r>
                    <m:rPr>
                      <m:sty m:val="p"/>
                    </m:rPr>
                    <m:t>−</m:t>
                    <w:rPr>
                      <w:rFonts w:ascii="Cambria Math" w:hAnsi="Cambria Math"/>
                    </w:rPr>
                  </m:r>
                  <m:r>
                    <m:t>μ</m:t>
                    <w:rPr>
                      <w:rFonts w:ascii="Cambria Math" w:hAnsi="Cambria Math"/>
                    </w:rPr>
                  </m:r>
                  <m:r>
                    <m:rPr>
                      <m:sty m:val="p"/>
                    </m:rPr>
                    <m:t>)</m:t>
                    <w:rPr>
                      <w:rFonts w:ascii="Cambria Math" w:hAnsi="Cambria Math"/>
                    </w:rPr>
                  </m:r>
                </m:e>
              </m:rad>
            </m:oMath>
          </w:p>
        </w:tc>
        <w:tc>
          <w:tcPr>
            <w:tcW w:type="dxa" w:w="246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训练X均值协方差；运行X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考虑相关；全局椭球假设，高维奇异时不可直接求逆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LOF；相对局部密度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标准化X，k=min(20,n−1)的局部离群因子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仅训练X与邻域；运行X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捕捉局部稀疏；高维距离与k敏感，不识别任务重要性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Isolation Forest；随机隔离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200树，子样本min(256,n)</w:t>
            </w:r>
          </w:p>
        </w:tc>
        <w:tc>
          <w:tcPr>
            <w:tcW w:type="dxa" w:w="246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仅X训练隔离树；运行树路径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无需Y，通常计算方便；无关坐标变化也可被检出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OCSVM；一类边界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RBF核γ=1/d，负决策函数；ν依benchmark cutoff并截断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仅X及支持向量模型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非线性边界；核／ν敏感，大样本开销可能增加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robust kNN density；局部稀疏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训练median/MAD标准化，k=min(20,n−1)，邻距中位数取log</w:t>
            </w:r>
          </w:p>
        </w:tc>
        <w:tc>
          <w:tcPr>
            <w:tcW w:type="dxa" w:w="246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仅训练X及尺度；运行近邻搜索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简单稳健；非直接任务感知，高维近邻退化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Conformal基线；校准预测位置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训练75%拟合／25%校准；$</w:t>
            </w:r>
            <w:r>
              <w:rPr>
                <w:color w:val="000000"/>
                <w:sz w:val="19"/>
              </w:rPr>
              <w:t xml:space="preserve">f(x)-</w:t>
            </w:r>
            <w:r>
              <w:rPr>
                <w:color w:val="000000"/>
                <w:sz w:val="19"/>
              </w:rPr>
              <w:t xml:space="preserve">(f_{cal})</w:t>
            </w:r>
            <w:r>
              <w:rPr>
                <w:color w:val="000000"/>
                <w:sz w:val="19"/>
              </w:rPr>
              <w:t xml:space="preserve">$，分位数判断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X,Y；校准预测及f(x)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提供校准步骤；此分数不等于标准残差预测区间或所有conformal OOD方法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GP；不确定性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laGP局部近似GP的后验预测方差</w:t>
            </w:r>
          </w:p>
        </w:tc>
        <w:tc>
          <w:tcPr>
            <w:tcW w:type="dxa" w:w="246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X,Y、GP参数及局部参考；运行方差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有概率模型；依赖核、超参数，输入密度和模型假设影响方差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Sensitivity；梯度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$d^{-1}</w:t>
            </w:r>
            <w:r>
              <w:rPr>
                <w:color w:val="000000"/>
                <w:sz w:val="19"/>
              </w:rPr>
              <w:t xml:space="preserve">_j</w:t>
            </w:r>
            <w:r>
              <w:rPr>
                <w:color w:val="000000"/>
                <w:sz w:val="19"/>
              </w:rPr>
              <w:t xml:space="preserve">f/</w:t>
            </w:r>
            <w:r>
              <w:rPr>
                <w:color w:val="000000"/>
                <w:sz w:val="19"/>
              </w:rPr>
              <w:t xml:space="preserve">x_j</w:t>
            </w:r>
            <w:r>
              <w:rPr>
                <w:color w:val="000000"/>
                <w:sz w:val="19"/>
              </w:rPr>
              <w:t xml:space="preserve">$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X,Y、可微NN；运行梯度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表示局部响应敏感性；敏感并不等于OOD，饱和区可漏检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DKL；表征+不确定性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在h(x)上拟合laGP并取预测方差</w:t>
            </w:r>
          </w:p>
        </w:tc>
        <w:tc>
          <w:tcPr>
            <w:tcW w:type="dxa" w:w="246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NN与GP、X,Y；运行表征和方差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学习任务表征；仍依赖表征质量和GP假设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Deep ensembles；不确定性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独立初始化模型的预测方差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X,Y及多个NN；运行多次预测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模型间分歧可解释；训练／推理增加，模型也可能一致出错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GMM；潜在密度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PCA缩减h，</w:t>
            </w:r>
            <m:oMath>
              <m:r>
                <m:rPr>
                  <m:sty m:val="p"/>
                </m:rPr>
                <m:t>−</m:t>
                <w:rPr>
                  <w:rFonts w:ascii="Cambria Math" w:hAnsi="Cambria Math"/>
                </w:rPr>
              </m:r>
              <m:r>
                <m:rPr>
                  <m:nor/>
                  <m:sty m:val="p"/>
                </m:rPr>
                <m:t>log</m:t>
                <w:rPr>
                  <w:rFonts w:ascii="Cambria Math" w:hAnsi="Cambria Math"/>
                </w:rPr>
              </m:r>
              <m:r>
                <m:t>p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  <m:acc>
                <m:accPr>
                  <m:chr m:val="̃"/>
                </m:accPr>
                <m:e>
                  <m:r>
                    <m:t>h</m:t>
                    <w:rPr>
                      <w:rFonts w:ascii="Cambria Math" w:hAnsi="Cambria Math"/>
                    </w:rPr>
                  </m:r>
                </m:e>
              </m:acc>
              <m:r>
                <m:rPr>
                  <m:sty m:val="p"/>
                </m:rPr>
                <m:t>(</m:t>
                <w:rPr>
                  <w:rFonts w:ascii="Cambria Math" w:hAnsi="Cambria Math"/>
                </w:rPr>
              </m:r>
              <m:r>
                <m:t>x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)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)</m:t>
                <w:rPr>
                  <w:rFonts w:ascii="Cambria Math" w:hAnsi="Cambria Math"/>
                </w:rPr>
              </m:r>
            </m:oMath>
          </w:p>
        </w:tc>
        <w:tc>
          <w:tcPr>
            <w:tcW w:type="dxa" w:w="246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NN、PCA、混合高斯模型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建模潜在多模态；维数和成分选择影响结果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DkNN；潜在距离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隐藏表征中K近邻欧氏距离的平均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NN与训练表征；运行表征／近邻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使用学习空间；依赖表征和K，需存储参考</w:t>
            </w:r>
          </w:p>
        </w:tc>
      </w:tr>
    </w:tbl>
    <w:p>
      <w:pPr>
        <w:pStyle w:val="BodyText"/>
        <w:widowControl/>
      </w:pPr>
      <w:r>
        <w:t xml:space="preserve">原文没有完整报告所有网络宽度、学习率、训练轮次、集成成员数、GMM成分及逐法调参预算，不能据表2补造这些参数。上述优缺点中超出原文结果的部分属于算法层面的研究判断。</w:t>
      </w:r>
    </w:p>
    <w:bookmarkEnd w:id="44"/>
    <w:bookmarkStart w:id="58" w:name="评价结果与数据集研究台账"/>
    <w:p>
      <w:pPr>
        <w:pStyle w:val="Heading2"/>
        <w:widowControl/>
      </w:pPr>
      <w:r>
        <w:rPr>
          <w:color w:val="000000"/>
        </w:rPr>
        <w:t xml:space="preserve">6. 评价结果与数据集研究台账</w:t>
      </w:r>
    </w:p>
    <w:bookmarkStart w:id="45" w:name="全部实验的结论矩阵"/>
    <w:p>
      <w:pPr>
        <w:pStyle w:val="Heading3"/>
        <w:widowControl/>
      </w:pPr>
      <w:r>
        <w:rPr>
          <w:color w:val="000000"/>
        </w:rPr>
        <w:t xml:space="preserve">6.1 全部实验的结论矩阵</w:t>
      </w:r>
    </w:p>
    <w:tbl>
      <w:tblPr>
        <w:tblStyle w:val="Table"/>
        <w:tblW w:type="pct" w:w="500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874"/>
        <w:gridCol w:w="2762"/>
        <w:gridCol w:w="2466"/>
        <w:gridCol w:w="2762"/>
      </w:tblGrid>
      <w:tr>
        <w:trPr>
          <w:cantSplit/>
          <w:tblHeader/>
        </w:trPr>
        <w:tc>
          <w:tcPr>
            <w:tcW w:type="dxa" w:w="1874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实验</w:t>
            </w:r>
          </w:p>
        </w:tc>
        <w:tc>
          <w:tcPr>
            <w:tcW w:type="dxa" w:w="2762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异常／设置</w:t>
            </w:r>
          </w:p>
        </w:tc>
        <w:tc>
          <w:tcPr>
            <w:tcW w:type="dxa" w:w="2466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原文支持的结果</w:t>
            </w:r>
          </w:p>
        </w:tc>
        <w:tc>
          <w:tcPr>
            <w:tcW w:type="dxa" w:w="2762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定位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Friedman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shift=0.05、0.25、0.5、1、2；100次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Product在各shift平均排名最佳；Manhattan持续靠前，小shift优势突出；大shift部分GP/DKL/DkNN接近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pp.13–15图2–3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61个PMLB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warp</w:t>
            </w:r>
          </w:p>
        </w:tc>
        <w:tc>
          <w:tcPr>
            <w:tcW w:type="dxa" w:w="246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OCSVM、Isolation Forest、LOF、全局Mahalanobis、robust kNN density、DkNN优于OutPro整体位置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pp.17–18图5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61个PMLB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joint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OutPro Manhattan、Euclidean等领先主比较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61个PMLB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support</w:t>
            </w:r>
          </w:p>
        </w:tc>
        <w:tc>
          <w:tcPr>
            <w:tcW w:type="dxa" w:w="246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OutPro组领先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5个微阵列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warp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Isolation Forest、robust kNN density、OCSVM领先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pp.19–21图6–7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5个微阵列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joint</w:t>
            </w:r>
          </w:p>
        </w:tc>
        <w:tc>
          <w:tcPr>
            <w:tcW w:type="dxa" w:w="246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OutPro变体居前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5个微阵列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support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robust kNN density最佳；多个OutPro变体居前，Product较弱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组件消融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统一Manhattan</w:t>
            </w:r>
          </w:p>
        </w:tc>
        <w:tc>
          <w:tcPr>
            <w:tcW w:type="dxa" w:w="246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Full整体平均1.84最佳；joint由Subspace KNN的1.47领先</w:t>
            </w:r>
          </w:p>
        </w:tc>
        <w:tc>
          <w:tcPr>
            <w:tcW w:type="dxa" w:w="276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p.22表5</w:t>
            </w:r>
          </w:p>
        </w:tc>
      </w:tr>
      <w:tr>
        <w:trPr>
          <w:cantSplit/>
        </w:trPr>
        <w:tc>
          <w:tcPr>
            <w:tcW w:type="dxa" w:w="1874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WECC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31个人群留出情景</w:t>
            </w:r>
          </w:p>
        </w:tc>
        <w:tc>
          <w:tcPr>
            <w:tcW w:type="dxa" w:w="246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平均分数与切除门槛存在趋势；无独立OOD性能真值</w:t>
            </w:r>
          </w:p>
        </w:tc>
        <w:tc>
          <w:tcPr>
            <w:tcW w:type="dxa" w:w="276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pp.23–24图9</w:t>
            </w:r>
          </w:p>
        </w:tc>
      </w:tr>
    </w:tbl>
    <w:p>
      <w:pPr>
        <w:pStyle w:val="BodyText"/>
        <w:widowControl/>
      </w:pPr>
      <w:r>
        <w:t xml:space="preserve">主比较多以箱线图、CD图展示，正文没有所有方法的精确AUC-PR数表。本报告不把视觉估计写成精确数值。统计显著性只按图中Nemenyi检验连接关系理解；</w:t>
      </w:r>
      <w:r>
        <w:t xml:space="preserve">“</w:t>
      </w:r>
      <w:r>
        <w:t xml:space="preserve">平均排名第一</w:t>
      </w:r>
      <w:r>
        <w:t xml:space="preserve">”</w:t>
      </w:r>
      <w:r>
        <w:t xml:space="preserve">不等于相对所有方法显著更优。</w:t>
      </w:r>
    </w:p>
    <w:bookmarkEnd w:id="45"/>
    <w:bookmarkStart w:id="46" w:name="数据集卡afriedman模拟"/>
    <w:p>
      <w:pPr>
        <w:pStyle w:val="Heading3"/>
        <w:widowControl/>
      </w:pPr>
      <w:r>
        <w:rPr>
          <w:color w:val="000000"/>
        </w:rPr>
        <w:t xml:space="preserve">6.2 数据集卡A：Friedman模拟</w:t>
      </w:r>
    </w:p>
    <w:tbl>
      <w:tblPr>
        <w:tblStyle w:val="Table"/>
        <w:tblW w:type="pct" w:w="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367"/>
        <w:gridCol w:w="7497"/>
      </w:tblGrid>
      <w:tr>
        <w:trPr>
          <w:cantSplit/>
          <w:tblHeader/>
        </w:trPr>
        <w:tc>
          <w:tcPr>
            <w:tcW w:type="dxa" w:w="236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要求项目</w:t>
            </w:r>
          </w:p>
        </w:tc>
        <w:tc>
          <w:tcPr>
            <w:tcW w:type="dxa" w:w="749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核对结果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输入与输出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20个独立U[0,1]输入；连续Y由§3.7公式生成；前5信号、后15噪声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数据量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每次2000行×20列输入；100个独立数据集；不是单个20万样本训练集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划分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每次随机80%／20%，即1600训练、400测试；在测试点上扰动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异常构造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boosting前10%特征；按特征经验标准差缩放；每个测试点随机方向；五档幅度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真实标签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m:oMath>
              <m:r>
                <m:t>a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=</m:t>
                <w:rPr>
                  <w:rFonts w:ascii="Cambria Math" w:hAnsi="Cambria Math"/>
                </w:rPr>
              </m:r>
              <m:r>
                <m:t>1</m:t>
                <w:rPr>
                  <w:rFonts w:ascii="Cambria Math" w:hAnsi="Cambria Math"/>
                </w:rPr>
              </m:r>
            </m:oMath>
            <w:r>
              <w:rPr>
                <w:color w:val="000000"/>
                <w:sz w:val="19"/>
              </w:rPr>
              <w:t xml:space="preserve">当且仅当任一坐标越出[0,1]；未越界的扰动点仍是ID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OOD比例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随shift及实际点变化；未固定50%；理论关系见§3.7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训练不足区域②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未单独构造</w:t>
            </w:r>
            <w:r>
              <w:rPr>
                <w:color w:val="000000"/>
                <w:sz w:val="19"/>
              </w:rPr>
              <w:t xml:space="preserve">“</w:t>
            </w:r>
            <w:r>
              <w:rPr>
                <w:color w:val="000000"/>
                <w:sz w:val="19"/>
              </w:rPr>
              <w:t xml:space="preserve">支持内但模型训练不足</w:t>
            </w:r>
            <w:r>
              <w:rPr>
                <w:color w:val="000000"/>
                <w:sz w:val="19"/>
              </w:rPr>
              <w:t xml:space="preserve">”</w:t>
            </w:r>
            <w:r>
              <w:rPr>
                <w:color w:val="000000"/>
                <w:sz w:val="19"/>
              </w:rPr>
              <w:t xml:space="preserve">的标签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本研究①②③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直接对应①中的支持外；不测试独立变量的相关结构变化③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一般异常类型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单输入向量的Point Anomaly；无上下文／集体异常实验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创建者分类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生成机制区分5信号／15噪声；实验另建OOD标签，非类别识别任务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时间特征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i.i.d.表格；采样粒度、采集期间、输入时间窗口不适用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公开／获取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可按公式和随机种子生成；作者称模拟可由代码复现，未在正文给固定数据文件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许可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生成数据未单列许可；软件GPL≥3与论文CC BY4.0需分开理解</w:t>
            </w:r>
          </w:p>
        </w:tc>
      </w:tr>
    </w:tbl>
    <w:bookmarkEnd w:id="46"/>
    <w:bookmarkStart w:id="50" w:name="数据集卡bpmlb的61个回归数据集"/>
    <w:p>
      <w:pPr>
        <w:pStyle w:val="Heading3"/>
        <w:widowControl/>
      </w:pPr>
      <w:r>
        <w:rPr>
          <w:color w:val="000000"/>
        </w:rPr>
        <w:t xml:space="preserve">6.3 数据集卡B：PMLB的61个回归数据集</w:t>
      </w:r>
    </w:p>
    <w:tbl>
      <w:tblPr>
        <w:tblStyle w:val="Table"/>
        <w:tblW w:type="pct" w:w="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367"/>
        <w:gridCol w:w="7497"/>
      </w:tblGrid>
      <w:tr>
        <w:trPr>
          <w:cantSplit/>
          <w:tblHeader/>
        </w:trPr>
        <w:tc>
          <w:tcPr>
            <w:tcW w:type="dxa" w:w="236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要求项目</w:t>
            </w:r>
          </w:p>
        </w:tc>
        <w:tc>
          <w:tcPr>
            <w:tcW w:type="dxa" w:w="749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核对结果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输入与输出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筛选至少10个特征、连续输出的任务；具体变量名、单位、目标含义随数据集变化，正文未列61项名单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数据规模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每数据集n=47–1066，d=10–124；这些上下界不能拼成一份实际最大矩阵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划分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随机80%训练／20%测试；每种模式独立生成与测试点等量的候选异常；100次重复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基础ID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原数据留出的测试点视作ID；不表示原始数据已由专家认证绝对无异常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OOD真值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作者人工构造：warp按潜在半径阈值；joint/support全标1；不是原始PMLB提供的OOD标签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比例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joint/support若与全部未改动测试点合并则约1:1；warp生成数等量不等于正标签数等量，实际比例未报告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①②③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support→①范围外；warp→低密度／尾部，与②有关但不证明模型学习不足；joint→③为主，亦涉及联合低密度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一般异常类型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本实验逐向量评分，主要Point Anomaly；未定义时间上下文或异常片段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创建者分类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PMLB按classification／regression任务、变量类型整理；不是作者三类OOD分类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时间特征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本文以静态表格向量处理；逐数据集原始采集时间、时间粒度、序列窗口均未报告；不能断言所有源数据都无时间来源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公开／获取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PMLB公开；可按数据集名使用Python fetch_data或下载仓库数据；缺61个准确名称使完全匹配实验子集尚不能确认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许可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PMLB仓库LICENSE为MIT（软件及关联文档）；具体原始数据的使用条件仍需逐数据集来源核对，不统一宣称所有数据皆MIT</w:t>
            </w:r>
          </w:p>
        </w:tc>
      </w:tr>
    </w:tbl>
    <w:p>
      <w:pPr>
        <w:pStyle w:val="BodyText"/>
        <w:widowControl/>
      </w:pPr>
      <w:r>
        <w:t xml:space="preserve">【外部核实】PMLB官方将目标列统一命名为target，采用压缩TSV；官网／metadata提供任务与变量类型。参见</w:t>
      </w:r>
      <w:hyperlink r:id="rId47">
        <w:r>
          <w:rPr>
            <w:rStyle w:val="Hyperlink"/>
          </w:rPr>
          <w:t xml:space="preserve">PMLB官网</w:t>
        </w:r>
      </w:hyperlink>
      <w:r>
        <w:t xml:space="preserve">、</w:t>
      </w:r>
      <w:hyperlink r:id="rId48">
        <w:r>
          <w:rPr>
            <w:rStyle w:val="Hyperlink"/>
          </w:rPr>
          <w:t xml:space="preserve">获取接口与仓库</w:t>
        </w:r>
      </w:hyperlink>
      <w:r>
        <w:t xml:space="preserve">、</w:t>
      </w:r>
      <w:hyperlink r:id="rId49">
        <w:r>
          <w:rPr>
            <w:rStyle w:val="Hyperlink"/>
          </w:rPr>
          <w:t xml:space="preserve">仓库许可</w:t>
        </w:r>
      </w:hyperlink>
      <w:r>
        <w:t xml:space="preserve">。本报告没有随意选61个同条件数据集来代替作者的实际名单。</w:t>
      </w:r>
    </w:p>
    <w:bookmarkEnd w:id="50"/>
    <w:bookmarkStart w:id="55" w:name="数据集卡c五个高维微阵列生存数据集"/>
    <w:p>
      <w:pPr>
        <w:pStyle w:val="Heading3"/>
        <w:widowControl/>
      </w:pPr>
      <w:r>
        <w:rPr>
          <w:color w:val="000000"/>
        </w:rPr>
        <w:t xml:space="preserve">6.4 数据集卡C：五个高维微阵列生存数据集</w:t>
      </w:r>
    </w:p>
    <w:p>
      <w:pPr>
        <w:pStyle w:val="FirstParagraph"/>
        <w:widowControl/>
      </w:pPr>
      <w:r>
        <w:t xml:space="preserve">【论文，pp.18–19表4】下面d是经过Cox-score筛选后的维数，不是原始芯片全部基因数。</w:t>
      </w:r>
    </w:p>
    <w:tbl>
      <w:tblPr>
        <w:tblStyle w:val="Table"/>
        <w:tblW w:type="pct" w:w="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973"/>
        <w:gridCol w:w="740"/>
        <w:gridCol w:w="937"/>
        <w:gridCol w:w="1973"/>
        <w:gridCol w:w="4242"/>
      </w:tblGrid>
      <w:tr>
        <w:trPr>
          <w:cantSplit/>
          <w:tblHeader/>
        </w:trPr>
        <w:tc>
          <w:tcPr>
            <w:tcW w:type="dxa" w:w="1973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数据集</w:t>
            </w:r>
          </w:p>
        </w:tc>
        <w:tc>
          <w:tcPr>
            <w:tcW w:type="dxa" w:w="740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right"/>
            </w:pPr>
            <w:r>
              <w:rPr>
                <w:b/>
                <w:color w:val="000000"/>
                <w:sz w:val="19"/>
              </w:rPr>
              <w:t xml:space="preserve">n</w:t>
            </w:r>
          </w:p>
        </w:tc>
        <w:tc>
          <w:tcPr>
            <w:tcW w:type="dxa" w:w="93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right"/>
            </w:pPr>
            <w:r>
              <w:rPr>
                <w:b/>
                <w:color w:val="000000"/>
                <w:sz w:val="19"/>
              </w:rPr>
              <w:t xml:space="preserve">筛选后d</w:t>
            </w:r>
          </w:p>
        </w:tc>
        <w:tc>
          <w:tcPr>
            <w:tcW w:type="dxa" w:w="1973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right"/>
            </w:pPr>
            <w:r>
              <w:rPr>
                <w:b/>
                <w:color w:val="000000"/>
                <w:sz w:val="19"/>
              </w:rPr>
              <w:t xml:space="preserve">输入数值单元n×d（本报告计算）</w:t>
            </w:r>
          </w:p>
        </w:tc>
        <w:tc>
          <w:tcPr>
            <w:tcW w:type="dxa" w:w="4242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原始研究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AML</w:t>
            </w:r>
          </w:p>
        </w:tc>
        <w:tc>
          <w:tcPr>
            <w:tcW w:type="dxa" w:w="74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116</w:t>
            </w:r>
          </w:p>
        </w:tc>
        <w:tc>
          <w:tcPr>
            <w:tcW w:type="dxa" w:w="93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629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72,964</w:t>
            </w:r>
          </w:p>
        </w:tc>
        <w:tc>
          <w:tcPr>
            <w:tcW w:type="dxa" w:w="424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Bullinger等，NEJM，2004；文献70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Breast Cancer</w:t>
            </w:r>
          </w:p>
        </w:tc>
        <w:tc>
          <w:tcPr>
            <w:tcW w:type="dxa" w:w="74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78</w:t>
            </w:r>
          </w:p>
        </w:tc>
        <w:tc>
          <w:tcPr>
            <w:tcW w:type="dxa" w:w="93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475</w:t>
            </w:r>
          </w:p>
        </w:tc>
        <w:tc>
          <w:tcPr>
            <w:tcW w:type="dxa" w:w="1973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37,050</w:t>
            </w:r>
          </w:p>
        </w:tc>
        <w:tc>
          <w:tcPr>
            <w:tcW w:type="dxa" w:w="424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van’t Veer等，Nature，2002；文献68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DLBCL</w:t>
            </w:r>
          </w:p>
        </w:tc>
        <w:tc>
          <w:tcPr>
            <w:tcW w:type="dxa" w:w="74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240</w:t>
            </w:r>
          </w:p>
        </w:tc>
        <w:tc>
          <w:tcPr>
            <w:tcW w:type="dxa" w:w="93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740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177,600</w:t>
            </w:r>
          </w:p>
        </w:tc>
        <w:tc>
          <w:tcPr>
            <w:tcW w:type="dxa" w:w="424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Rosenwald等，NEJM，2002；文献67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Lung Cancer</w:t>
            </w:r>
          </w:p>
        </w:tc>
        <w:tc>
          <w:tcPr>
            <w:tcW w:type="dxa" w:w="74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86</w:t>
            </w:r>
          </w:p>
        </w:tc>
        <w:tc>
          <w:tcPr>
            <w:tcW w:type="dxa" w:w="93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713</w:t>
            </w:r>
          </w:p>
        </w:tc>
        <w:tc>
          <w:tcPr>
            <w:tcW w:type="dxa" w:w="1973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61,318</w:t>
            </w:r>
          </w:p>
        </w:tc>
        <w:tc>
          <w:tcPr>
            <w:tcW w:type="dxa" w:w="4242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Beer等，Nature Medicine，2002；文献69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MCL</w:t>
            </w:r>
          </w:p>
        </w:tc>
        <w:tc>
          <w:tcPr>
            <w:tcW w:type="dxa" w:w="74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92</w:t>
            </w:r>
          </w:p>
        </w:tc>
        <w:tc>
          <w:tcPr>
            <w:tcW w:type="dxa" w:w="93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881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center"/>
            </w:pPr>
            <w:r>
              <w:rPr>
                <w:color w:val="000000"/>
                <w:sz w:val="19"/>
              </w:rPr>
              <w:t xml:space="preserve">81,052</w:t>
            </w:r>
          </w:p>
        </w:tc>
        <w:tc>
          <w:tcPr>
            <w:tcW w:type="dxa" w:w="4242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Rosenwald等，Cancer Cell，2003；文献71</w:t>
            </w:r>
          </w:p>
        </w:tc>
      </w:tr>
    </w:tbl>
    <w:p>
      <w:pPr>
        <w:pStyle w:val="BodyText"/>
        <w:widowControl/>
      </w:pPr>
      <w:r>
        <w:t xml:space="preserve">五项合计612病例行，仅为台账汇总，不是把不同癌种合并训练。各数据集输入为基因表达；原任务输出为生存时间及事件／删失信息。本文通过RSF的OOB mortality预测构造连续伪响应，便于与回归基线比较。伪响应不是死亡二分类标签。</w:t>
      </w:r>
    </w:p>
    <w:tbl>
      <w:tblPr>
        <w:tblStyle w:val="Table"/>
        <w:tblW w:type="pct" w:w="500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367"/>
        <w:gridCol w:w="7497"/>
      </w:tblGrid>
      <w:tr>
        <w:trPr>
          <w:cantSplit/>
          <w:tblHeader/>
        </w:trPr>
        <w:tc>
          <w:tcPr>
            <w:tcW w:type="dxa" w:w="236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共同项目</w:t>
            </w:r>
          </w:p>
        </w:tc>
        <w:tc>
          <w:tcPr>
            <w:tcW w:type="dxa" w:w="749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核对结果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分割与重复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每数据集随机80%／20%；三种Copula模式；候选异常与测试点等量；100次重复；整数取整和具体索引未报告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变量选择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先Cox-score过滤；再boosting前10%作为扰动对象；OutPro另做VarPro筛选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ID/OOD标签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来自实验生成器，与生存结局标签不同；规则同PMLB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比例／配置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joint/support约平衡混合；warp正类率待确认；训练为原始ID而非注入OOD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时间特征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患者级表达向量，未描述多时点表达序列输入；随访时间属于结果；采样频率、采集期间、输入窗口未报告／不适用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创建者分类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原研究有疾病／预后或分子分组目的；本文未逐项给出其完整分组规则，不能当作ID/OOD真值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异常类别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与PMLB相同的①／低密度相关②／③；按本文评分单位主要Point Anomaly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高维条件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原始全空间协方差奇异，故全局Mahalanobis基线省略；子空间协方差也仍需验证可逆性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泄漏风险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正文叙述先RSF伪响应、Cox过滤后描述分割；不能确认每次都仅在训练折拟合。OOB不能自动替代独立测试集隔离，需代码确认，不定性为已证实泄漏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精确复现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处理后的矩阵、基因ID、筛选门槛、样本对齐、随机种子和流水线版本未完整提供</w:t>
            </w:r>
          </w:p>
        </w:tc>
      </w:tr>
    </w:tbl>
    <w:p>
      <w:pPr>
        <w:pStyle w:val="BodyText"/>
        <w:widowControl/>
      </w:pPr>
      <w:r>
        <w:rPr>
          <w:bCs/>
          <w:b/>
        </w:rPr>
        <w:t xml:space="preserve">公开性、获取与许可逐项台账。</w:t>
      </w:r>
      <w:r>
        <w:t xml:space="preserve"> </w:t>
      </w:r>
      <w:r>
        <w:t xml:space="preserve">以下是原始研究／相关数据入口，不保证直接下载即为论文表4处理后的矩阵。</w:t>
      </w:r>
    </w:p>
    <w:tbl>
      <w:tblPr>
        <w:tblStyle w:val="Table"/>
        <w:tblW w:type="pct" w:w="500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170"/>
        <w:gridCol w:w="3946"/>
        <w:gridCol w:w="3749"/>
      </w:tblGrid>
      <w:tr>
        <w:trPr>
          <w:cantSplit/>
          <w:tblHeader/>
        </w:trPr>
        <w:tc>
          <w:tcPr>
            <w:tcW w:type="dxa" w:w="2170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数据集</w:t>
            </w:r>
          </w:p>
        </w:tc>
        <w:tc>
          <w:tcPr>
            <w:tcW w:type="dxa" w:w="3946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可核实获取入口</w:t>
            </w:r>
          </w:p>
        </w:tc>
        <w:tc>
          <w:tcPr>
            <w:tcW w:type="dxa" w:w="3749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许可与匹配状态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AML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hyperlink r:id="rId51">
              <w:r>
                <w:rPr>
                  <w:rStyle w:val="Hyperlink"/>
                </w:rPr>
                <w:t xml:space="preserve">GEO GSE425</w:t>
              </w:r>
            </w:hyperlink>
            <w:r>
              <w:rPr>
                <w:color w:val="000000"/>
                <w:sz w:val="19"/>
              </w:rPr>
              <w:t xml:space="preserve">，页面可取得系列／样本数据</w:t>
            </w:r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原始研究相关公开数据；本论文116×629处理版未定位；数据专属许可未确认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Breast Cancer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hyperlink r:id="rId52">
              <w:r>
                <w:rPr>
                  <w:rStyle w:val="Hyperlink"/>
                </w:rPr>
                <w:t xml:space="preserve">Bioconductor seventyGeneData手册</w:t>
              </w:r>
            </w:hyperlink>
            <w:r>
              <w:rPr>
                <w:color w:val="000000"/>
                <w:sz w:val="19"/>
              </w:rPr>
              <w:t xml:space="preserve">，vantVeer对象</w:t>
            </w:r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手册标Artistic-2.0；这是相关数据包许可，不等于确认本文78×475处理版。包中原始样本规模更大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DLBCL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hyperlink r:id="rId53">
              <w:r>
                <w:rPr>
                  <w:rStyle w:val="Hyperlink"/>
                </w:rPr>
                <w:t xml:space="preserve">NCI LLMPP原研究页面</w:t>
              </w:r>
            </w:hyperlink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可追溯原研究数据；处理版及单独数据使用条件未确认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Lung Cancer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原文参考69：Beer等(2002)，Gene-expression profiles predict survival of patients with lung adenocarcinoma</w:t>
            </w:r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本轮未核实可直接获取本文86×713版本的入口；不能用其他肺癌队列代替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MCL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hyperlink r:id="rId54">
              <w:r>
                <w:rPr>
                  <w:rStyle w:val="Hyperlink"/>
                </w:rPr>
                <w:t xml:space="preserve">NCI LLMPP MCL页面</w:t>
              </w:r>
            </w:hyperlink>
            <w:r>
              <w:rPr>
                <w:color w:val="000000"/>
                <w:sz w:val="19"/>
              </w:rPr>
              <w:t xml:space="preserve">，包含患者生存与表达数据链接</w:t>
            </w:r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原研究公开入口；处理版92×881及明确数据许可未确认</w:t>
            </w:r>
          </w:p>
        </w:tc>
      </w:tr>
    </w:tbl>
    <w:bookmarkEnd w:id="55"/>
    <w:bookmarkStart w:id="56" w:name="数据集卡dwecc食管腺癌"/>
    <w:p>
      <w:pPr>
        <w:pStyle w:val="Heading3"/>
        <w:widowControl/>
      </w:pPr>
      <w:r>
        <w:rPr>
          <w:color w:val="000000"/>
        </w:rPr>
        <w:t xml:space="preserve">6.5 数据集卡D：WECC食管腺癌</w:t>
      </w:r>
    </w:p>
    <w:tbl>
      <w:tblPr>
        <w:tblStyle w:val="Table"/>
        <w:tblW w:type="pct" w:w="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367"/>
        <w:gridCol w:w="7497"/>
      </w:tblGrid>
      <w:tr>
        <w:trPr>
          <w:cantSplit/>
          <w:tblHeader/>
        </w:trPr>
        <w:tc>
          <w:tcPr>
            <w:tcW w:type="dxa" w:w="236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要求项目</w:t>
            </w:r>
          </w:p>
        </w:tc>
        <w:tc>
          <w:tcPr>
            <w:tcW w:type="dxa" w:w="749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核对结果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样本与规模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6142名腺癌病例，35个变量；约214,970个输入字段单元，仅为n×d，不表示全为连续非缺失数值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输入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pTNM分期、切除淋巴结数、阳性结节数、组织学分级、肿瘤位置和长度、残余癌状态、人口学等；35项完整数据字典未列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输出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全因死亡右删失生存结局；RSF产生五年生存预测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分割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31个门槛0–30场景；指定pT3–4且节点阳性且切除数≥门槛为测试，其余训练；不是80/20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数量／比例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每场景训练测试人数、各组OOD比例未报告；不固定；未给独立OOD标签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真值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临床变量和结局不等于学习内／学习外真值；群体留出用于相对评分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创建者分类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pTNM病理分类；本研究再按阳性结节1–2／3–6／≥7及切除门槛分组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①②③分类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群体条件留出可导致联合支持不足／组合差异，接近②③；是否逐点越出输入范围不能确认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一般异常类型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患者级评分，群体均值分析；并非Collective Anomaly检测算法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时间特征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临床表格输入和生存随访；输入采样间隔、采集期间、多时刻窗口未报告，未使用传感器滑窗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公开／获取／许可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原文p.26明确不公开；无公开下载；使用需联系持有方并确认授权条件，正文未给具体许可</w:t>
            </w:r>
          </w:p>
        </w:tc>
      </w:tr>
    </w:tbl>
    <w:bookmarkEnd w:id="56"/>
    <w:bookmarkStart w:id="57" w:name="三类学习外与三类一般异常的映射原则"/>
    <w:p>
      <w:pPr>
        <w:pStyle w:val="Heading3"/>
        <w:widowControl/>
      </w:pPr>
      <w:r>
        <w:rPr>
          <w:color w:val="000000"/>
        </w:rPr>
        <w:t xml:space="preserve">6.6 三类学习外与三类一般异常的映射原则</w:t>
      </w:r>
    </w:p>
    <w:p>
      <w:pPr>
        <w:pStyle w:val="FirstParagraph"/>
        <w:widowControl/>
      </w:pPr>
      <w:r>
        <w:t xml:space="preserve">①与②③并非互斥：联合分布外可以发生在单变量范围内；联合低密度也可能是变量组合异常。另一方面，</w:t>
      </w:r>
      <w:r>
        <w:t xml:space="preserve">“</w:t>
      </w:r>
      <w:r>
        <w:t xml:space="preserve">低密度</w:t>
      </w:r>
      <w:r>
        <w:t xml:space="preserve">”</w:t>
      </w:r>
      <w:r>
        <w:t xml:space="preserve">并不能证明AI学得不充分，需要目标模型误差或覆盖证据。</w:t>
      </w:r>
    </w:p>
    <w:p>
      <w:pPr>
        <w:pStyle w:val="BodyText"/>
        <w:widowControl/>
      </w:pPr>
      <w:r>
        <w:t xml:space="preserve">Point Anomaly可以是一个</w:t>
      </w:r>
      <w:r>
        <w:rPr>
          <w:bCs/>
          <w:b/>
        </w:rPr>
        <w:t xml:space="preserve">多变量向量</w:t>
      </w:r>
      <w:r>
        <w:t xml:space="preserve">的异常，不等于某个单变量数值越界。Contextual Anomaly必须说明季节、工况或时间上下文，Collective Anomaly必须说明单点可能正常但一段序列／集合异常。本文没有分别构造和验证这后二者。</w:t>
      </w:r>
    </w:p>
    <w:bookmarkEnd w:id="57"/>
    <w:bookmarkEnd w:id="58"/>
    <w:bookmarkStart w:id="64" w:name="优缺点应用限制与社会基础设施适用性"/>
    <w:p>
      <w:pPr>
        <w:pStyle w:val="Heading2"/>
        <w:widowControl/>
      </w:pPr>
      <w:r>
        <w:rPr>
          <w:color w:val="000000"/>
        </w:rPr>
        <w:t xml:space="preserve">7. 优缺点、应用限制与社会基础设施适用性</w:t>
      </w:r>
    </w:p>
    <w:bookmarkStart w:id="59" w:name="优点与缺点"/>
    <w:p>
      <w:pPr>
        <w:pStyle w:val="Heading3"/>
        <w:widowControl/>
      </w:pPr>
      <w:r>
        <w:rPr>
          <w:color w:val="000000"/>
        </w:rPr>
        <w:t xml:space="preserve">7.1 优点与缺点</w:t>
      </w:r>
    </w:p>
    <w:tbl>
      <w:tblPr>
        <w:tblStyle w:val="Table"/>
        <w:tblW w:type="pct" w:w="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367"/>
        <w:gridCol w:w="7497"/>
      </w:tblGrid>
      <w:tr>
        <w:trPr>
          <w:cantSplit/>
          <w:tblHeader/>
        </w:trPr>
        <w:tc>
          <w:tcPr>
            <w:tcW w:type="dxa" w:w="236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优点</w:t>
            </w:r>
          </w:p>
        </w:tc>
        <w:tc>
          <w:tcPr>
            <w:tcW w:type="dxa" w:w="749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对应限制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以预测任务决定重要变量，减弱无关维度稀释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森林或VarPro漏选重要变量时会漏检；安全关键但训练期无预测贡献的变量可能被忽略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规则邻域和距离分离，局部参考有解释依据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规则结构和训练参考需保存；</w:t>
            </w:r>
            <w:r>
              <w:rPr>
                <w:color w:val="000000"/>
                <w:sz w:val="19"/>
              </w:rPr>
              <w:t xml:space="preserve">“</w:t>
            </w:r>
            <w:r>
              <w:rPr>
                <w:color w:val="000000"/>
                <w:sz w:val="19"/>
              </w:rPr>
              <w:t xml:space="preserve">相关参考</w:t>
            </w:r>
            <w:r>
              <w:rPr>
                <w:color w:val="000000"/>
                <w:sz w:val="19"/>
              </w:rPr>
              <w:t xml:space="preserve">”</w:t>
            </w:r>
            <w:r>
              <w:rPr>
                <w:color w:val="000000"/>
                <w:sz w:val="19"/>
              </w:rPr>
              <w:t xml:space="preserve">不意味着因果相似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在线只需当前输入，适合输出延迟获得的场景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无法识别输入不变的纯概念漂移；不能直接评价当前预测是否错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回归与生存模型可使用同一森林思路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并不是任意黑盒模型直接插件；与其他目标AI之间的任务一致性需验证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joint合成异常上有多组证据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生成人工、集中于boosting重要变量；真实故障与无关变量偏移未充分验证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多种距离可选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无统一最佳距离；Product高维较弱，Mahalanobis需协方差处理</w:t>
            </w:r>
          </w:p>
        </w:tc>
      </w:tr>
    </w:tbl>
    <w:bookmarkEnd w:id="59"/>
    <w:bookmarkStart w:id="60" w:name="应用限制逐项回答"/>
    <w:p>
      <w:pPr>
        <w:pStyle w:val="Heading3"/>
        <w:widowControl/>
      </w:pPr>
      <w:r>
        <w:rPr>
          <w:color w:val="000000"/>
        </w:rPr>
        <w:t xml:space="preserve">7.2 应用限制逐项回答</w:t>
      </w:r>
    </w:p>
    <w:tbl>
      <w:tblPr>
        <w:tblStyle w:val="Table"/>
        <w:tblW w:type="pct" w:w="500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367"/>
        <w:gridCol w:w="7497"/>
      </w:tblGrid>
      <w:tr>
        <w:trPr>
          <w:cantSplit/>
          <w:tblHeader/>
        </w:trPr>
        <w:tc>
          <w:tcPr>
            <w:tcW w:type="dxa" w:w="236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项目</w:t>
            </w:r>
          </w:p>
        </w:tc>
        <w:tc>
          <w:tcPr>
            <w:tcW w:type="dxa" w:w="749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判断及依据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可适用AI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直接以监督随机森林／随机生存森林为基础；分类在框架上可涵盖，但本文实证重点为回归与生存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其他AI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可训练同目标的辅助森林作为检测器，但此时model-aware针对辅助森林，不自动等于目标NN／其他模型；需要误差关联验证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所需训练量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论文未给最低量公式；PMLB最小47个总样本不证明任意47个样本都足够；关键在工况与关系覆盖、有效样本量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数据特征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固定列的结构化变量最直接；离散编码、缺失、新类别、常数列和单位变化需明确预处理，Copula连续假设不能无条件应用类别变量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计算量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作者报告所测PMLB与微阵列运行时间最大仍远低于30秒，但未充分给出硬件、训练／评分分项、批量或单点口径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粗略复杂度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【推导】B棵树、深度L、n训练点、q选定坐标；逐条件实现单点频率可能O(nqBL)，排序O(n log n)，加权距离O(Kq)；缓存可降低，非作者实测复杂度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Mahalanobis额外量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【推导】协方差构造／分解可离线；直接分解约O(q³)，逐对二次型约O(q²)，具体依实现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实时性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未报告每点P95/P99延迟、吞吐、内存峰值或硬实时最坏界；不能以</w:t>
            </w:r>
            <w:r>
              <w:rPr>
                <w:color w:val="000000"/>
                <w:sz w:val="19"/>
              </w:rPr>
              <w:t xml:space="preserve">“</w:t>
            </w:r>
            <w:r>
              <w:rPr>
                <w:color w:val="000000"/>
                <w:sz w:val="19"/>
              </w:rPr>
              <w:t xml:space="preserve">&lt;30秒</w:t>
            </w:r>
            <w:r>
              <w:rPr>
                <w:color w:val="000000"/>
                <w:sz w:val="19"/>
              </w:rPr>
              <w:t xml:space="preserve">”</w:t>
            </w:r>
            <w:r>
              <w:rPr>
                <w:color w:val="000000"/>
                <w:sz w:val="19"/>
              </w:rPr>
              <w:t xml:space="preserve">证明适合秒／毫秒控制周期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是否只用输入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在线新样本仅X即可；离线需要Y、规则、优先度、训练参考和标准化参数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内部／输出需求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需要检测森林内部结构，不需新样本真实Y或目标预测值；黑盒目标不提供规则时要另外建森林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训练更新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模型、变量集或工况变化后分数尺度可能改变，阈值需重新校准；论文未给在线更新机制</w:t>
            </w:r>
          </w:p>
        </w:tc>
      </w:tr>
    </w:tbl>
    <w:bookmarkEnd w:id="60"/>
    <w:bookmarkStart w:id="61" w:name="末端压力估计模型的具体对应"/>
    <w:p>
      <w:pPr>
        <w:pStyle w:val="Heading3"/>
        <w:widowControl/>
      </w:pPr>
      <w:r>
        <w:rPr>
          <w:color w:val="000000"/>
        </w:rPr>
        <w:t xml:space="preserve">7.3 末端压力估计模型的具体对应</w:t>
      </w:r>
    </w:p>
    <w:p>
      <w:pPr>
        <w:pStyle w:val="FirstParagraph"/>
        <w:widowControl/>
      </w:pPr>
      <w:r>
        <w:t xml:space="preserve">【建议；非公司实际数据描述】假设输入为上游压力、流量、阀门开度、泵状态，输出为末端压力。先用历史输入与真实末端压力训练辅助森林并做VarPro，再用OutPro评估新工况是否有充分训练支持。</w:t>
      </w:r>
    </w:p>
    <w:tbl>
      <w:tblPr>
        <w:tblStyle w:val="Table"/>
        <w:tblW w:type="pct" w:w="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170"/>
        <w:gridCol w:w="3946"/>
        <w:gridCol w:w="3749"/>
      </w:tblGrid>
      <w:tr>
        <w:trPr>
          <w:cantSplit/>
          <w:tblHeader/>
        </w:trPr>
        <w:tc>
          <w:tcPr>
            <w:tcW w:type="dxa" w:w="2170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情景</w:t>
            </w:r>
          </w:p>
        </w:tc>
        <w:tc>
          <w:tcPr>
            <w:tcW w:type="dxa" w:w="3946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可观测输入变化</w:t>
            </w:r>
          </w:p>
        </w:tc>
        <w:tc>
          <w:tcPr>
            <w:tcW w:type="dxa" w:w="3749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对OutPro的预期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流量超过历史工况范围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①范围外</w:t>
            </w:r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若流量在信号集且尺度处理合适，可能高分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上游压力与流量各在范围内，但</w:t>
            </w:r>
            <w:r>
              <w:rPr>
                <w:color w:val="000000"/>
                <w:sz w:val="19"/>
              </w:rPr>
              <w:t xml:space="preserve">“</w:t>
            </w:r>
            <w:r>
              <w:rPr>
                <w:color w:val="000000"/>
                <w:sz w:val="19"/>
              </w:rPr>
              <w:t xml:space="preserve">高流量+低上游压力</w:t>
            </w:r>
            <w:r>
              <w:rPr>
                <w:color w:val="000000"/>
                <w:sz w:val="19"/>
              </w:rPr>
              <w:t xml:space="preserve">”</w:t>
            </w:r>
            <w:r>
              <w:rPr>
                <w:color w:val="000000"/>
                <w:sz w:val="19"/>
              </w:rPr>
              <w:t xml:space="preserve">历史很少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③组合／联合低密度</w:t>
            </w:r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与本篇joint主题最契合；须以现场数据验证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训练期少见但物理正常的泵切换过程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②覆盖不足或③动态关系</w:t>
            </w:r>
          </w:p>
        </w:tc>
        <w:tc>
          <w:tcPr>
            <w:tcW w:type="dxa" w:w="3749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可报警但不代表设备故障；需要区分模型不支持与物理异常</w:t>
            </w:r>
          </w:p>
        </w:tc>
      </w:tr>
      <w:tr>
        <w:trPr>
          <w:cantSplit/>
        </w:trPr>
        <w:tc>
          <w:tcPr>
            <w:tcW w:type="dxa" w:w="2170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管道内部参数变化，输入联合分布基本不变，末端压力关系改变</w:t>
            </w:r>
          </w:p>
        </w:tc>
        <w:tc>
          <w:tcPr>
            <w:tcW w:type="dxa" w:w="3946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纯条件机制变化</w:t>
            </w:r>
          </w:p>
        </w:tc>
        <w:tc>
          <w:tcPr>
            <w:tcW w:type="dxa" w:w="3749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单靠OutPro无法检测；需输出残差或其他信息</w:t>
            </w:r>
          </w:p>
        </w:tc>
      </w:tr>
    </w:tbl>
    <w:p>
      <w:pPr>
        <w:pStyle w:val="BodyText"/>
        <w:widowControl/>
      </w:pPr>
      <w:r>
        <w:t xml:space="preserve">公司模型的实际输入、采样周期、训练窗、输出延迟及山原先生论文尚未提供。因此不能断言其属于静态回归还是时序回归，也不编造对应文献。</w:t>
      </w:r>
    </w:p>
    <w:bookmarkEnd w:id="61"/>
    <w:bookmarkStart w:id="62" w:name="多变量时间序列的必要条件"/>
    <w:p>
      <w:pPr>
        <w:pStyle w:val="Heading3"/>
        <w:widowControl/>
      </w:pPr>
      <w:r>
        <w:rPr>
          <w:color w:val="000000"/>
        </w:rPr>
        <w:t xml:space="preserve">7.4 多变量时间序列的必要条件</w:t>
      </w:r>
    </w:p>
    <w:p>
      <w:pPr>
        <w:pStyle w:val="FirstParagraph"/>
        <w:widowControl/>
      </w:pPr>
      <w:r>
        <w:t xml:space="preserve">若模型每次输入仅为</w:t>
      </w:r>
      <m:oMath>
        <m:sSub>
          <m:e>
            <m:r>
              <m:t>u</m:t>
              <w:rPr>
                <w:rFonts w:ascii="Cambria Math" w:hAnsi="Cambria Math"/>
              </w:rPr>
            </m:r>
          </m:e>
          <m:sub>
            <m:r>
              <m:t>t</m:t>
              <w:rPr>
                <w:rFonts w:ascii="Cambria Math" w:hAnsi="Cambria Math"/>
              </w:rPr>
            </m:r>
          </m:sub>
        </m:sSub>
        <m:r>
          <m:rPr>
            <m:sty m:val="p"/>
          </m:rPr>
          <m:t>∈</m:t>
          <w:rPr>
            <w:rFonts w:ascii="Cambria Math" w:hAnsi="Cambria Math"/>
          </w:rPr>
        </m:r>
        <m:sSup>
          <m:e>
            <m:r>
              <m:rPr>
                <m:sty m:val="p"/>
                <m:scr m:val="double-struck"/>
              </m:rPr>
              <m:t>R</m:t>
              <w:rPr>
                <w:rFonts w:ascii="Cambria Math" w:hAnsi="Cambria Math"/>
              </w:rPr>
            </m:r>
          </m:e>
          <m:sup>
            <m:r>
              <m:t>m</m:t>
              <w:rPr>
                <w:rFonts w:ascii="Cambria Math" w:hAnsi="Cambria Math"/>
              </w:rPr>
            </m:r>
          </m:sup>
        </m:sSup>
      </m:oMath>
      <w:r>
        <w:t xml:space="preserve">，OutPro可把它当成一行，捕捉当时的跨变量组合，无法凭这一行区分相同数值的不同历史路径。</w:t>
      </w:r>
    </w:p>
    <w:p>
      <w:pPr>
        <w:pStyle w:val="BodyText"/>
        <w:widowControl/>
      </w:pPr>
      <w:r>
        <w:t xml:space="preserve">若使用长度L窗口，可构造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x</m:t>
                <w:rPr>
                  <w:rFonts w:ascii="Cambria Math" w:hAnsi="Cambria Math"/>
                </w:rPr>
              </m:r>
            </m:e>
            <m:sub>
              <m:r>
                <m:t>t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=</m:t>
            <w:rPr>
              <w:rFonts w:ascii="Cambria Math" w:hAnsi="Cambria Math"/>
            </w:rPr>
          </m:r>
          <m:r>
            <m:rPr>
              <m:nor/>
              <m:sty m:val="p"/>
            </m:rPr>
            <m:t>vec</m:t>
            <w:rPr>
              <w:rFonts w:ascii="Cambria Math" w:hAnsi="Cambria Math"/>
            </w:rPr>
          </m:r>
          <m:r>
            <m:rPr>
              <m:sty m:val="p"/>
            </m:rPr>
            <m:t>(</m:t>
            <w:rPr>
              <w:rFonts w:ascii="Cambria Math" w:hAnsi="Cambria Math"/>
            </w:rPr>
          </m:r>
          <m:sSub>
            <m:e>
              <m:r>
                <m:t>u</m:t>
                <w:rPr>
                  <w:rFonts w:ascii="Cambria Math" w:hAnsi="Cambria Math"/>
                </w:rPr>
              </m:r>
            </m:e>
            <m:sub>
              <m:r>
                <m:t>t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−</m:t>
                <w:rPr>
                  <w:rFonts w:ascii="Cambria Math" w:hAnsi="Cambria Math"/>
                </w:rPr>
              </m:r>
              <m:r>
                <m:t>L</m:t>
                <w:rPr>
                  <w:rFonts w:ascii="Cambria Math" w:hAnsi="Cambria Math"/>
                </w:rPr>
              </m:r>
              <m:r>
                <m:rPr>
                  <m:sty m:val="p"/>
                </m:rPr>
                <m:t>+</m:t>
                <w:rPr>
                  <w:rFonts w:ascii="Cambria Math" w:hAnsi="Cambria Math"/>
                </w:rPr>
              </m:r>
              <m:r>
                <m:t>1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,</m:t>
            <w:rPr>
              <w:rFonts w:ascii="Cambria Math" w:hAnsi="Cambria Math"/>
            </w:rPr>
          </m:r>
          <m:r>
            <m:rPr>
              <m:sty m:val="p"/>
            </m:rPr>
            <m:t>…</m:t>
            <w:rPr>
              <w:rFonts w:ascii="Cambria Math" w:hAnsi="Cambria Math"/>
            </w:rPr>
          </m:r>
          <m:r>
            <m:rPr>
              <m:sty m:val="p"/>
            </m:rPr>
            <m:t>,</m:t>
            <w:rPr>
              <w:rFonts w:ascii="Cambria Math" w:hAnsi="Cambria Math"/>
            </w:rPr>
          </m:r>
          <m:sSub>
            <m:e>
              <m:r>
                <m:t>u</m:t>
                <w:rPr>
                  <w:rFonts w:ascii="Cambria Math" w:hAnsi="Cambria Math"/>
                </w:rPr>
              </m:r>
            </m:e>
            <m:sub>
              <m:r>
                <m:t>t</m:t>
                <w:rPr>
                  <w:rFonts w:ascii="Cambria Math" w:hAnsi="Cambria Math"/>
                </w:rPr>
              </m:r>
            </m:sub>
          </m:sSub>
          <m:r>
            <m:rPr>
              <m:sty m:val="p"/>
            </m:rPr>
            <m:t>)</m:t>
            <w:rPr>
              <w:rFonts w:ascii="Cambria Math" w:hAnsi="Cambria Math"/>
            </w:rPr>
          </m:r>
          <m:r>
            <m:rPr>
              <m:sty m:val="p"/>
            </m:rPr>
            <m:t>∈</m:t>
            <w:rPr>
              <w:rFonts w:ascii="Cambria Math" w:hAnsi="Cambria Math"/>
            </w:rPr>
          </m:r>
          <m:sSup>
            <m:e>
              <m:r>
                <m:rPr>
                  <m:sty m:val="p"/>
                  <m:scr m:val="double-struck"/>
                </m:rPr>
                <m:t>R</m:t>
                <w:rPr>
                  <w:rFonts w:ascii="Cambria Math" w:hAnsi="Cambria Math"/>
                </w:rPr>
              </m:r>
            </m:e>
            <m:sup>
              <m:r>
                <m:t>m</m:t>
                <w:rPr>
                  <w:rFonts w:ascii="Cambria Math" w:hAnsi="Cambria Math"/>
                </w:rPr>
              </m:r>
              <m:r>
                <m:t>L</m:t>
                <w:rPr>
                  <w:rFonts w:ascii="Cambria Math" w:hAnsi="Cambria Math"/>
                </w:rPr>
              </m:r>
            </m:sup>
          </m:sSup>
        </m:oMath>
      </m:oMathPara>
    </w:p>
    <w:p>
      <w:pPr>
        <w:pStyle w:val="FirstParagraph"/>
        <w:widowControl/>
      </w:pPr>
      <w:r>
        <w:t xml:space="preserve">或提取滞后、变化率、均值等特征。L=1只含当前时刻，L&gt;1一次提供多时刻数值。窗口长度及粒度须服从真实压力模型与系统动态，本文未给推荐秒数或分钟数。</w:t>
      </w:r>
    </w:p>
    <w:p>
      <w:pPr>
        <w:pStyle w:val="BodyText"/>
        <w:widowControl/>
      </w:pPr>
      <w:r>
        <w:t xml:space="preserve">【建议】需满足：时间戳同步和缺失规则一致；只用决策时可获得的过去量；按时间／设备／运行阶段划分训练、校准、测试；避免重叠窗口跨集合；特征筛选与标准化只用训练集；覆盖季节和泵阀工况；控制维数及相关性；验证报警持续性、事件级召回和延迟。</w:t>
      </w:r>
    </w:p>
    <w:p>
      <w:pPr>
        <w:pStyle w:val="BodyText"/>
        <w:widowControl/>
      </w:pPr>
      <w:r>
        <w:t xml:space="preserve">原生OutPro逐向量评分，没有显式时序状态。窗口化可让向量包含时间关系，但不能直接把论文性能转移到Contextual或Collective Anomaly任务。</w:t>
      </w:r>
    </w:p>
    <w:bookmarkEnd w:id="62"/>
    <w:bookmarkStart w:id="63" w:name="在社会基础设施监控与控制中的位置"/>
    <w:p>
      <w:pPr>
        <w:pStyle w:val="Heading3"/>
        <w:widowControl/>
      </w:pPr>
      <w:r>
        <w:rPr>
          <w:color w:val="000000"/>
        </w:rPr>
        <w:t xml:space="preserve">7.5 在社会基础设施监控与控制中的位置</w:t>
      </w:r>
    </w:p>
    <w:p>
      <w:pPr>
        <w:pStyle w:val="FirstParagraph"/>
        <w:widowControl/>
      </w:pPr>
      <w:r>
        <w:t xml:space="preserve">【判断】适合作为</w:t>
      </w:r>
      <w:r>
        <w:rPr>
          <w:bCs/>
          <w:b/>
        </w:rPr>
        <w:t xml:space="preserve">预测模型输入支持度的辅助监测层</w:t>
      </w:r>
      <w:r>
        <w:t xml:space="preserve">。它可帮助决定是否提示人工核查、切换到经验证的备用估计或降低预测依赖。论文没有验证其单独承担自动停机、阀门闭环动作或安全联锁。</w:t>
      </w:r>
    </w:p>
    <w:p>
      <w:pPr>
        <w:pStyle w:val="BodyText"/>
        <w:widowControl/>
      </w:pPr>
      <w:r>
        <w:t xml:space="preserve">【建议的评价设计】在同一时间划分下对比：逐变量范围检查、全空间LOF／Isolation Forest／robust kNN、VarPro+子空间KNN、完整OutPro；分别构造范围外、稀少工况、单变量范围内组合异常，并增加保持</w:t>
      </w:r>
      <m:oMath>
        <m:sSub>
          <m:e>
            <m:r>
              <m:t>P</m:t>
              <w:rPr>
                <w:rFonts w:ascii="Cambria Math" w:hAnsi="Cambria Math"/>
              </w:rPr>
            </m:r>
          </m:e>
          <m:sub>
            <m:r>
              <m:t>X</m:t>
              <w:rPr>
                <w:rFonts w:ascii="Cambria Math" w:hAnsi="Cambria Math"/>
              </w:rPr>
            </m:r>
          </m:sub>
        </m:sSub>
      </m:oMath>
      <w:r>
        <w:t xml:space="preserve">不变的概念漂移负能力测试。分别报告ID误报率、固定误报预算下召回、报警精确率、每日报警数、检测延迟，以及目标压力预测误差随分数的变化。报警动作需另按系统需求验证。</w:t>
      </w:r>
    </w:p>
    <w:bookmarkEnd w:id="63"/>
    <w:bookmarkEnd w:id="64"/>
    <w:bookmarkStart w:id="70" w:name="研究批判复现差异与未确认事项"/>
    <w:p>
      <w:pPr>
        <w:pStyle w:val="Heading2"/>
        <w:widowControl/>
      </w:pPr>
      <w:r>
        <w:rPr>
          <w:color w:val="000000"/>
        </w:rPr>
        <w:t xml:space="preserve">8. 研究批判、复现差异与未确认事项</w:t>
      </w:r>
    </w:p>
    <w:bookmarkStart w:id="65" w:name="需要在带教问答中主动承认的边界"/>
    <w:p>
      <w:pPr>
        <w:pStyle w:val="Heading3"/>
        <w:widowControl/>
      </w:pPr>
      <w:r>
        <w:rPr>
          <w:color w:val="000000"/>
        </w:rPr>
        <w:t xml:space="preserve">8.1 需要在带教问答中主动承认的边界</w:t>
      </w:r>
    </w:p>
    <w:p>
      <w:pPr>
        <w:widowControl/>
        <w:numPr>
          <w:ilvl w:val="0"/>
          <w:numId w:val="1013"/>
        </w:numPr>
        <w:pStyle w:val="Compact"/>
      </w:pPr>
      <w:r>
        <w:rPr>
          <w:bCs/>
          <w:b/>
        </w:rPr>
        <w:t xml:space="preserve">无统一优胜。</w:t>
      </w:r>
      <w:r>
        <w:t xml:space="preserve"> </w:t>
      </w:r>
      <w:r>
        <w:t xml:space="preserve">warp场景传统方法更好；高维support也不是OutPro第一。</w:t>
      </w:r>
    </w:p>
    <w:p>
      <w:pPr>
        <w:widowControl/>
        <w:numPr>
          <w:ilvl w:val="0"/>
          <w:numId w:val="1013"/>
        </w:numPr>
        <w:pStyle w:val="Compact"/>
      </w:pPr>
      <w:r>
        <w:rPr>
          <w:bCs/>
          <w:b/>
        </w:rPr>
        <w:t xml:space="preserve">邻域贡献有条件。</w:t>
      </w:r>
      <w:r>
        <w:t xml:space="preserve"> </w:t>
      </w:r>
      <w:r>
        <w:t xml:space="preserve">表5的joint由Subspace KNN胜出，不能称树邻域对依赖变化必不可少。</w:t>
      </w:r>
    </w:p>
    <w:p>
      <w:pPr>
        <w:widowControl/>
        <w:numPr>
          <w:ilvl w:val="0"/>
          <w:numId w:val="1013"/>
        </w:numPr>
        <w:pStyle w:val="Compact"/>
      </w:pPr>
      <w:r>
        <w:rPr>
          <w:bCs/>
          <w:b/>
        </w:rPr>
        <w:t xml:space="preserve">任务相关不等于预测失效。</w:t>
      </w:r>
      <w:r>
        <w:t xml:space="preserve"> </w:t>
      </w:r>
      <w:r>
        <w:t xml:space="preserve">未充分报告OOD分数与真实预测误差或控制风险的校准关系。</w:t>
      </w:r>
    </w:p>
    <w:p>
      <w:pPr>
        <w:widowControl/>
        <w:numPr>
          <w:ilvl w:val="0"/>
          <w:numId w:val="1013"/>
        </w:numPr>
        <w:pStyle w:val="Compact"/>
      </w:pPr>
      <w:r>
        <w:rPr>
          <w:bCs/>
          <w:b/>
        </w:rPr>
        <w:t xml:space="preserve">真实标签是操作性定义。</w:t>
      </w:r>
      <w:r>
        <w:t xml:space="preserve"> </w:t>
      </w:r>
      <w:r>
        <w:t xml:space="preserve">Friedman支持越界较清楚；joint/support来自生成器标签；WECC无OOD真值。</w:t>
      </w:r>
    </w:p>
    <w:p>
      <w:pPr>
        <w:widowControl/>
        <w:numPr>
          <w:ilvl w:val="0"/>
          <w:numId w:val="1013"/>
        </w:numPr>
        <w:pStyle w:val="Compact"/>
      </w:pPr>
      <w:r>
        <w:rPr>
          <w:bCs/>
          <w:b/>
        </w:rPr>
        <w:t xml:space="preserve">joint并非严格纯相关漂移。</w:t>
      </w:r>
      <w:r>
        <w:t xml:space="preserve"> </w:t>
      </w:r>
      <w:r>
        <w:t xml:space="preserve">保留逆CDF映射不保证边缘分布不变。</w:t>
      </w:r>
    </w:p>
    <w:p>
      <w:pPr>
        <w:widowControl/>
        <w:numPr>
          <w:ilvl w:val="0"/>
          <w:numId w:val="1013"/>
        </w:numPr>
        <w:pStyle w:val="Compact"/>
      </w:pPr>
      <w:r>
        <w:rPr>
          <w:bCs/>
          <w:b/>
        </w:rPr>
        <w:t xml:space="preserve">可能的数据隔离问题未定。</w:t>
      </w:r>
      <w:r>
        <w:t xml:space="preserve"> </w:t>
      </w:r>
      <w:r>
        <w:t xml:space="preserve">微阵列伪响应和监督筛选须查是否在每次训练折内部完成。</w:t>
      </w:r>
    </w:p>
    <w:p>
      <w:pPr>
        <w:widowControl/>
        <w:numPr>
          <w:ilvl w:val="0"/>
          <w:numId w:val="1013"/>
        </w:numPr>
        <w:pStyle w:val="Compact"/>
      </w:pPr>
      <w:r>
        <w:rPr>
          <w:bCs/>
          <w:b/>
        </w:rPr>
        <w:t xml:space="preserve">图1几何例需解释。</w:t>
      </w:r>
      <w:r>
        <w:t xml:space="preserve"> </w:t>
      </w:r>
      <w:r>
        <w:t xml:space="preserve">单矩形两个不同释放区域的交集为原矩形，图中(0,1,1)应向作者核对。</w:t>
      </w:r>
    </w:p>
    <w:p>
      <w:pPr>
        <w:widowControl/>
        <w:numPr>
          <w:ilvl w:val="0"/>
          <w:numId w:val="1013"/>
        </w:numPr>
        <w:pStyle w:val="Compact"/>
      </w:pPr>
      <w:r>
        <w:rPr>
          <w:bCs/>
          <w:b/>
        </w:rPr>
        <w:t xml:space="preserve">小子空间退化。</w:t>
      </w:r>
      <w:r>
        <w:t xml:space="preserve"> </w:t>
      </w:r>
      <w:r>
        <w:t xml:space="preserve">若</w:t>
      </w:r>
      <m:oMath>
        <m:r>
          <m:rPr>
            <m:sty m:val="p"/>
          </m:rPr>
          <m:t>|</m:t>
          <w:rPr>
            <w:rFonts w:ascii="Cambria Math" w:hAnsi="Cambria Math"/>
          </w:rPr>
        </m:r>
        <m:r>
          <m:t>S</m:t>
          <w:rPr>
            <w:rFonts w:ascii="Cambria Math" w:hAnsi="Cambria Math"/>
          </w:rPr>
        </m:r>
        <m:r>
          <m:rPr>
            <m:sty m:val="p"/>
          </m:rPr>
          <m:t>|</m:t>
          <w:rPr>
            <w:rFonts w:ascii="Cambria Math" w:hAnsi="Cambria Math"/>
          </w:rPr>
        </m:r>
        <m:r>
          <m:rPr>
            <m:sty m:val="p"/>
          </m:rPr>
          <m:t>=</m:t>
          <w:rPr>
            <w:rFonts w:ascii="Cambria Math" w:hAnsi="Cambria Math"/>
          </w:rPr>
        </m:r>
        <m:r>
          <m:t>1</m:t>
          <w:rPr>
            <w:rFonts w:ascii="Cambria Math" w:hAnsi="Cambria Math"/>
          </w:rPr>
        </m:r>
      </m:oMath>
      <w:r>
        <w:t xml:space="preserve">，所有有计数点的p=1，G=0、W=0，无法有效排序；</w:t>
      </w:r>
      <m:oMath>
        <m:r>
          <m:rPr>
            <m:sty m:val="p"/>
          </m:rPr>
          <m:t>|</m:t>
          <w:rPr>
            <w:rFonts w:ascii="Cambria Math" w:hAnsi="Cambria Math"/>
          </w:rPr>
        </m:r>
        <m:r>
          <m:t>S</m:t>
          <w:rPr>
            <w:rFonts w:ascii="Cambria Math" w:hAnsi="Cambria Math"/>
          </w:rPr>
        </m:r>
        <m:r>
          <m:rPr>
            <m:sty m:val="p"/>
          </m:rPr>
          <m:t>|</m:t>
          <w:rPr>
            <w:rFonts w:ascii="Cambria Math" w:hAnsi="Cambria Math"/>
          </w:rPr>
        </m:r>
        <m:r>
          <m:rPr>
            <m:sty m:val="p"/>
          </m:rPr>
          <m:t>=</m:t>
          <w:rPr>
            <w:rFonts w:ascii="Cambria Math" w:hAnsi="Cambria Math"/>
          </w:rPr>
        </m:r>
        <m:r>
          <m:t>0</m:t>
          <w:rPr>
            <w:rFonts w:ascii="Cambria Math" w:hAnsi="Cambria Math"/>
          </w:rPr>
        </m:r>
      </m:oMath>
      <w:r>
        <w:t xml:space="preserve">、候选不足K、W并列也需实现约定。[由§3公式推导]</w:t>
      </w:r>
    </w:p>
    <w:p>
      <w:pPr>
        <w:widowControl/>
        <w:numPr>
          <w:ilvl w:val="0"/>
          <w:numId w:val="1013"/>
        </w:numPr>
        <w:pStyle w:val="Compact"/>
      </w:pPr>
      <w:r>
        <w:rPr>
          <w:bCs/>
          <w:b/>
        </w:rPr>
        <w:t xml:space="preserve">常数安全变量。</w:t>
      </w:r>
      <w:r>
        <w:t xml:space="preserve"> </w:t>
      </w:r>
      <w:r>
        <w:t xml:space="preserve">训练标准差为0无法通常标准化；若实现丢弃常数列，部署时该列出现新值应由单独范围检查处理。[应用判断]</w:t>
      </w:r>
    </w:p>
    <w:p>
      <w:pPr>
        <w:widowControl/>
        <w:numPr>
          <w:ilvl w:val="0"/>
          <w:numId w:val="1013"/>
        </w:numPr>
        <w:pStyle w:val="Compact"/>
      </w:pPr>
      <w:r>
        <w:rPr>
          <w:bCs/>
          <w:b/>
        </w:rPr>
        <w:t xml:space="preserve">临床关联不是因果证据。</w:t>
      </w:r>
      <w:r>
        <w:t xml:space="preserve"> </w:t>
      </w:r>
      <w:r>
        <w:t xml:space="preserve">人群和参考同时变化，不能从分数下降推出手术干预效果。</w:t>
      </w:r>
    </w:p>
    <w:bookmarkEnd w:id="65"/>
    <w:bookmarkStart w:id="68" w:name="论文与当前公开软件不是自动一一对应"/>
    <w:p>
      <w:pPr>
        <w:pStyle w:val="Heading3"/>
        <w:widowControl/>
      </w:pPr>
      <w:r>
        <w:rPr>
          <w:color w:val="000000"/>
        </w:rPr>
        <w:t xml:space="preserve">8.2 论文与当前公开软件不是自动一一对应</w:t>
      </w:r>
    </w:p>
    <w:p>
      <w:pPr>
        <w:pStyle w:val="FirstParagraph"/>
        <w:widowControl/>
      </w:pPr>
      <w:r>
        <w:t xml:space="preserve">【外部补充，2026-09-10核查】</w:t>
      </w:r>
      <w:hyperlink r:id="rId66">
        <w:r>
          <w:rPr>
            <w:rStyle w:val="Hyperlink"/>
          </w:rPr>
          <w:t xml:space="preserve">CRAN</w:t>
        </w:r>
      </w:hyperlink>
      <w:r>
        <w:t xml:space="preserve">列varPro 3.2.0、GPL≥3。当前</w:t>
      </w:r>
      <w:hyperlink r:id="rId67">
        <w:r>
          <w:rPr>
            <w:rStyle w:val="Hyperlink"/>
          </w:rPr>
          <w:t xml:space="preserve">作者outpro文档</w:t>
        </w:r>
      </w:hyperlink>
      <w:r>
        <w:t xml:space="preserve">默认</w:t>
      </w:r>
      <w:r>
        <w:rPr>
          <w:rStyle w:val="VerbatimChar"/>
        </w:rPr>
        <w:t xml:space="preserve">distancef="knn"</w:t>
      </w:r>
      <w:r>
        <w:t xml:space="preserve">，采用子空间普通近邻；非KNN选项才调用模型邻域。</w:t>
      </w:r>
      <w:r>
        <w:rPr>
          <w:rStyle w:val="VerbatimChar"/>
        </w:rPr>
        <w:t xml:space="preserve">cutoff</w:t>
      </w:r>
      <w:r>
        <w:t xml:space="preserve">控制变量选择，不能作为报警阈值。文档还提供</w:t>
      </w:r>
      <w:r>
        <w:rPr>
          <w:rStyle w:val="VerbatimChar"/>
        </w:rPr>
        <w:t xml:space="preserve">outpro.null</w:t>
      </w:r>
      <w:r>
        <w:t xml:space="preserve">参考CDF；参数列表没有论文的OPTICS同名选项。</w:t>
      </w:r>
      <w:r>
        <w:rPr>
          <w:bCs/>
          <w:b/>
        </w:rPr>
        <w:t xml:space="preserve">复现必须保存包版本并显式选择距离；不能将一次默认调用称为已复现算法1。</w:t>
      </w:r>
      <w:r>
        <w:t xml:space="preserve"> </w:t>
      </w:r>
      <w:r>
        <w:t xml:space="preserve">这是文档层面对照，不是完整源码审计。</w:t>
      </w:r>
    </w:p>
    <w:bookmarkEnd w:id="68"/>
    <w:bookmarkStart w:id="69" w:name="尚未报告不能确认的资料"/>
    <w:p>
      <w:pPr>
        <w:pStyle w:val="Heading3"/>
        <w:widowControl/>
      </w:pPr>
      <w:r>
        <w:rPr>
          <w:color w:val="000000"/>
        </w:rPr>
        <w:t xml:space="preserve">8.3 尚未报告／不能确认的资料</w:t>
      </w:r>
    </w:p>
    <w:tbl>
      <w:tblPr>
        <w:tblStyle w:val="Table"/>
        <w:tblW w:type="pct" w:w="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367"/>
        <w:gridCol w:w="7497"/>
      </w:tblGrid>
      <w:tr>
        <w:trPr>
          <w:cantSplit/>
          <w:tblHeader/>
        </w:trPr>
        <w:tc>
          <w:tcPr>
            <w:tcW w:type="dxa" w:w="236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项目</w:t>
            </w:r>
          </w:p>
        </w:tc>
        <w:tc>
          <w:tcPr>
            <w:tcW w:type="dxa" w:w="749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对研究的影响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61个PMLB确切名称、版本与拆分索引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无法确认逐数据集变量和完全相同测试集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全套实验脚本、种子、原始AUC-PR分数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无法重算精确效果和显著性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VarPro完整统计量及论文使用的筛选配置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信号集和权重可能随实现不同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warp的γ、经验CDF端点处理、support外推函数、R正则化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异常难度与标签可能变化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高维伪响应／Cox筛选相对数据分割顺序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独立测试有效性待代码核查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树数、部分NN和集成/GMM超参数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公平性与运算复现存在缺口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K取整、无候选、并列、单信号变量处理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极端数据可出现未定义或退化行为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WECC零分布／百分位估计及各场景人数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群体分数与校准性质不能完整复算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单点实时延迟、内存、硬件和误报预算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不能作部署性能承诺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公司压力模型与山原先生论文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现场映射目前仅为明确标注的研究建议</w:t>
            </w:r>
          </w:p>
        </w:tc>
      </w:tr>
    </w:tbl>
    <w:bookmarkEnd w:id="69"/>
    <w:bookmarkEnd w:id="70"/>
    <w:bookmarkStart w:id="71" w:name="后续总报告可直接沿用的归档卡"/>
    <w:p>
      <w:pPr>
        <w:pStyle w:val="Heading2"/>
        <w:widowControl/>
      </w:pPr>
      <w:r>
        <w:rPr>
          <w:color w:val="000000"/>
        </w:rPr>
        <w:t xml:space="preserve">9. 后续总报告可直接沿用的归档卡</w:t>
      </w:r>
    </w:p>
    <w:tbl>
      <w:tblPr>
        <w:tblStyle w:val="Table"/>
        <w:tblW w:type="pct" w:w="0.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367"/>
        <w:gridCol w:w="7497"/>
      </w:tblGrid>
      <w:tr>
        <w:trPr>
          <w:cantSplit/>
          <w:tblHeader/>
        </w:trPr>
        <w:tc>
          <w:tcPr>
            <w:tcW w:type="dxa" w:w="236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字段</w:t>
            </w:r>
          </w:p>
        </w:tc>
        <w:tc>
          <w:tcPr>
            <w:tcW w:type="dxa" w:w="7497"/>
            <w:vAlign w:val="center"/>
            <w:shd w:fill="E7EDF3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b/>
                <w:color w:val="000000"/>
                <w:sz w:val="19"/>
              </w:rPr>
              <w:t xml:space="preserve">论文13的归档值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方法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OutPro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主类别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监督模型引导的子空间参考邻域距离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训练信息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ID输入X+任务输出Y；不需OOD训练标签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在线信息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新X+森林规则+训练参考+信号集／权重／尺度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①范围外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有实验支持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②训练不足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低密度相关证据；未直接标注模型学习不足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③变量关系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joint合成实验强相关；不等于严格纯相关漂移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纯概念漂移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不可检测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时间序列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未直接验证；需窗口化／上下文特征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最有价值对照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Full OutPro与VarPro+Subspace KNN同时保留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主要指标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AUC-PR、平均排名、Nemenyi CD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阈值保证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论文未给通用部署误报率保证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基础设施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候选输入支持度监测器，尚无直接现场控制证据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核心证据</w:t>
            </w:r>
          </w:p>
        </w:tc>
        <w:tc>
          <w:tcPr>
            <w:tcW w:type="dxa" w:w="7497"/>
            <w:vAlign w:val="center"/>
            <w:shd w:fill="F7F8FA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表5完整平均排名1.84；joint子空间KNN为1.47、完整OutPro为2.88</w:t>
            </w:r>
          </w:p>
        </w:tc>
      </w:tr>
      <w:tr>
        <w:trPr>
          <w:cantSplit/>
        </w:trPr>
        <w:tc>
          <w:tcPr>
            <w:tcW w:type="dxa" w:w="236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最重要限制</w:t>
            </w:r>
          </w:p>
        </w:tc>
        <w:tc>
          <w:tcPr>
            <w:tcW w:type="dxa" w:w="7497"/>
            <w:vAlign w:val="center"/>
            <w:shd w:fill="FFFFFF"/>
          </w:tcPr>
          <w:p>
            <w:pPr>
              <w:pStyle w:val="Compact"/>
              <w:keepNext w:val="0"/>
              <w:spacing w:after="40" w:before="40" w:line="264" w:lineRule="auto"/>
              <w:jc w:val="left"/>
            </w:pPr>
            <w:r>
              <w:rPr>
                <w:color w:val="000000"/>
                <w:sz w:val="19"/>
              </w:rPr>
              <w:t xml:space="preserve">生成器标签、无统一最优、模型选择依赖、纯概念漂移盲区</w:t>
            </w:r>
          </w:p>
        </w:tc>
      </w:tr>
    </w:tbl>
    <w:bookmarkEnd w:id="71"/>
    <w:bookmarkStart w:id="72" w:name="阅读定位与补充来源"/>
    <w:p>
      <w:pPr>
        <w:pStyle w:val="Heading2"/>
        <w:widowControl/>
      </w:pPr>
      <w:r>
        <w:rPr>
          <w:color w:val="000000"/>
        </w:rPr>
        <w:t xml:space="preserve">10. 阅读定位与补充来源</w:t>
      </w:r>
    </w:p>
    <w:p>
      <w:pPr>
        <w:pStyle w:val="FirstParagraph"/>
        <w:widowControl/>
      </w:pPr>
      <w:r>
        <w:t xml:space="preserve">主文献为用户提供13.pdf。问题定义pp.1–3；定位pp.4–5；算法pp.6–10；基线pp.10–11；模拟标签pp.12–13；Copula pp.16–17；规模p.18表4；消融p.22表5；WECC pp.23–24；限制及公开性pp.25–26。</w:t>
      </w:r>
    </w:p>
    <w:p>
      <w:pPr>
        <w:pStyle w:val="BodyText"/>
        <w:widowControl/>
      </w:pPr>
      <w:r>
        <w:t xml:space="preserve">外部网页只支持本报告相邻标记的补充信息，不替代PDF实验事实：</w:t>
      </w:r>
    </w:p>
    <w:p>
      <w:pPr>
        <w:widowControl/>
        <w:numPr>
          <w:ilvl w:val="0"/>
          <w:numId w:val="1014"/>
        </w:numPr>
        <w:pStyle w:val="Compact"/>
      </w:pPr>
      <w:hyperlink r:id="rId21">
        <w:r>
          <w:rPr>
            <w:rStyle w:val="Hyperlink"/>
          </w:rPr>
          <w:t xml:space="preserve">出版社正式出版记录</w:t>
        </w:r>
      </w:hyperlink>
    </w:p>
    <w:p>
      <w:pPr>
        <w:widowControl/>
        <w:numPr>
          <w:ilvl w:val="0"/>
          <w:numId w:val="1014"/>
        </w:numPr>
        <w:pStyle w:val="Compact"/>
      </w:pPr>
      <w:hyperlink r:id="rId66">
        <w:r>
          <w:rPr>
            <w:rStyle w:val="Hyperlink"/>
          </w:rPr>
          <w:t xml:space="preserve">CRAN varPro</w:t>
        </w:r>
      </w:hyperlink>
      <w:r>
        <w:t xml:space="preserve">与</w:t>
      </w:r>
      <w:hyperlink r:id="rId67">
        <w:r>
          <w:rPr>
            <w:rStyle w:val="Hyperlink"/>
          </w:rPr>
          <w:t xml:space="preserve">作者API文档</w:t>
        </w:r>
      </w:hyperlink>
    </w:p>
    <w:p>
      <w:pPr>
        <w:widowControl/>
        <w:numPr>
          <w:ilvl w:val="0"/>
          <w:numId w:val="1014"/>
        </w:numPr>
        <w:pStyle w:val="Compact"/>
      </w:pPr>
      <w:hyperlink r:id="rId47">
        <w:r>
          <w:rPr>
            <w:rStyle w:val="Hyperlink"/>
          </w:rPr>
          <w:t xml:space="preserve">PMLB官方说明</w:t>
        </w:r>
      </w:hyperlink>
      <w:r>
        <w:t xml:space="preserve">、</w:t>
      </w:r>
      <w:hyperlink r:id="rId48">
        <w:r>
          <w:rPr>
            <w:rStyle w:val="Hyperlink"/>
          </w:rPr>
          <w:t xml:space="preserve">仓库</w:t>
        </w:r>
      </w:hyperlink>
      <w:r>
        <w:t xml:space="preserve">、</w:t>
      </w:r>
      <w:hyperlink r:id="rId49">
        <w:r>
          <w:rPr>
            <w:rStyle w:val="Hyperlink"/>
          </w:rPr>
          <w:t xml:space="preserve">许可证</w:t>
        </w:r>
      </w:hyperlink>
    </w:p>
    <w:p>
      <w:pPr>
        <w:widowControl/>
        <w:numPr>
          <w:ilvl w:val="0"/>
          <w:numId w:val="1014"/>
        </w:numPr>
        <w:pStyle w:val="Compact"/>
      </w:pPr>
      <w:hyperlink r:id="rId51">
        <w:r>
          <w:rPr>
            <w:rStyle w:val="Hyperlink"/>
          </w:rPr>
          <w:t xml:space="preserve">AML原研究相关GEO数据</w:t>
        </w:r>
      </w:hyperlink>
    </w:p>
    <w:p>
      <w:pPr>
        <w:widowControl/>
        <w:numPr>
          <w:ilvl w:val="0"/>
          <w:numId w:val="1014"/>
        </w:numPr>
        <w:pStyle w:val="Compact"/>
      </w:pPr>
      <w:hyperlink r:id="rId52">
        <w:r>
          <w:rPr>
            <w:rStyle w:val="Hyperlink"/>
          </w:rPr>
          <w:t xml:space="preserve">乳腺癌相关数据包手册</w:t>
        </w:r>
      </w:hyperlink>
    </w:p>
    <w:p>
      <w:pPr>
        <w:widowControl/>
        <w:numPr>
          <w:ilvl w:val="0"/>
          <w:numId w:val="1014"/>
        </w:numPr>
        <w:pStyle w:val="Compact"/>
      </w:pPr>
      <w:hyperlink r:id="rId53">
        <w:r>
          <w:rPr>
            <w:rStyle w:val="Hyperlink"/>
          </w:rPr>
          <w:t xml:space="preserve">DLBCL原研究网站</w:t>
        </w:r>
      </w:hyperlink>
      <w:r>
        <w:t xml:space="preserve">与</w:t>
      </w:r>
      <w:hyperlink r:id="rId54">
        <w:r>
          <w:rPr>
            <w:rStyle w:val="Hyperlink"/>
          </w:rPr>
          <w:t xml:space="preserve">MCL原研究网站</w:t>
        </w:r>
      </w:hyperlink>
    </w:p>
    <w:p>
      <w:pPr>
        <w:pStyle w:val="FirstParagraph"/>
        <w:widowControl/>
      </w:pPr>
      <w:r>
        <w:t xml:space="preserve">本篇报告明确保留了原文未提供的项目；未把没有证据的字段补写成事实。中日文口头讲解稿另见配套文件。</w:t>
      </w:r>
    </w:p>
    <w:bookmarkEnd w:id="72"/>
    <w:sectPr w:rsidR="00FC693F" w:rsidRPr="0006063C" w:rsidSect="00034616">
      <w:footerReference r:id="rId9" w:type="default"/>
      <w:pgSz w:h="16838" w:w="11906"/>
      <w:pgMar w:bottom="1077" w:footer="454" w:gutter="0" w:header="454" w:left="1020" w:right="1020" w:top="107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Simple w:instr="PAGE"/>
    </w:r>
    <w:r>
      <w:rPr>
        <w:sz w:val="18"/>
      </w:rPr>
      <w:fldSimple w:instr="PAGE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76" w:lineRule="auto"/>
    </w:pPr>
    <w:rPr>
      <w:rFonts w:ascii="Times New Roman" w:eastAsia="SimSun" w:hAnsi="Times New Roman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100" w:line="276" w:lineRule="auto"/>
    </w:pPr>
    <w:rPr>
      <w:rFonts w:ascii="Times New Roman" w:eastAsia="SimSun" w:hAnsi="Times New Roman"/>
      <w:color w:val="000000"/>
      <w:sz w:val="21"/>
    </w:r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100" w:line="276" w:lineRule="auto"/>
    </w:pPr>
    <w:rPr>
      <w:rFonts w:ascii="Times New Roman" w:eastAsia="SimSun" w:hAnsi="Times New Roman"/>
      <w:color w:val="000000"/>
      <w:sz w:val="21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240" w:line="276" w:lineRule="auto"/>
      <w:outlineLvl w:val="0"/>
    </w:pPr>
    <w:rPr>
      <w:rFonts w:ascii="Times New Roman" w:eastAsia="SimSun" w:hAnsi="Times New Roman"/>
      <w:b/>
      <w:bCs/>
      <w:color w:val="000000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240" w:line="276" w:lineRule="auto"/>
      <w:outlineLvl w:val="1"/>
    </w:pPr>
    <w:rPr>
      <w:rFonts w:ascii="Times New Roman" w:eastAsia="SimSun" w:hAnsi="Times New Roman"/>
      <w:b/>
      <w:bCs/>
      <w:color w:val="000000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40" w:before="240" w:line="276" w:lineRule="auto"/>
      <w:outlineLvl w:val="2"/>
    </w:pPr>
    <w:rPr>
      <w:rFonts w:ascii="Times New Roman" w:eastAsia="SimSun" w:hAnsi="Times New Roman"/>
      <w:b/>
      <w:bCs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 w:line="276" w:lineRule="auto"/>
      <w:outlineLvl w:val="3"/>
    </w:pPr>
    <w:rPr>
      <w:rFonts w:ascii="Times New Roman" w:eastAsia="SimSun" w:hAnsi="Times New Roman"/>
      <w:b/>
      <w:bCs/>
      <w:i/>
      <w:iCs/>
      <w:color w:val="000000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100" w:before="200" w:line="276" w:lineRule="auto"/>
      <w:outlineLvl w:val="4"/>
    </w:pPr>
    <w:rPr>
      <w:rFonts w:ascii="Times New Roman" w:eastAsia="SimSun" w:hAnsi="Times New Roman"/>
      <w:color w:val="000000"/>
      <w:sz w:val="2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100" w:before="200" w:line="276" w:lineRule="auto"/>
      <w:outlineLvl w:val="5"/>
    </w:pPr>
    <w:rPr>
      <w:rFonts w:ascii="Times New Roman" w:eastAsia="SimSun" w:hAnsi="Times New Roman"/>
      <w:i/>
      <w:iCs/>
      <w:color w:val="000000"/>
      <w:sz w:val="21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100" w:before="200" w:line="276" w:lineRule="auto"/>
      <w:outlineLvl w:val="6"/>
    </w:pPr>
    <w:rPr>
      <w:rFonts w:ascii="Times New Roman" w:eastAsia="SimSun" w:hAnsi="Times New Roman"/>
      <w:i/>
      <w:iCs/>
      <w:color w:val="000000"/>
      <w:sz w:val="21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100" w:before="200" w:line="276" w:lineRule="auto"/>
      <w:outlineLvl w:val="7"/>
    </w:pPr>
    <w:rPr>
      <w:rFonts w:ascii="Times New Roman" w:eastAsia="SimSun" w:hAnsi="Times New Roman"/>
      <w:color w:val="000000"/>
      <w:sz w:val="21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100" w:before="200" w:line="276" w:lineRule="auto"/>
      <w:outlineLvl w:val="8"/>
    </w:pPr>
    <w:rPr>
      <w:rFonts w:ascii="Times New Roman" w:eastAsia="SimSun" w:hAnsi="Times New Roman"/>
      <w:i/>
      <w:iCs/>
      <w:color w:val="000000"/>
      <w:sz w:val="21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100" w:line="276" w:lineRule="auto"/>
    </w:pPr>
    <w:rPr>
      <w:rFonts w:ascii="Times New Roman" w:eastAsia="SimSun" w:hAnsi="Times New Roman"/>
      <w:color w:val="000000"/>
      <w:sz w:val="21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40" w:before="0" w:line="276" w:lineRule="auto"/>
      <w:contextualSpacing/>
    </w:pPr>
    <w:rPr>
      <w:rFonts w:ascii="Times New Roman" w:eastAsia="SimSun" w:hAnsi="Times New Roman"/>
      <w:b/>
      <w:color w:val="000000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40" w:before="240" w:line="276" w:lineRule="auto"/>
    </w:pPr>
    <w:rPr>
      <w:rFonts w:ascii="Times New Roman" w:eastAsia="SimSun" w:hAnsi="Times New Roman"/>
      <w:b w:val="0"/>
      <w:i/>
      <w:iCs/>
      <w:color w:val="000000"/>
      <w:spacing w:val="15"/>
      <w:sz w:val="2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100" w:line="276" w:lineRule="auto"/>
      <w:ind w:left="720"/>
      <w:contextualSpacing/>
    </w:pPr>
    <w:rPr>
      <w:rFonts w:ascii="Times New Roman" w:eastAsia="SimSun" w:hAnsi="Times New Roman"/>
      <w:color w:val="000000"/>
      <w:sz w:val="21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Times New Roman" w:eastAsia="SimSun" w:hAnsi="Times New Roman"/>
      <w:color w:val="00000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00" w:line="276" w:lineRule="auto"/>
    </w:pPr>
    <w:rPr>
      <w:rFonts w:ascii="Times New Roman" w:eastAsia="SimSun" w:hAnsi="Times New Roman"/>
      <w:color w:val="000000"/>
      <w:sz w:val="21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00" w:line="276" w:lineRule="auto"/>
    </w:pPr>
    <w:rPr>
      <w:rFonts w:ascii="Times New Roman" w:eastAsia="SimSun" w:hAnsi="Times New Roman"/>
      <w:color w:val="000000"/>
      <w:sz w:val="21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spacing w:after="100" w:line="276" w:lineRule="auto"/>
      <w:ind w:hanging="360" w:left="360"/>
      <w:contextualSpacing/>
    </w:pPr>
    <w:rPr>
      <w:rFonts w:ascii="Times New Roman" w:eastAsia="SimSun" w:hAnsi="Times New Roman"/>
      <w:color w:val="000000"/>
      <w:sz w:val="21"/>
    </w:rPr>
  </w:style>
  <w:style w:styleId="List2" w:type="paragraph">
    <w:name w:val="List 2"/>
    <w:basedOn w:val="Normal"/>
    <w:uiPriority w:val="99"/>
    <w:unhideWhenUsed/>
    <w:rsid w:val="00326F90"/>
    <w:pPr>
      <w:spacing w:after="100" w:line="276" w:lineRule="auto"/>
      <w:ind w:hanging="360" w:left="720"/>
      <w:contextualSpacing/>
    </w:pPr>
    <w:rPr>
      <w:rFonts w:ascii="Times New Roman" w:eastAsia="SimSun" w:hAnsi="Times New Roman"/>
      <w:color w:val="000000"/>
      <w:sz w:val="21"/>
    </w:rPr>
  </w:style>
  <w:style w:styleId="List3" w:type="paragraph">
    <w:name w:val="List 3"/>
    <w:basedOn w:val="Normal"/>
    <w:uiPriority w:val="99"/>
    <w:unhideWhenUsed/>
    <w:rsid w:val="00326F90"/>
    <w:pPr>
      <w:spacing w:after="100" w:line="276" w:lineRule="auto"/>
      <w:ind w:hanging="360" w:left="1080"/>
      <w:contextualSpacing/>
    </w:pPr>
    <w:rPr>
      <w:rFonts w:ascii="Times New Roman" w:eastAsia="SimSun" w:hAnsi="Times New Roman"/>
      <w:color w:val="000000"/>
      <w:sz w:val="21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contextualSpacing/>
    </w:pPr>
    <w:rPr>
      <w:rFonts w:ascii="Times New Roman" w:eastAsia="SimSun" w:hAnsi="Times New Roman"/>
      <w:color w:val="000000"/>
      <w:sz w:val="21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spacing w:after="100" w:line="276" w:lineRule="auto"/>
      <w:contextualSpacing/>
    </w:pPr>
    <w:rPr>
      <w:rFonts w:ascii="Times New Roman" w:eastAsia="SimSun" w:hAnsi="Times New Roman"/>
      <w:color w:val="000000"/>
      <w:sz w:val="21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spacing w:after="100" w:line="276" w:lineRule="auto"/>
      <w:contextualSpacing/>
    </w:pPr>
    <w:rPr>
      <w:rFonts w:ascii="Times New Roman" w:eastAsia="SimSun" w:hAnsi="Times New Roman"/>
      <w:color w:val="000000"/>
      <w:sz w:val="21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contextualSpacing/>
    </w:pPr>
    <w:rPr>
      <w:rFonts w:ascii="Times New Roman" w:eastAsia="SimSun" w:hAnsi="Times New Roman"/>
      <w:color w:val="000000"/>
      <w:sz w:val="21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spacing w:after="100" w:line="276" w:lineRule="auto"/>
      <w:contextualSpacing/>
    </w:pPr>
    <w:rPr>
      <w:rFonts w:ascii="Times New Roman" w:eastAsia="SimSun" w:hAnsi="Times New Roman"/>
      <w:color w:val="000000"/>
      <w:sz w:val="21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spacing w:after="100" w:line="276" w:lineRule="auto"/>
      <w:contextualSpacing/>
    </w:pPr>
    <w:rPr>
      <w:rFonts w:ascii="Times New Roman" w:eastAsia="SimSun" w:hAnsi="Times New Roman"/>
      <w:color w:val="000000"/>
      <w:sz w:val="21"/>
    </w:rPr>
  </w:style>
  <w:style w:styleId="ListContinue" w:type="paragraph">
    <w:name w:val="List Continue"/>
    <w:basedOn w:val="Normal"/>
    <w:uiPriority w:val="99"/>
    <w:unhideWhenUsed/>
    <w:rsid w:val="0029639D"/>
    <w:pPr>
      <w:spacing w:after="100" w:line="276" w:lineRule="auto"/>
      <w:ind w:left="360"/>
      <w:contextualSpacing/>
    </w:pPr>
    <w:rPr>
      <w:rFonts w:ascii="Times New Roman" w:eastAsia="SimSun" w:hAnsi="Times New Roman"/>
      <w:color w:val="000000"/>
      <w:sz w:val="21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00" w:line="276" w:lineRule="auto"/>
      <w:ind w:left="720"/>
      <w:contextualSpacing/>
    </w:pPr>
    <w:rPr>
      <w:rFonts w:ascii="Times New Roman" w:eastAsia="SimSun" w:hAnsi="Times New Roman"/>
      <w:color w:val="000000"/>
      <w:sz w:val="21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00" w:line="276" w:lineRule="auto"/>
      <w:ind w:left="1080"/>
      <w:contextualSpacing/>
    </w:pPr>
    <w:rPr>
      <w:rFonts w:ascii="Times New Roman" w:eastAsia="SimSun" w:hAnsi="Times New Roman"/>
      <w:color w:val="000000"/>
      <w:sz w:val="21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spacing w:after="100" w:line="276" w:lineRule="auto"/>
    </w:pPr>
    <w:rPr>
      <w:rFonts w:ascii="Times New Roman" w:eastAsia="SimSun" w:hAnsi="Times New Roman"/>
      <w:color w:val="000000"/>
      <w:sz w:val="21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00" w:line="276" w:lineRule="auto"/>
    </w:pPr>
    <w:rPr>
      <w:rFonts w:ascii="Times New Roman" w:eastAsia="SimSun" w:hAnsi="Times New Roman"/>
      <w:i/>
      <w:iCs/>
      <w:color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00" w:line="276" w:lineRule="auto"/>
    </w:pPr>
    <w:rPr>
      <w:rFonts w:ascii="Times New Roman" w:eastAsia="SimSun" w:hAnsi="Times New Roman"/>
      <w:b/>
      <w:bCs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100" w:before="200" w:line="276" w:lineRule="auto"/>
      <w:ind w:left="936" w:right="936"/>
    </w:pPr>
    <w:rPr>
      <w:rFonts w:ascii="Times New Roman" w:eastAsia="SimSun" w:hAnsi="Times New Roman"/>
      <w:b/>
      <w:bCs/>
      <w:i/>
      <w:iCs/>
      <w:color w:val="000000"/>
      <w:sz w:val="2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spacing w:after="100" w:line="276" w:lineRule="auto"/>
      <w:outlineLvl w:val="9"/>
    </w:pPr>
    <w:rPr>
      <w:rFonts w:ascii="Times New Roman" w:eastAsia="SimSun" w:hAnsi="Times New Roman"/>
      <w:color w:val="000000"/>
      <w:sz w:val="21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pacing w:after="100" w:line="276" w:lineRule="auto"/>
    </w:pPr>
    <w:rPr>
      <w:rFonts w:ascii="Times New Roman" w:hAnsi="Times New Roman" w:eastAsia="SimSun"/>
      <w:color w:val="000000"/>
      <w:sz w:val="21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52" Type="http://schemas.openxmlformats.org/officeDocument/2006/relationships/hyperlink" Target="https://bioconductor.org/packages/release/data/experiment/manuals/seventyGeneData/man/seventyGeneData.pdf" TargetMode="External"/><Relationship Id="rId66" Type="http://schemas.openxmlformats.org/officeDocument/2006/relationships/hyperlink" Target="https://cran.r-project.org/web/packages/varPro/index.html" TargetMode="External"/><Relationship Id="rId47" Type="http://schemas.openxmlformats.org/officeDocument/2006/relationships/hyperlink" Target="https://epistasislab.github.io/pmlb/" TargetMode="External"/><Relationship Id="rId48" Type="http://schemas.openxmlformats.org/officeDocument/2006/relationships/hyperlink" Target="https://github.com/EpistasisLab/pmlb" TargetMode="External"/><Relationship Id="rId49" Type="http://schemas.openxmlformats.org/officeDocument/2006/relationships/hyperlink" Target="https://github.com/EpistasisLab/pmlb/blob/master/LICENSE" TargetMode="External"/><Relationship Id="rId21" Type="http://schemas.openxmlformats.org/officeDocument/2006/relationships/hyperlink" Target="https://link.springer.com/article/10.1007/s10115-026-02872-5" TargetMode="External"/><Relationship Id="rId54" Type="http://schemas.openxmlformats.org/officeDocument/2006/relationships/hyperlink" Target="https://llmpp.ccr.cancer.gov/MCL/" TargetMode="External"/><Relationship Id="rId53" Type="http://schemas.openxmlformats.org/officeDocument/2006/relationships/hyperlink" Target="https://llmpp.ccr.cancer.gov/lymphoma/" TargetMode="External"/><Relationship Id="rId51" Type="http://schemas.openxmlformats.org/officeDocument/2006/relationships/hyperlink" Target="https://www.ncbi.nlm.nih.gov/geo/query/acc.cgi?acc=GSE425" TargetMode="External"/><Relationship Id="rId67" Type="http://schemas.openxmlformats.org/officeDocument/2006/relationships/hyperlink" Target="https://www.varprotools.org/reference/outpro.html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https://bioconductor.org/packages/release/data/experiment/manuals/seventyGeneData/man/seventyGeneData.pdf" TargetMode="External"/><Relationship Id="rId66" Type="http://schemas.openxmlformats.org/officeDocument/2006/relationships/hyperlink" Target="https://cran.r-project.org/web/packages/varPro/index.html" TargetMode="External"/><Relationship Id="rId47" Type="http://schemas.openxmlformats.org/officeDocument/2006/relationships/hyperlink" Target="https://epistasislab.github.io/pmlb/" TargetMode="External"/><Relationship Id="rId48" Type="http://schemas.openxmlformats.org/officeDocument/2006/relationships/hyperlink" Target="https://github.com/EpistasisLab/pmlb" TargetMode="External"/><Relationship Id="rId49" Type="http://schemas.openxmlformats.org/officeDocument/2006/relationships/hyperlink" Target="https://github.com/EpistasisLab/pmlb/blob/master/LICENSE" TargetMode="External"/><Relationship Id="rId21" Type="http://schemas.openxmlformats.org/officeDocument/2006/relationships/hyperlink" Target="https://link.springer.com/article/10.1007/s10115-026-02872-5" TargetMode="External"/><Relationship Id="rId54" Type="http://schemas.openxmlformats.org/officeDocument/2006/relationships/hyperlink" Target="https://llmpp.ccr.cancer.gov/MCL/" TargetMode="External"/><Relationship Id="rId53" Type="http://schemas.openxmlformats.org/officeDocument/2006/relationships/hyperlink" Target="https://llmpp.ccr.cancer.gov/lymphoma/" TargetMode="External"/><Relationship Id="rId51" Type="http://schemas.openxmlformats.org/officeDocument/2006/relationships/hyperlink" Target="https://www.ncbi.nlm.nih.gov/geo/query/acc.cgi?acc=GSE425" TargetMode="External"/><Relationship Id="rId67" Type="http://schemas.openxmlformats.org/officeDocument/2006/relationships/hyperlink" Target="https://www.varprotools.org/reference/outpr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论文13 OutPro 精读与研究报告 中文版</dc:title>
  <dc:creator/>
  <cp:keywords>OutPro, OOD, VarPro</cp:keywords>
  <dcterms:created xsi:type="dcterms:W3CDTF">2026-09-10T14:27:41Z</dcterms:created>
  <dcterms:modified xsi:type="dcterms:W3CDTF">2026-09-10T14:27:41Z</dcterms:modified>
  <dc:subject>OutPro paper reading and research analysis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