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論文13 OutPro 精読 研究報告 日本語版</w:t>
      </w:r>
    </w:p>
    <w:p>
      <w:pPr>
        <w:pStyle w:val="FirstParagraph"/>
        <w:widowControl/>
      </w:pPr>
      <w:r>
        <w:t xml:space="preserve">研究課題：学習外入力データの検出</w:t>
      </w:r>
      <w:r>
        <w:br/>
      </w:r>
      <w:r>
        <w:t xml:space="preserve">作成日：2026-09-10</w:t>
      </w:r>
      <w:r>
        <w:br/>
      </w:r>
      <w:r>
        <w:t xml:space="preserve">主資料：ユーザー提供の13.pdf、全30頁。頁番号は同PDFに対応する。正式出版版の本文を分析対象とし、外部公式サイトは出版情報、ソフトウェア、データ取得情報の補足に用いた。著者の全実験を実行した報告ではない。</w:t>
      </w:r>
    </w:p>
    <w:p>
      <w:pPr>
        <w:pStyle w:val="BodyText"/>
        <w:widowControl/>
      </w:pPr>
      <w:r>
        <w:t xml:space="preserve">表記：【論文】原文の記述・数値、【導出】数式から得られる説明、【考察】本報告の評価、【提案】未検証の応用案、【未報告】本文では確認できない情報。数値例は理解のための独自例であり、論文の実験結果ではない。</w:t>
      </w:r>
    </w:p>
    <w:bookmarkStart w:id="20" w:name="報告で最初に伝える結論"/>
    <w:p>
      <w:pPr>
        <w:pStyle w:val="Heading2"/>
        <w:widowControl/>
      </w:pPr>
      <w:r>
        <w:rPr>
          <w:color w:val="000000"/>
        </w:rPr>
        <w:t xml:space="preserve">0. 報告で最初に伝える結論</w:t>
      </w:r>
    </w:p>
    <w:p>
      <w:pPr>
        <w:pStyle w:val="FirstParagraph"/>
        <w:widowControl/>
      </w:pPr>
      <w:r>
        <w:t xml:space="preserve">OutProは、</w:t>
      </w:r>
      <w:r>
        <w:rPr>
          <w:bCs/>
          <w:b/>
        </w:rPr>
        <w:t xml:space="preserve">教師ありランダムフォレストのルールから参照近傍を作り、予測に関係する変数の部分空間で距離を計算するOOD検出法</w:t>
      </w:r>
      <w:r>
        <w:t xml:space="preserve">である。学習には入力と目的変数が必要だが、運用時に新しい事例の真の出力は不要である。予測に重要な少数変数の小さな変化や、変数の組合せの変化を調べるうえで有力な候補となる。一方、入力分布が変わらない純粋な概念ドリフトは検出できない。[§1、§3、§7]</w:t>
      </w:r>
    </w:p>
    <w:p>
      <w:pPr>
        <w:pStyle w:val="BodyText"/>
        <w:widowControl/>
      </w:pPr>
      <w:r>
        <w:t xml:space="preserve">本研究への示唆は、学習データによる支持の程度を「予測課題・参照事例・選択変数」に基づいて評価することである。ただし、予測に重要な変数と安全上重要な変数は一致するとは限らない。OODスコアは予測誤差でも危険確率でもない。</w:t>
      </w:r>
    </w:p>
    <w:p>
      <w:pPr>
        <w:pStyle w:val="BodyText"/>
        <w:widowControl/>
      </w:pPr>
      <w:r>
        <w:t xml:space="preserve">性能には条件がある。jointモードではOutProが強いが、warpモードでは従来法が優位な場合が多い。アブレーションではjointに対して部分空間の通常KNNが完全なOutProより良かった。したがって「常に最良」ではなく「比較検証すべき候補」と位置づける。</w:t>
      </w:r>
    </w:p>
    <w:bookmarkEnd w:id="20"/>
    <w:bookmarkStart w:id="24" w:name="文献情報と研究課題"/>
    <w:p>
      <w:pPr>
        <w:pStyle w:val="Heading2"/>
        <w:widowControl/>
      </w:pPr>
      <w:r>
        <w:rPr>
          <w:color w:val="000000"/>
        </w:rPr>
        <w:t xml:space="preserve">1. 文献情報と研究課題</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内容</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題名</w:t>
            </w:r>
          </w:p>
        </w:tc>
        <w:tc>
          <w:tcPr>
            <w:tcW w:type="dxa" w:w="7497"/>
            <w:vAlign w:val="center"/>
            <w:shd w:fill="FFFFFF"/>
          </w:tcPr>
          <w:p>
            <w:pPr>
              <w:pStyle w:val="Compact"/>
              <w:keepNext w:val="0"/>
              <w:spacing w:after="40" w:before="40" w:line="264" w:lineRule="auto"/>
              <w:jc w:val="left"/>
            </w:pPr>
            <w:r>
              <w:rPr>
                <w:color w:val="000000"/>
                <w:sz w:val="19"/>
              </w:rPr>
              <w:t xml:space="preserve">General OOD detection via model-aware and subspace-aware variable priority</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和訳</w:t>
            </w:r>
          </w:p>
        </w:tc>
        <w:tc>
          <w:tcPr>
            <w:tcW w:type="dxa" w:w="7497"/>
            <w:vAlign w:val="center"/>
            <w:shd w:fill="F7F8FA"/>
          </w:tcPr>
          <w:p>
            <w:pPr>
              <w:pStyle w:val="Compact"/>
              <w:keepNext w:val="0"/>
              <w:spacing w:after="40" w:before="40" w:line="264" w:lineRule="auto"/>
              <w:jc w:val="left"/>
            </w:pPr>
            <w:r>
              <w:rPr>
                <w:color w:val="000000"/>
                <w:sz w:val="19"/>
              </w:rPr>
              <w:t xml:space="preserve">モデルと部分空間を考慮した変数優先度による汎用的な分布外検出</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著者</w:t>
            </w:r>
          </w:p>
        </w:tc>
        <w:tc>
          <w:tcPr>
            <w:tcW w:type="dxa" w:w="7497"/>
            <w:vAlign w:val="center"/>
            <w:shd w:fill="FFFFFF"/>
          </w:tcPr>
          <w:p>
            <w:pPr>
              <w:pStyle w:val="Compact"/>
              <w:keepNext w:val="0"/>
              <w:spacing w:after="40" w:before="40" w:line="264" w:lineRule="auto"/>
              <w:jc w:val="left"/>
            </w:pPr>
            <w:r>
              <w:rPr>
                <w:color w:val="000000"/>
                <w:sz w:val="19"/>
              </w:rPr>
              <w:t xml:space="preserve">Min Lu、Hemant Ishwaran</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所属</w:t>
            </w:r>
          </w:p>
        </w:tc>
        <w:tc>
          <w:tcPr>
            <w:tcW w:type="dxa" w:w="7497"/>
            <w:vAlign w:val="center"/>
            <w:shd w:fill="F7F8FA"/>
          </w:tcPr>
          <w:p>
            <w:pPr>
              <w:pStyle w:val="Compact"/>
              <w:keepNext w:val="0"/>
              <w:spacing w:after="40" w:before="40" w:line="264" w:lineRule="auto"/>
              <w:jc w:val="left"/>
            </w:pPr>
            <w:r>
              <w:rPr>
                <w:color w:val="000000"/>
                <w:sz w:val="19"/>
              </w:rPr>
              <w:t xml:space="preserve">University of Miami、Miller School of Medicine、生物統計部門</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掲載</w:t>
            </w:r>
          </w:p>
        </w:tc>
        <w:tc>
          <w:tcPr>
            <w:tcW w:type="dxa" w:w="7497"/>
            <w:vAlign w:val="center"/>
            <w:shd w:fill="FFFFFF"/>
          </w:tcPr>
          <w:p>
            <w:pPr>
              <w:pStyle w:val="Compact"/>
              <w:keepNext w:val="0"/>
              <w:spacing w:after="40" w:before="40" w:line="264" w:lineRule="auto"/>
              <w:jc w:val="left"/>
            </w:pPr>
            <w:r>
              <w:rPr>
                <w:color w:val="000000"/>
                <w:sz w:val="19"/>
              </w:rPr>
              <w:t xml:space="preserve">Knowledge and Information Systems、2026年、68巻、論文番号250、30頁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日付</w:t>
            </w:r>
          </w:p>
        </w:tc>
        <w:tc>
          <w:tcPr>
            <w:tcW w:type="dxa" w:w="7497"/>
            <w:vAlign w:val="center"/>
            <w:shd w:fill="F7F8FA"/>
          </w:tcPr>
          <w:p>
            <w:pPr>
              <w:pStyle w:val="Compact"/>
              <w:keepNext w:val="0"/>
              <w:spacing w:after="40" w:before="40" w:line="264" w:lineRule="auto"/>
              <w:jc w:val="left"/>
            </w:pPr>
            <w:r>
              <w:rPr>
                <w:color w:val="000000"/>
                <w:sz w:val="19"/>
              </w:rPr>
              <w:t xml:space="preserve">投稿2025-12-12、改訂2026-08-05、受理2026-08-10、公開2026-08-28</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DOI</w:t>
            </w:r>
          </w:p>
        </w:tc>
        <w:tc>
          <w:tcPr>
            <w:tcW w:type="dxa" w:w="7497"/>
            <w:vAlign w:val="center"/>
            <w:shd w:fill="FFFFFF"/>
          </w:tcPr>
          <w:p>
            <w:pPr>
              <w:pStyle w:val="Compact"/>
              <w:keepNext w:val="0"/>
              <w:spacing w:after="40" w:before="40" w:line="264" w:lineRule="auto"/>
              <w:jc w:val="left"/>
            </w:pPr>
            <w:r>
              <w:rPr>
                <w:color w:val="000000"/>
                <w:sz w:val="19"/>
              </w:rPr>
              <w:t xml:space="preserve">10.1007/s10115-026-02872-5</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手法</w:t>
            </w:r>
          </w:p>
        </w:tc>
        <w:tc>
          <w:tcPr>
            <w:tcW w:type="dxa" w:w="7497"/>
            <w:vAlign w:val="center"/>
            <w:shd w:fill="F7F8FA"/>
          </w:tcPr>
          <w:p>
            <w:pPr>
              <w:pStyle w:val="Compact"/>
              <w:keepNext w:val="0"/>
              <w:spacing w:after="40" w:before="40" w:line="264" w:lineRule="auto"/>
              <w:jc w:val="left"/>
            </w:pPr>
            <w:r>
              <w:rPr>
                <w:color w:val="000000"/>
                <w:sz w:val="19"/>
              </w:rPr>
              <w:t xml:space="preserve">OutPro（OOD using variable priority）、変数選択はVarPro</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実装</w:t>
            </w:r>
          </w:p>
        </w:tc>
        <w:tc>
          <w:tcPr>
            <w:tcW w:type="dxa" w:w="7497"/>
            <w:vAlign w:val="center"/>
            <w:shd w:fill="FFFFFF"/>
          </w:tcPr>
          <w:p>
            <w:pPr>
              <w:pStyle w:val="Compact"/>
              <w:keepNext w:val="0"/>
              <w:spacing w:after="40" w:before="40" w:line="264" w:lineRule="auto"/>
              <w:jc w:val="left"/>
            </w:pPr>
            <w:r>
              <w:rPr>
                <w:color w:val="000000"/>
                <w:sz w:val="19"/>
              </w:rPr>
              <w:t xml:space="preserve">RパッケージvarPro。論文の設定と現行ソフトウェアの既定値は要区別</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論文ライセンス</w:t>
            </w:r>
          </w:p>
        </w:tc>
        <w:tc>
          <w:tcPr>
            <w:tcW w:type="dxa" w:w="7497"/>
            <w:vAlign w:val="center"/>
            <w:shd w:fill="F7F8FA"/>
          </w:tcPr>
          <w:p>
            <w:pPr>
              <w:pStyle w:val="Compact"/>
              <w:keepNext w:val="0"/>
              <w:spacing w:after="40" w:before="40" w:line="264" w:lineRule="auto"/>
              <w:jc w:val="left"/>
            </w:pPr>
            <w:r>
              <w:rPr>
                <w:color w:val="000000"/>
                <w:sz w:val="19"/>
              </w:rPr>
              <w:t xml:space="preserve">CC BY 4.0。個別データのライセンスを意味しない</w:t>
            </w:r>
          </w:p>
        </w:tc>
      </w:tr>
    </w:tbl>
    <w:p>
      <w:pPr>
        <w:pStyle w:val="BodyText"/>
        <w:widowControl/>
      </w:pPr>
      <w:r>
        <w:t xml:space="preserve">公開日は</w:t>
      </w:r>
      <w:hyperlink r:id="rId21">
        <w:r>
          <w:rPr>
            <w:rStyle w:val="Hyperlink"/>
          </w:rPr>
          <w:t xml:space="preserve">出版社の正式ページ</w:t>
        </w:r>
      </w:hyperlink>
      <w:r>
        <w:t xml:space="preserve">で確認した。その他の主要情報はPDFのp.1、p.26に基づく。</w:t>
      </w:r>
    </w:p>
    <w:bookmarkStart w:id="22" w:name="何を解決する研究か"/>
    <w:p>
      <w:pPr>
        <w:pStyle w:val="Heading3"/>
        <w:widowControl/>
      </w:pPr>
      <w:r>
        <w:rPr>
          <w:color w:val="000000"/>
        </w:rPr>
        <w:t xml:space="preserve">1.1 何を解決する研究か</w:t>
      </w:r>
    </w:p>
    <w:p>
      <w:pPr>
        <w:pStyle w:val="FirstParagraph"/>
        <w:widowControl/>
      </w:pPr>
      <w:r>
        <w:rPr>
          <w:bCs/>
          <w:b/>
        </w:rPr>
        <w:t xml:space="preserve">背景。</w:t>
      </w:r>
      <w:r>
        <w:t xml:space="preserve"> </w:t>
      </w:r>
      <w:r>
        <w:t xml:space="preserve">回帰モデルは、学習時に十分経験していない入力にも通常は数値を返す。生存モデルも同様に生存曲線やリスクを返す。しかし、予測を出せることは、その予測が学習データによって十分支持されていることを意味しない。[pp.1–2]</w:t>
      </w:r>
    </w:p>
    <w:p>
      <w:pPr>
        <w:pStyle w:val="BodyText"/>
        <w:widowControl/>
      </w:pPr>
      <w:r>
        <w:rPr>
          <w:bCs/>
          <w:b/>
        </w:rPr>
        <w:t xml:space="preserve">重要性。</w:t>
      </w:r>
      <w:r>
        <w:t xml:space="preserve"> </w:t>
      </w:r>
      <w:r>
        <w:t xml:space="preserve">監視・判断に予測を使う場合、入力の単変量範囲だけを確認しても、各変数が範囲内にある組合せ異常を見逃す可能性がある。【考察：社会インフラへの対応】</w:t>
      </w:r>
    </w:p>
    <w:p>
      <w:pPr>
        <w:pStyle w:val="BodyText"/>
        <w:widowControl/>
      </w:pPr>
      <w:r>
        <w:rPr>
          <w:bCs/>
          <w:b/>
        </w:rPr>
        <w:t xml:space="preserve">従来法の不足。</w:t>
      </w:r>
      <w:r>
        <w:t xml:space="preserve"> </w:t>
      </w:r>
      <w:r>
        <w:t xml:space="preserve">分類用OOD手法はクラス確率や深層表現に依存することが多く、回帰・生存解析にそのまま適用しにくい。全入力空間の距離・密度は、予測に無関係な多数の変数によって信号が薄まることがある。予測不確実性も、重要な入力座標に明示的に限定されるとは限らない。[§2]</w:t>
      </w:r>
    </w:p>
    <w:p>
      <w:pPr>
        <w:pStyle w:val="BodyText"/>
        <w:widowControl/>
      </w:pPr>
      <w:r>
        <w:rPr>
          <w:bCs/>
          <w:b/>
        </w:rPr>
        <w:t xml:space="preserve">中心的な問い。</w:t>
      </w:r>
      <w:r>
        <w:t xml:space="preserve"> </w:t>
      </w:r>
      <w:r>
        <w:t xml:space="preserve">一つの教師ありフォレストを使い、重要な変数、比較すべき学習事例、入力の逸脱度を一貫して決定できるか。</w:t>
      </w:r>
    </w:p>
    <w:p>
      <w:pPr>
        <w:pStyle w:val="BodyText"/>
        <w:widowControl/>
      </w:pPr>
      <w:r>
        <w:rPr>
          <w:bCs/>
          <w:b/>
        </w:rPr>
        <w:t xml:space="preserve">中心的な仮定。</w:t>
      </w:r>
      <w:r>
        <w:t xml:space="preserve"> </w:t>
      </w:r>
      <w:r>
        <w:t xml:space="preserve">学習母集団の条件付き出力分布は一部の座標で説明でき、その座標をフォレストとVarProが近似できること、ルール緩和から得た近傍が予測に関係する局所構造を表すことである。後二者は有限標本・モデル品質に依存し、普遍的な保証ではない。</w:t>
      </w:r>
    </w:p>
    <w:p>
      <w:pPr>
        <w:pStyle w:val="BodyText"/>
        <w:widowControl/>
      </w:pPr>
      <w:r>
        <w:rPr>
          <w:bCs/>
          <w:b/>
        </w:rPr>
        <w:t xml:space="preserve">示そうとしていること。</w:t>
      </w:r>
      <w:r>
        <w:t xml:space="preserve"> </w:t>
      </w:r>
      <w:r>
        <w:t xml:space="preserve">予測に関連するいくつかの共変量の変化に対して、統合したスコアがOOD順位付けを改善し、応用上の解釈にも役立つことを実験で示す。あらゆるOODの検出、誤差確率の推定、制御系の安全性を証明する論文ではない。</w:t>
      </w:r>
    </w:p>
    <w:bookmarkEnd w:id="22"/>
    <w:bookmarkStart w:id="23" w:name="学習外の定義と実際の検出対象"/>
    <w:p>
      <w:pPr>
        <w:pStyle w:val="Heading3"/>
        <w:widowControl/>
      </w:pPr>
      <w:r>
        <w:rPr>
          <w:color w:val="000000"/>
        </w:rPr>
        <w:t xml:space="preserve">1.2 「学習外」の定義と実際の検出対象</w:t>
      </w:r>
    </w:p>
    <w:p>
      <w:pPr>
        <w:pStyle w:val="FirstParagraph"/>
        <w:widowControl/>
      </w:pPr>
      <w:r>
        <w:t xml:space="preserve">【論文、p.2】学習分布を</w:t>
      </w:r>
      <m:oMath>
        <m:sSub>
          <m:e>
            <m:r>
              <m:t>P</m:t>
              <w:rPr>
                <w:rFonts w:ascii="Cambria Math" w:hAnsi="Cambria Math"/>
              </w:rPr>
            </m:r>
          </m:e>
          <m:sub>
            <m:r>
              <m:t>X</m:t>
              <w:rPr>
                <w:rFonts w:ascii="Cambria Math" w:hAnsi="Cambria Math"/>
              </w:rPr>
            </m:r>
            <m:r>
              <m:rPr>
                <m:sty m:val="p"/>
              </m:rPr>
              <m:t>,</m:t>
              <w:rPr>
                <w:rFonts w:ascii="Cambria Math" w:hAnsi="Cambria Math"/>
              </w:rPr>
            </m:r>
            <m:r>
              <m:t>Y</m:t>
              <w:rPr>
                <w:rFonts w:ascii="Cambria Math" w:hAnsi="Cambria Math"/>
              </w:rPr>
            </m:r>
          </m:sub>
        </m:sSub>
      </m:oMath>
      <w:r>
        <w:t xml:space="preserve">、テスト分布を</w:t>
      </w:r>
      <m:oMath>
        <m:sSubSup>
          <m:e>
            <m:r>
              <m:t>P</m:t>
              <w:rPr>
                <w:rFonts w:ascii="Cambria Math" w:hAnsi="Cambria Math"/>
              </w:rPr>
            </m:r>
          </m:e>
          <m:sub>
            <m:r>
              <m:t>X</m:t>
              <w:rPr>
                <w:rFonts w:ascii="Cambria Math" w:hAnsi="Cambria Math"/>
              </w:rPr>
            </m:r>
            <m:r>
              <m:rPr>
                <m:sty m:val="p"/>
              </m:rPr>
              <m:t>,</m:t>
              <w:rPr>
                <w:rFonts w:ascii="Cambria Math" w:hAnsi="Cambria Math"/>
              </w:rPr>
            </m:r>
            <m:r>
              <m:t>Y</m:t>
              <w:rPr>
                <w:rFonts w:ascii="Cambria Math" w:hAnsi="Cambria Math"/>
              </w:rPr>
            </m:r>
          </m:sub>
          <m:sup>
            <m:r>
              <m:rPr>
                <m:sty m:val="p"/>
              </m:rPr>
              <m:t>*</m:t>
              <w:rPr>
                <w:rFonts w:ascii="Cambria Math" w:hAnsi="Cambria Math"/>
              </w:rPr>
            </m:r>
          </m:sup>
        </m:sSubSup>
      </m:oMath>
      <w:r>
        <w:t xml:space="preserve">とすると、広い意味のOODは</w:t>
      </w:r>
    </w:p>
    <w:p>
      <w:pPr>
        <w:pStyle w:val="BodyText"/>
        <w:widowControl/>
      </w:pPr>
      <m:oMathPara>
        <m:oMathParaPr>
          <m:jc m:val="center"/>
        </m:oMathParaPr>
        <m:oMath>
          <m:sSubSup>
            <m:e>
              <m:r>
                <m:t>P</m:t>
                <w:rPr>
                  <w:rFonts w:ascii="Cambria Math" w:hAnsi="Cambria Math"/>
                </w:rPr>
              </m:r>
            </m:e>
            <m:sub>
              <m:r>
                <m:t>X</m:t>
                <w:rPr>
                  <w:rFonts w:ascii="Cambria Math" w:hAnsi="Cambria Math"/>
                </w:rPr>
              </m:r>
              <m:r>
                <m:rPr>
                  <m:sty m:val="p"/>
                </m:rPr>
                <m:t>,</m:t>
                <w:rPr>
                  <w:rFonts w:ascii="Cambria Math" w:hAnsi="Cambria Math"/>
                </w:rPr>
              </m:r>
              <m:r>
                <m:t>Y</m:t>
                <w:rPr>
                  <w:rFonts w:ascii="Cambria Math" w:hAnsi="Cambria Math"/>
                </w:rPr>
              </m:r>
            </m:sub>
            <m:sup>
              <m:r>
                <m:rPr>
                  <m:sty m:val="p"/>
                </m:rPr>
                <m:t>*</m:t>
                <w:rPr>
                  <w:rFonts w:ascii="Cambria Math" w:hAnsi="Cambria Math"/>
                </w:rPr>
              </m:r>
            </m:sup>
          </m:sSubSup>
          <m:r>
            <m:rPr>
              <m:sty m:val="p"/>
            </m:rPr>
            <m:t>≠</m:t>
            <w:rPr>
              <w:rFonts w:ascii="Cambria Math" w:hAnsi="Cambria Math"/>
            </w:rPr>
          </m:r>
          <m:sSub>
            <m:e>
              <m:r>
                <m:t>P</m:t>
                <w:rPr>
                  <w:rFonts w:ascii="Cambria Math" w:hAnsi="Cambria Math"/>
                </w:rPr>
              </m:r>
            </m:e>
            <m:sub>
              <m:r>
                <m:t>X</m:t>
                <w:rPr>
                  <w:rFonts w:ascii="Cambria Math" w:hAnsi="Cambria Math"/>
                </w:rPr>
              </m:r>
              <m:r>
                <m:rPr>
                  <m:sty m:val="p"/>
                </m:rPr>
                <m:t>,</m:t>
                <w:rPr>
                  <w:rFonts w:ascii="Cambria Math" w:hAnsi="Cambria Math"/>
                </w:rPr>
              </m:r>
              <m:r>
                <m:t>Y</m:t>
                <w:rPr>
                  <w:rFonts w:ascii="Cambria Math" w:hAnsi="Cambria Math"/>
                </w:rPr>
              </m:r>
            </m:sub>
          </m:sSub>
        </m:oMath>
      </m:oMathPara>
    </w:p>
    <w:p>
      <w:pPr>
        <w:pStyle w:val="FirstParagraph"/>
        <w:widowControl/>
      </w:pPr>
      <w:r>
        <w:t xml:space="preserve">である。</w:t>
      </w:r>
      <m:oMath>
        <m:r>
          <m:t>X</m:t>
          <w:rPr>
            <w:rFonts w:ascii="Cambria Math" w:hAnsi="Cambria Math"/>
          </w:rPr>
        </m:r>
      </m:oMath>
      <w:r>
        <w:t xml:space="preserve">は入力、</w:t>
      </w:r>
      <m:oMath>
        <m:r>
          <m:t>Y</m:t>
          <w:rPr>
            <w:rFonts w:ascii="Cambria Math" w:hAnsi="Cambria Math"/>
          </w:rPr>
        </m:r>
      </m:oMath>
      <w:r>
        <w:t xml:space="preserve">は目的変数。結合分布は入力分布</w:t>
      </w:r>
      <m:oMath>
        <m:sSub>
          <m:e>
            <m:r>
              <m:t>P</m:t>
              <w:rPr>
                <w:rFonts w:ascii="Cambria Math" w:hAnsi="Cambria Math"/>
              </w:rPr>
            </m:r>
          </m:e>
          <m:sub>
            <m:r>
              <m:t>X</m:t>
              <w:rPr>
                <w:rFonts w:ascii="Cambria Math" w:hAnsi="Cambria Math"/>
              </w:rPr>
            </m:r>
          </m:sub>
        </m:sSub>
      </m:oMath>
      <w:r>
        <w:t xml:space="preserve">と条件付き分布</w:t>
      </w:r>
      <m:oMath>
        <m:sSub>
          <m:e>
            <m:r>
              <m:t>P</m:t>
              <w:rPr>
                <w:rFonts w:ascii="Cambria Math" w:hAnsi="Cambria Math"/>
              </w:rPr>
            </m:r>
          </m:e>
          <m:sub>
            <m:r>
              <m:t>Y</m:t>
              <w:rPr>
                <w:rFonts w:ascii="Cambria Math" w:hAnsi="Cambria Math"/>
              </w:rPr>
            </m:r>
            <m:r>
              <m:rPr>
                <m:sty m:val="p"/>
              </m:rPr>
              <m:t>∣</m:t>
              <w:rPr>
                <w:rFonts w:ascii="Cambria Math" w:hAnsi="Cambria Math"/>
              </w:rPr>
            </m:r>
            <m:r>
              <m:t>X</m:t>
              <w:rPr>
                <w:rFonts w:ascii="Cambria Math" w:hAnsi="Cambria Math"/>
              </w:rPr>
            </m:r>
          </m:sub>
        </m:sSub>
      </m:oMath>
      <w:r>
        <w:t xml:space="preserve">に分けられる。</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種類</w:t>
            </w:r>
          </w:p>
        </w:tc>
        <w:tc>
          <w:tcPr>
            <w:tcW w:type="dxa" w:w="3946"/>
            <w:vAlign w:val="center"/>
            <w:shd w:fill="E7EDF3"/>
          </w:tcPr>
          <w:p>
            <w:pPr>
              <w:pStyle w:val="Compact"/>
              <w:keepNext w:val="0"/>
              <w:spacing w:after="40" w:before="40" w:line="264" w:lineRule="auto"/>
              <w:jc w:val="left"/>
            </w:pPr>
            <w:r>
              <w:rPr>
                <w:b/>
                <w:color w:val="000000"/>
                <w:sz w:val="19"/>
              </w:rPr>
              <w:t xml:space="preserve">意味</w:t>
            </w:r>
          </w:p>
        </w:tc>
        <w:tc>
          <w:tcPr>
            <w:tcW w:type="dxa" w:w="3749"/>
            <w:vAlign w:val="center"/>
            <w:shd w:fill="E7EDF3"/>
          </w:tcPr>
          <w:p>
            <w:pPr>
              <w:pStyle w:val="Compact"/>
              <w:keepNext w:val="0"/>
              <w:spacing w:after="40" w:before="40" w:line="264" w:lineRule="auto"/>
              <w:jc w:val="left"/>
            </w:pPr>
            <w:r>
              <w:rPr>
                <w:b/>
                <w:color w:val="000000"/>
                <w:sz w:val="19"/>
              </w:rPr>
              <w:t xml:space="preserve">OutProとの関係</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入力範囲外</w:t>
            </w:r>
          </w:p>
        </w:tc>
        <w:tc>
          <w:tcPr>
            <w:tcW w:type="dxa" w:w="3946"/>
            <w:vAlign w:val="center"/>
            <w:shd w:fill="FFFFFF"/>
          </w:tcPr>
          <w:p>
            <w:pPr>
              <w:pStyle w:val="Compact"/>
              <w:keepNext w:val="0"/>
              <w:spacing w:after="40" w:before="40" w:line="264" w:lineRule="auto"/>
              <w:jc w:val="left"/>
            </w:pPr>
            <w:r>
              <w:rPr>
                <w:color w:val="000000"/>
                <w:sz w:val="19"/>
              </w:rPr>
              <w:t xml:space="preserve">理論的支持または観測範囲を超える</w:t>
            </w:r>
          </w:p>
        </w:tc>
        <w:tc>
          <w:tcPr>
            <w:tcW w:type="dxa" w:w="3749"/>
            <w:vAlign w:val="center"/>
            <w:shd w:fill="FFFFFF"/>
          </w:tcPr>
          <w:p>
            <w:pPr>
              <w:pStyle w:val="Compact"/>
              <w:keepNext w:val="0"/>
              <w:spacing w:after="40" w:before="40" w:line="264" w:lineRule="auto"/>
              <w:jc w:val="left"/>
            </w:pPr>
            <w:r>
              <w:rPr>
                <w:color w:val="000000"/>
                <w:sz w:val="19"/>
              </w:rPr>
              <w:t xml:space="preserve">Friedmanの越境ラベル、supportで評価。理論的支持と標本の最小・最大は別</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低密度領域</w:t>
            </w:r>
          </w:p>
        </w:tc>
        <w:tc>
          <w:tcPr>
            <w:tcW w:type="dxa" w:w="3946"/>
            <w:vAlign w:val="center"/>
            <w:shd w:fill="F7F8FA"/>
          </w:tcPr>
          <w:p>
            <w:pPr>
              <w:pStyle w:val="Compact"/>
              <w:keepNext w:val="0"/>
              <w:spacing w:after="40" w:before="40" w:line="264" w:lineRule="auto"/>
              <w:jc w:val="left"/>
            </w:pPr>
            <w:r>
              <w:rPr>
                <w:color w:val="000000"/>
                <w:sz w:val="19"/>
              </w:rPr>
              <w:t xml:space="preserve">学習分布で出現しにくい</w:t>
            </w:r>
          </w:p>
        </w:tc>
        <w:tc>
          <w:tcPr>
            <w:tcW w:type="dxa" w:w="3749"/>
            <w:vAlign w:val="center"/>
            <w:shd w:fill="F7F8FA"/>
          </w:tcPr>
          <w:p>
            <w:pPr>
              <w:pStyle w:val="Compact"/>
              <w:keepNext w:val="0"/>
              <w:spacing w:after="40" w:before="40" w:line="264" w:lineRule="auto"/>
              <w:jc w:val="left"/>
            </w:pPr>
            <w:r>
              <w:rPr>
                <w:color w:val="000000"/>
                <w:sz w:val="19"/>
              </w:rPr>
              <w:t xml:space="preserve">大きな距離になり得るが、明示的密度推定ではない。warpが関連</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未知の組合せ・相関</w:t>
            </w:r>
          </w:p>
        </w:tc>
        <w:tc>
          <w:tcPr>
            <w:tcW w:type="dxa" w:w="3946"/>
            <w:vAlign w:val="center"/>
            <w:shd w:fill="FFFFFF"/>
          </w:tcPr>
          <w:p>
            <w:pPr>
              <w:pStyle w:val="Compact"/>
              <w:keepNext w:val="0"/>
              <w:spacing w:after="40" w:before="40" w:line="264" w:lineRule="auto"/>
              <w:jc w:val="left"/>
            </w:pPr>
            <w:r>
              <w:rPr>
                <w:color w:val="000000"/>
                <w:sz w:val="19"/>
              </w:rPr>
              <w:t xml:space="preserve">各変数は範囲内でも結合関係が不自然</w:t>
            </w:r>
          </w:p>
        </w:tc>
        <w:tc>
          <w:tcPr>
            <w:tcW w:type="dxa" w:w="3749"/>
            <w:vAlign w:val="center"/>
            <w:shd w:fill="FFFFFF"/>
          </w:tcPr>
          <w:p>
            <w:pPr>
              <w:pStyle w:val="Compact"/>
              <w:keepNext w:val="0"/>
              <w:spacing w:after="40" w:before="40" w:line="264" w:lineRule="auto"/>
              <w:jc w:val="left"/>
            </w:pPr>
            <w:r>
              <w:rPr>
                <w:color w:val="000000"/>
                <w:sz w:val="19"/>
              </w:rPr>
              <w:t xml:space="preserve">jointが最も関連。ただし生成後の周辺分布が完全不変とは限らない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共変量の変化</w:t>
            </w:r>
          </w:p>
        </w:tc>
        <w:tc>
          <w:tcPr>
            <w:tcW w:type="dxa" w:w="3946"/>
            <w:vAlign w:val="center"/>
            <w:shd w:fill="F7F8FA"/>
          </w:tcPr>
          <w:p>
            <w:pPr>
              <w:pStyle w:val="Compact"/>
              <w:keepNext w:val="0"/>
              <w:spacing w:after="40" w:before="40" w:line="264" w:lineRule="auto"/>
              <w:jc w:val="left"/>
            </w:pPr>
            <m:oMath>
              <m:sSubSup>
                <m:e>
                  <m:r>
                    <m:t>P</m:t>
                    <w:rPr>
                      <w:rFonts w:ascii="Cambria Math" w:hAnsi="Cambria Math"/>
                    </w:rPr>
                  </m:r>
                </m:e>
                <m:sub>
                  <m:r>
                    <m:t>X</m:t>
                    <w:rPr>
                      <w:rFonts w:ascii="Cambria Math" w:hAnsi="Cambria Math"/>
                    </w:rPr>
                  </m:r>
                </m:sub>
                <m:sup>
                  <m:r>
                    <m:rPr>
                      <m:sty m:val="p"/>
                    </m:rPr>
                    <m:t>*</m:t>
                    <w:rPr>
                      <w:rFonts w:ascii="Cambria Math" w:hAnsi="Cambria Math"/>
                    </w:rPr>
                  </m:r>
                </m:sup>
              </m:sSubSup>
              <m:r>
                <m:rPr>
                  <m:sty m:val="p"/>
                </m:rPr>
                <m:t>≠</m:t>
                <w:rPr>
                  <w:rFonts w:ascii="Cambria Math" w:hAnsi="Cambria Math"/>
                </w:rPr>
              </m:r>
              <m:sSub>
                <m:e>
                  <m:r>
                    <m:t>P</m:t>
                    <w:rPr>
                      <w:rFonts w:ascii="Cambria Math" w:hAnsi="Cambria Math"/>
                    </w:rPr>
                  </m:r>
                </m:e>
                <m:sub>
                  <m:r>
                    <m:t>X</m:t>
                    <w:rPr>
                      <w:rFonts w:ascii="Cambria Math" w:hAnsi="Cambria Math"/>
                    </w:rPr>
                  </m:r>
                </m:sub>
              </m:sSub>
            </m:oMath>
            <w:r>
              <w:rPr>
                <w:color w:val="000000"/>
                <w:sz w:val="19"/>
              </w:rPr>
              <w:t xml:space="preserve">。厳密なcovariate shiftは条件付き出力分布不変も要求</w:t>
            </w:r>
          </w:p>
        </w:tc>
        <w:tc>
          <w:tcPr>
            <w:tcW w:type="dxa" w:w="3749"/>
            <w:vAlign w:val="center"/>
            <w:shd w:fill="F7F8FA"/>
          </w:tcPr>
          <w:p>
            <w:pPr>
              <w:pStyle w:val="Compact"/>
              <w:keepNext w:val="0"/>
              <w:spacing w:after="40" w:before="40" w:line="264" w:lineRule="auto"/>
              <w:jc w:val="left"/>
            </w:pPr>
            <w:r>
              <w:rPr>
                <w:color w:val="000000"/>
                <w:sz w:val="19"/>
              </w:rPr>
              <w:t xml:space="preserve">主な検出対象。人工異常では条件付き分布の不変性まで検証していない</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純粋な概念ドリフト</w:t>
            </w:r>
          </w:p>
        </w:tc>
        <w:tc>
          <w:tcPr>
            <w:tcW w:type="dxa" w:w="3946"/>
            <w:vAlign w:val="center"/>
            <w:shd w:fill="FFFFFF"/>
          </w:tcPr>
          <w:p>
            <w:pPr>
              <w:pStyle w:val="Compact"/>
              <w:keepNext w:val="0"/>
              <w:spacing w:after="40" w:before="40" w:line="264" w:lineRule="auto"/>
              <w:jc w:val="left"/>
            </w:pPr>
            <m:oMath>
              <m:sSubSup>
                <m:e>
                  <m:r>
                    <m:t>P</m:t>
                    <w:rPr>
                      <w:rFonts w:ascii="Cambria Math" w:hAnsi="Cambria Math"/>
                    </w:rPr>
                  </m:r>
                </m:e>
                <m:sub>
                  <m:r>
                    <m:t>X</m:t>
                    <w:rPr>
                      <w:rFonts w:ascii="Cambria Math" w:hAnsi="Cambria Math"/>
                    </w:rPr>
                  </m:r>
                </m:sub>
                <m:sup>
                  <m:r>
                    <m:rPr>
                      <m:sty m:val="p"/>
                    </m:rPr>
                    <m:t>*</m:t>
                    <w:rPr>
                      <w:rFonts w:ascii="Cambria Math" w:hAnsi="Cambria Math"/>
                    </w:rPr>
                  </m:r>
                </m:sup>
              </m:sSubSup>
              <m:r>
                <m:rPr>
                  <m:sty m:val="p"/>
                </m:rPr>
                <m:t>=</m:t>
                <w:rPr>
                  <w:rFonts w:ascii="Cambria Math" w:hAnsi="Cambria Math"/>
                </w:rPr>
              </m:r>
              <m:sSub>
                <m:e>
                  <m:r>
                    <m:t>P</m:t>
                    <w:rPr>
                      <w:rFonts w:ascii="Cambria Math" w:hAnsi="Cambria Math"/>
                    </w:rPr>
                  </m:r>
                </m:e>
                <m:sub>
                  <m:r>
                    <m:t>X</m:t>
                    <w:rPr>
                      <w:rFonts w:ascii="Cambria Math" w:hAnsi="Cambria Math"/>
                    </w:rPr>
                  </m:r>
                </m:sub>
              </m:sSub>
            </m:oMath>
            <w:r>
              <w:rPr>
                <w:color w:val="000000"/>
                <w:sz w:val="19"/>
              </w:rPr>
              <w:t xml:space="preserve">、</w:t>
            </w:r>
            <m:oMath>
              <m:sSubSup>
                <m:e>
                  <m:r>
                    <m:t>P</m:t>
                    <w:rPr>
                      <w:rFonts w:ascii="Cambria Math" w:hAnsi="Cambria Math"/>
                    </w:rPr>
                  </m:r>
                </m:e>
                <m:sub>
                  <m:r>
                    <m:t>Y</m:t>
                    <w:rPr>
                      <w:rFonts w:ascii="Cambria Math" w:hAnsi="Cambria Math"/>
                    </w:rPr>
                  </m:r>
                  <m:r>
                    <m:rPr>
                      <m:sty m:val="p"/>
                    </m:rPr>
                    <m:t>∣</m:t>
                    <w:rPr>
                      <w:rFonts w:ascii="Cambria Math" w:hAnsi="Cambria Math"/>
                    </w:rPr>
                  </m:r>
                  <m:r>
                    <m:t>X</m:t>
                    <w:rPr>
                      <w:rFonts w:ascii="Cambria Math" w:hAnsi="Cambria Math"/>
                    </w:rPr>
                  </m:r>
                </m:sub>
                <m:sup>
                  <m:r>
                    <m:rPr>
                      <m:sty m:val="p"/>
                    </m:rPr>
                    <m:t>*</m:t>
                    <w:rPr>
                      <w:rFonts w:ascii="Cambria Math" w:hAnsi="Cambria Math"/>
                    </w:rPr>
                  </m:r>
                </m:sup>
              </m:sSubSup>
              <m:r>
                <m:rPr>
                  <m:sty m:val="p"/>
                </m:rPr>
                <m:t>≠</m:t>
                <w:rPr>
                  <w:rFonts w:ascii="Cambria Math" w:hAnsi="Cambria Math"/>
                </w:rPr>
              </m:r>
              <m:sSub>
                <m:e>
                  <m:r>
                    <m:t>P</m:t>
                    <w:rPr>
                      <w:rFonts w:ascii="Cambria Math" w:hAnsi="Cambria Math"/>
                    </w:rPr>
                  </m:r>
                </m:e>
                <m:sub>
                  <m:r>
                    <m:t>Y</m:t>
                    <w:rPr>
                      <w:rFonts w:ascii="Cambria Math" w:hAnsi="Cambria Math"/>
                    </w:rPr>
                  </m:r>
                  <m:r>
                    <m:rPr>
                      <m:sty m:val="p"/>
                    </m:rPr>
                    <m:t>∣</m:t>
                    <w:rPr>
                      <w:rFonts w:ascii="Cambria Math" w:hAnsi="Cambria Math"/>
                    </w:rPr>
                  </m:r>
                  <m:r>
                    <m:t>X</m:t>
                    <w:rPr>
                      <w:rFonts w:ascii="Cambria Math" w:hAnsi="Cambria Math"/>
                    </w:rPr>
                  </m:r>
                </m:sub>
              </m:sSub>
            </m:oMath>
          </w:p>
        </w:tc>
        <w:tc>
          <w:tcPr>
            <w:tcW w:type="dxa" w:w="3749"/>
            <w:vAlign w:val="center"/>
            <w:shd w:fill="FFFFFF"/>
          </w:tcPr>
          <w:p>
            <w:pPr>
              <w:pStyle w:val="Compact"/>
              <w:keepNext w:val="0"/>
              <w:spacing w:after="40" w:before="40" w:line="264" w:lineRule="auto"/>
              <w:jc w:val="left"/>
            </w:pPr>
            <w:r>
              <w:rPr>
                <w:color w:val="000000"/>
                <w:sz w:val="19"/>
              </w:rPr>
              <w:t xml:space="preserve">検出不可能と著者が明記</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無関係変数だけの変化</w:t>
            </w:r>
          </w:p>
        </w:tc>
        <w:tc>
          <w:tcPr>
            <w:tcW w:type="dxa" w:w="3946"/>
            <w:vAlign w:val="center"/>
            <w:shd w:fill="F7F8FA"/>
          </w:tcPr>
          <w:p>
            <w:pPr>
              <w:pStyle w:val="Compact"/>
              <w:keepNext w:val="0"/>
              <w:spacing w:after="40" w:before="40" w:line="264" w:lineRule="auto"/>
              <w:jc w:val="left"/>
            </w:pPr>
            <w:r>
              <w:rPr>
                <w:color w:val="000000"/>
                <w:sz w:val="19"/>
              </w:rPr>
              <w:t xml:space="preserve">入力全体は異なるが予測信号は変わらない</w:t>
            </w:r>
          </w:p>
        </w:tc>
        <w:tc>
          <w:tcPr>
            <w:tcW w:type="dxa" w:w="3749"/>
            <w:vAlign w:val="center"/>
            <w:shd w:fill="F7F8FA"/>
          </w:tcPr>
          <w:p>
            <w:pPr>
              <w:pStyle w:val="Compact"/>
              <w:keepNext w:val="0"/>
              <w:spacing w:after="40" w:before="40" w:line="264" w:lineRule="auto"/>
              <w:jc w:val="left"/>
            </w:pPr>
            <w:r>
              <w:rPr>
                <w:color w:val="000000"/>
                <w:sz w:val="19"/>
              </w:rPr>
              <w:t xml:space="preserve">影響を弱める設計。ただし全ての無関係変化に完全不変という定理ではない</w:t>
            </w:r>
          </w:p>
        </w:tc>
      </w:tr>
    </w:tbl>
    <w:p>
      <w:pPr>
        <w:pStyle w:val="BodyText"/>
        <w:widowControl/>
      </w:pPr>
      <w:r>
        <w:t xml:space="preserve">【導出】固定した学習済みモデルに対して</w:t>
      </w:r>
      <m:oMath>
        <m:r>
          <m:t>d</m:t>
          <w:rPr>
            <w:rFonts w:ascii="Cambria Math" w:hAnsi="Cambria Math"/>
          </w:rPr>
        </m:r>
        <m:r>
          <m:rPr>
            <m:sty m:val="p"/>
          </m:rPr>
          <m:t>=</m:t>
          <w:rPr>
            <w:rFonts w:ascii="Cambria Math" w:hAnsi="Cambria Math"/>
          </w:rPr>
        </m:r>
        <m:r>
          <m:t>g</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acc>
          <m:accPr>
            <m:chr m:val="̂"/>
          </m:accPr>
          <m:e>
            <m:r>
              <m:t>f</m:t>
              <w:rPr>
                <w:rFonts w:ascii="Cambria Math" w:hAnsi="Cambria Math"/>
              </w:rPr>
            </m:r>
          </m:e>
        </m:acc>
        <m:r>
          <m:rPr>
            <m:sty m:val="p"/>
          </m:rPr>
          <m:t>,</m:t>
          <w:rPr>
            <w:rFonts w:ascii="Cambria Math" w:hAnsi="Cambria Math"/>
          </w:rPr>
        </m:r>
        <m:r>
          <m:rPr>
            <m:sty m:val="p"/>
            <m:scr m:val="script"/>
          </m:rPr>
          <m:t>L</m:t>
          <w:rPr>
            <w:rFonts w:ascii="Cambria Math" w:hAnsi="Cambria Math"/>
          </w:rPr>
        </m:r>
        <m:r>
          <m:rPr>
            <m:sty m:val="p"/>
          </m:rPr>
          <m:t>)</m:t>
          <w:rPr>
            <w:rFonts w:ascii="Cambria Math" w:hAnsi="Cambria Math"/>
          </w:rPr>
        </m:r>
      </m:oMath>
      <w:r>
        <w:t xml:space="preserve">であるため、入力分布が同じならスコア分布も同じとなる。入力同士の関係の変化と、入力から出力への関係の変化は区別する必要がある。</w:t>
      </w:r>
    </w:p>
    <w:p>
      <w:pPr>
        <w:pStyle w:val="BodyText"/>
        <w:widowControl/>
      </w:pPr>
      <w:r>
        <w:t xml:space="preserve">また、分布全体の変化から個々の事例の正解OODラベルが自動的に決まるわけではない。Friedman実験は、別途「支持を超えたか」という個別ラベルを定めている。[§5.1.1]</w:t>
      </w:r>
    </w:p>
    <w:bookmarkEnd w:id="23"/>
    <w:bookmarkEnd w:id="24"/>
    <w:bookmarkStart w:id="25" w:name="論文の構成"/>
    <w:p>
      <w:pPr>
        <w:pStyle w:val="Heading2"/>
        <w:widowControl/>
      </w:pPr>
      <w:r>
        <w:rPr>
          <w:color w:val="000000"/>
        </w:rPr>
        <w:t xml:space="preserve">2. 論文の構成</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原論文の節</w:t>
            </w:r>
          </w:p>
        </w:tc>
        <w:tc>
          <w:tcPr>
            <w:tcW w:type="dxa" w:w="3946"/>
            <w:vAlign w:val="center"/>
            <w:shd w:fill="E7EDF3"/>
          </w:tcPr>
          <w:p>
            <w:pPr>
              <w:pStyle w:val="Compact"/>
              <w:keepNext w:val="0"/>
              <w:spacing w:after="40" w:before="40" w:line="264" w:lineRule="auto"/>
              <w:jc w:val="left"/>
            </w:pPr>
            <w:r>
              <w:rPr>
                <w:b/>
                <w:color w:val="000000"/>
                <w:sz w:val="19"/>
              </w:rPr>
              <w:t xml:space="preserve">頁</w:t>
            </w:r>
          </w:p>
        </w:tc>
        <w:tc>
          <w:tcPr>
            <w:tcW w:type="dxa" w:w="3749"/>
            <w:vAlign w:val="center"/>
            <w:shd w:fill="E7EDF3"/>
          </w:tcPr>
          <w:p>
            <w:pPr>
              <w:pStyle w:val="Compact"/>
              <w:keepNext w:val="0"/>
              <w:spacing w:after="40" w:before="40" w:line="264" w:lineRule="auto"/>
              <w:jc w:val="left"/>
            </w:pPr>
            <w:r>
              <w:rPr>
                <w:b/>
                <w:color w:val="000000"/>
                <w:sz w:val="19"/>
              </w:rPr>
              <w:t xml:space="preserve">役割</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1 Introduction、1.1–1.4</w:t>
            </w:r>
          </w:p>
        </w:tc>
        <w:tc>
          <w:tcPr>
            <w:tcW w:type="dxa" w:w="3946"/>
            <w:vAlign w:val="center"/>
            <w:shd w:fill="FFFFFF"/>
          </w:tcPr>
          <w:p>
            <w:pPr>
              <w:pStyle w:val="Compact"/>
              <w:keepNext w:val="0"/>
              <w:spacing w:after="40" w:before="40" w:line="264" w:lineRule="auto"/>
              <w:jc w:val="center"/>
            </w:pPr>
            <w:r>
              <w:rPr>
                <w:color w:val="000000"/>
                <w:sz w:val="19"/>
              </w:rPr>
              <w:t xml:space="preserve">1–4</w:t>
            </w:r>
          </w:p>
        </w:tc>
        <w:tc>
          <w:tcPr>
            <w:tcW w:type="dxa" w:w="3749"/>
            <w:vAlign w:val="center"/>
            <w:shd w:fill="FFFFFF"/>
          </w:tcPr>
          <w:p>
            <w:pPr>
              <w:pStyle w:val="Compact"/>
              <w:keepNext w:val="0"/>
              <w:spacing w:after="40" w:before="40" w:line="264" w:lineRule="auto"/>
              <w:jc w:val="left"/>
            </w:pPr>
            <w:r>
              <w:rPr>
                <w:color w:val="000000"/>
                <w:sz w:val="19"/>
              </w:rPr>
              <w:t xml:space="preserve">問題、予測部分空間、model-aware／subspace-aware、貢献</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2 Related work、2.1–2.4</w:t>
            </w:r>
          </w:p>
        </w:tc>
        <w:tc>
          <w:tcPr>
            <w:tcW w:type="dxa" w:w="3946"/>
            <w:vAlign w:val="center"/>
            <w:shd w:fill="F7F8FA"/>
          </w:tcPr>
          <w:p>
            <w:pPr>
              <w:pStyle w:val="Compact"/>
              <w:keepNext w:val="0"/>
              <w:spacing w:after="40" w:before="40" w:line="264" w:lineRule="auto"/>
              <w:jc w:val="center"/>
            </w:pPr>
            <w:r>
              <w:rPr>
                <w:color w:val="000000"/>
                <w:sz w:val="19"/>
              </w:rPr>
              <w:t xml:space="preserve">4–5</w:t>
            </w:r>
          </w:p>
        </w:tc>
        <w:tc>
          <w:tcPr>
            <w:tcW w:type="dxa" w:w="3749"/>
            <w:vAlign w:val="center"/>
            <w:shd w:fill="F7F8FA"/>
          </w:tcPr>
          <w:p>
            <w:pPr>
              <w:pStyle w:val="Compact"/>
              <w:keepNext w:val="0"/>
              <w:spacing w:after="40" w:before="40" w:line="264" w:lineRule="auto"/>
              <w:jc w:val="left"/>
            </w:pPr>
            <w:r>
              <w:rPr>
                <w:color w:val="000000"/>
                <w:sz w:val="19"/>
              </w:rPr>
              <w:t xml:space="preserve">モデル、幾何、密度、不確実性、校正の位置づけ</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3 Methodology、3.1–3.4</w:t>
            </w:r>
          </w:p>
        </w:tc>
        <w:tc>
          <w:tcPr>
            <w:tcW w:type="dxa" w:w="3946"/>
            <w:vAlign w:val="center"/>
            <w:shd w:fill="FFFFFF"/>
          </w:tcPr>
          <w:p>
            <w:pPr>
              <w:pStyle w:val="Compact"/>
              <w:keepNext w:val="0"/>
              <w:spacing w:after="40" w:before="40" w:line="264" w:lineRule="auto"/>
              <w:jc w:val="center"/>
            </w:pPr>
            <w:r>
              <w:rPr>
                <w:color w:val="000000"/>
                <w:sz w:val="19"/>
              </w:rPr>
              <w:t xml:space="preserve">6–10</w:t>
            </w:r>
          </w:p>
        </w:tc>
        <w:tc>
          <w:tcPr>
            <w:tcW w:type="dxa" w:w="3749"/>
            <w:vAlign w:val="center"/>
            <w:shd w:fill="FFFFFF"/>
          </w:tcPr>
          <w:p>
            <w:pPr>
              <w:pStyle w:val="Compact"/>
              <w:keepNext w:val="0"/>
              <w:spacing w:after="40" w:before="40" w:line="264" w:lineRule="auto"/>
              <w:jc w:val="left"/>
            </w:pPr>
            <w:r>
              <w:rPr>
                <w:color w:val="000000"/>
                <w:sz w:val="19"/>
              </w:rPr>
              <w:t xml:space="preserve">VarPro、ルール緩和、頻度、近傍、距離。Algorithm 1、Table 1</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4 Comparison methods</w:t>
            </w:r>
          </w:p>
        </w:tc>
        <w:tc>
          <w:tcPr>
            <w:tcW w:type="dxa" w:w="3946"/>
            <w:vAlign w:val="center"/>
            <w:shd w:fill="F7F8FA"/>
          </w:tcPr>
          <w:p>
            <w:pPr>
              <w:pStyle w:val="Compact"/>
              <w:keepNext w:val="0"/>
              <w:spacing w:after="40" w:before="40" w:line="264" w:lineRule="auto"/>
              <w:jc w:val="center"/>
            </w:pPr>
            <w:r>
              <w:rPr>
                <w:color w:val="000000"/>
                <w:sz w:val="19"/>
              </w:rPr>
              <w:t xml:space="preserve">10–11</w:t>
            </w:r>
          </w:p>
        </w:tc>
        <w:tc>
          <w:tcPr>
            <w:tcW w:type="dxa" w:w="3749"/>
            <w:vAlign w:val="center"/>
            <w:shd w:fill="F7F8FA"/>
          </w:tcPr>
          <w:p>
            <w:pPr>
              <w:pStyle w:val="Compact"/>
              <w:keepNext w:val="0"/>
              <w:spacing w:after="40" w:before="40" w:line="264" w:lineRule="auto"/>
              <w:jc w:val="left"/>
            </w:pPr>
            <w:r>
              <w:rPr>
                <w:color w:val="000000"/>
                <w:sz w:val="19"/>
              </w:rPr>
              <w:t xml:space="preserve">比較手法の実際のスコアと実装。Table 2</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5 Benchmarking、5.1–5.6</w:t>
            </w:r>
          </w:p>
        </w:tc>
        <w:tc>
          <w:tcPr>
            <w:tcW w:type="dxa" w:w="3946"/>
            <w:vAlign w:val="center"/>
            <w:shd w:fill="FFFFFF"/>
          </w:tcPr>
          <w:p>
            <w:pPr>
              <w:pStyle w:val="Compact"/>
              <w:keepNext w:val="0"/>
              <w:spacing w:after="40" w:before="40" w:line="264" w:lineRule="auto"/>
              <w:jc w:val="center"/>
            </w:pPr>
            <w:r>
              <w:rPr>
                <w:color w:val="000000"/>
                <w:sz w:val="19"/>
              </w:rPr>
              <w:t xml:space="preserve">11–23</w:t>
            </w:r>
          </w:p>
        </w:tc>
        <w:tc>
          <w:tcPr>
            <w:tcW w:type="dxa" w:w="3749"/>
            <w:vAlign w:val="center"/>
            <w:shd w:fill="FFFFFF"/>
          </w:tcPr>
          <w:p>
            <w:pPr>
              <w:pStyle w:val="Compact"/>
              <w:keepNext w:val="0"/>
              <w:spacing w:after="40" w:before="40" w:line="264" w:lineRule="auto"/>
              <w:jc w:val="left"/>
            </w:pPr>
            <w:r>
              <w:rPr>
                <w:color w:val="000000"/>
                <w:sz w:val="19"/>
              </w:rPr>
              <w:t xml:space="preserve">Friedman、Copula、PMLB、マイクロアレイ、感度分析、アブレーション</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6 症例研究</w:t>
            </w:r>
          </w:p>
        </w:tc>
        <w:tc>
          <w:tcPr>
            <w:tcW w:type="dxa" w:w="3946"/>
            <w:vAlign w:val="center"/>
            <w:shd w:fill="F7F8FA"/>
          </w:tcPr>
          <w:p>
            <w:pPr>
              <w:pStyle w:val="Compact"/>
              <w:keepNext w:val="0"/>
              <w:spacing w:after="40" w:before="40" w:line="264" w:lineRule="auto"/>
              <w:jc w:val="center"/>
            </w:pPr>
            <w:r>
              <w:rPr>
                <w:color w:val="000000"/>
                <w:sz w:val="19"/>
              </w:rPr>
              <w:t xml:space="preserve">23–24</w:t>
            </w:r>
          </w:p>
        </w:tc>
        <w:tc>
          <w:tcPr>
            <w:tcW w:type="dxa" w:w="3749"/>
            <w:vAlign w:val="center"/>
            <w:shd w:fill="F7F8FA"/>
          </w:tcPr>
          <w:p>
            <w:pPr>
              <w:pStyle w:val="Compact"/>
              <w:keepNext w:val="0"/>
              <w:spacing w:after="40" w:before="40" w:line="264" w:lineRule="auto"/>
              <w:jc w:val="left"/>
            </w:pPr>
            <w:r>
              <w:rPr>
                <w:color w:val="000000"/>
                <w:sz w:val="19"/>
              </w:rPr>
              <w:t xml:space="preserve">WECC食道癌データへの適用</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7 Summary and limitations</w:t>
            </w:r>
          </w:p>
        </w:tc>
        <w:tc>
          <w:tcPr>
            <w:tcW w:type="dxa" w:w="3946"/>
            <w:vAlign w:val="center"/>
            <w:shd w:fill="FFFFFF"/>
          </w:tcPr>
          <w:p>
            <w:pPr>
              <w:pStyle w:val="Compact"/>
              <w:keepNext w:val="0"/>
              <w:spacing w:after="40" w:before="40" w:line="264" w:lineRule="auto"/>
              <w:jc w:val="center"/>
            </w:pPr>
            <w:r>
              <w:rPr>
                <w:color w:val="000000"/>
                <w:sz w:val="19"/>
              </w:rPr>
              <w:t xml:space="preserve">24–26</w:t>
            </w:r>
          </w:p>
        </w:tc>
        <w:tc>
          <w:tcPr>
            <w:tcW w:type="dxa" w:w="3749"/>
            <w:vAlign w:val="center"/>
            <w:shd w:fill="FFFFFF"/>
          </w:tcPr>
          <w:p>
            <w:pPr>
              <w:pStyle w:val="Compact"/>
              <w:keepNext w:val="0"/>
              <w:spacing w:after="40" w:before="40" w:line="264" w:lineRule="auto"/>
              <w:jc w:val="left"/>
            </w:pPr>
            <w:r>
              <w:rPr>
                <w:color w:val="000000"/>
                <w:sz w:val="19"/>
              </w:rPr>
              <w:t xml:space="preserve">条件付きの利点、計算時間、限界</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声明・参考文献・著者紹介</w:t>
            </w:r>
          </w:p>
        </w:tc>
        <w:tc>
          <w:tcPr>
            <w:tcW w:type="dxa" w:w="3946"/>
            <w:vAlign w:val="center"/>
            <w:shd w:fill="F7F8FA"/>
          </w:tcPr>
          <w:p>
            <w:pPr>
              <w:pStyle w:val="Compact"/>
              <w:keepNext w:val="0"/>
              <w:spacing w:after="40" w:before="40" w:line="264" w:lineRule="auto"/>
              <w:jc w:val="center"/>
            </w:pPr>
            <w:r>
              <w:rPr>
                <w:color w:val="000000"/>
                <w:sz w:val="19"/>
              </w:rPr>
              <w:t xml:space="preserve">26–30</w:t>
            </w:r>
          </w:p>
        </w:tc>
        <w:tc>
          <w:tcPr>
            <w:tcW w:type="dxa" w:w="3749"/>
            <w:vAlign w:val="center"/>
            <w:shd w:fill="F7F8FA"/>
          </w:tcPr>
          <w:p>
            <w:pPr>
              <w:pStyle w:val="Compact"/>
              <w:keepNext w:val="0"/>
              <w:spacing w:after="40" w:before="40" w:line="264" w:lineRule="auto"/>
              <w:jc w:val="left"/>
            </w:pPr>
            <w:r>
              <w:rPr>
                <w:color w:val="000000"/>
                <w:sz w:val="19"/>
              </w:rPr>
              <w:t xml:space="preserve">公開性、ライセンス、出典</w:t>
            </w:r>
          </w:p>
        </w:tc>
      </w:tr>
    </w:tbl>
    <w:p>
      <w:pPr>
        <w:pStyle w:val="BodyText"/>
        <w:widowControl/>
      </w:pPr>
      <w:r>
        <w:t xml:space="preserve">独立したDiscussion節はなく、結果の解釈と§7が議論を担う。</w:t>
      </w:r>
    </w:p>
    <w:bookmarkEnd w:id="25"/>
    <w:bookmarkStart w:id="38" w:name="各重要節の精読"/>
    <w:p>
      <w:pPr>
        <w:pStyle w:val="Heading2"/>
        <w:widowControl/>
      </w:pPr>
      <w:r>
        <w:rPr>
          <w:color w:val="000000"/>
        </w:rPr>
        <w:t xml:space="preserve">3. 各重要節の精読</w:t>
      </w:r>
    </w:p>
    <w:bookmarkStart w:id="26" w:name="introductionどの予測課題にとって未知なのか"/>
    <w:p>
      <w:pPr>
        <w:pStyle w:val="Heading3"/>
        <w:widowControl/>
      </w:pPr>
      <w:r>
        <w:rPr>
          <w:color w:val="000000"/>
        </w:rPr>
        <w:t xml:space="preserve">3.1 Introduction：どの予測課題にとって未知なのか</w:t>
      </w:r>
    </w:p>
    <w:p>
      <w:pPr>
        <w:pStyle w:val="FirstParagraph"/>
        <w:widowControl/>
      </w:pPr>
      <w:r>
        <w:rPr>
          <w:bCs/>
          <w:b/>
        </w:rPr>
        <w:t xml:space="preserve">A 内容。</w:t>
      </w:r>
      <w:r>
        <w:t xml:space="preserve"> </w:t>
      </w:r>
      <w:r>
        <w:t xml:space="preserve">全ての入力変化が予測に同程度に重要とは限らない。無関係な変数の大きな変化より、重要変数の小さな変化を優先して調べたい。</w:t>
      </w:r>
    </w:p>
    <w:p>
      <w:pPr>
        <w:pStyle w:val="BodyText"/>
        <w:widowControl/>
      </w:pPr>
      <w:r>
        <w:rPr>
          <w:bCs/>
          <w:b/>
        </w:rPr>
        <w:t xml:space="preserve">B 役割。</w:t>
      </w:r>
      <w:r>
        <w:t xml:space="preserve"> </w:t>
      </w:r>
      <w:r>
        <w:t xml:space="preserve">予測関連変数を先に選ぶ理由を示す。</w:t>
      </w:r>
    </w:p>
    <w:p>
      <w:pPr>
        <w:pStyle w:val="BodyText"/>
        <w:widowControl/>
      </w:pPr>
      <w:r>
        <w:rPr>
          <w:bCs/>
          <w:b/>
        </w:rPr>
        <w:t xml:space="preserve">C 概念。</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概念</w:t>
            </w:r>
          </w:p>
        </w:tc>
        <w:tc>
          <w:tcPr>
            <w:tcW w:type="dxa" w:w="3946"/>
            <w:vAlign w:val="center"/>
            <w:shd w:fill="E7EDF3"/>
          </w:tcPr>
          <w:p>
            <w:pPr>
              <w:pStyle w:val="Compact"/>
              <w:keepNext w:val="0"/>
              <w:spacing w:after="40" w:before="40" w:line="264" w:lineRule="auto"/>
              <w:jc w:val="left"/>
            </w:pPr>
            <w:r>
              <w:rPr>
                <w:b/>
                <w:color w:val="000000"/>
                <w:sz w:val="19"/>
              </w:rPr>
              <w:t xml:space="preserve">定義・数学的意味</w:t>
            </w:r>
          </w:p>
        </w:tc>
        <w:tc>
          <w:tcPr>
            <w:tcW w:type="dxa" w:w="3749"/>
            <w:vAlign w:val="center"/>
            <w:shd w:fill="E7EDF3"/>
          </w:tcPr>
          <w:p>
            <w:pPr>
              <w:pStyle w:val="Compact"/>
              <w:keepNext w:val="0"/>
              <w:spacing w:after="40" w:before="40" w:line="264" w:lineRule="auto"/>
              <w:jc w:val="left"/>
            </w:pPr>
            <w:r>
              <w:rPr>
                <w:b/>
                <w:color w:val="000000"/>
                <w:sz w:val="19"/>
              </w:rPr>
              <w:t xml:space="preserve">直感と学習外入力との関係</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予測部分空間</w:t>
            </w:r>
            <m:oMath>
              <m:sSub>
                <m:e>
                  <m:r>
                    <m:t>S</m:t>
                    <w:rPr>
                      <w:rFonts w:ascii="Cambria Math" w:hAnsi="Cambria Math"/>
                    </w:rPr>
                  </m:r>
                </m:e>
                <m:sub>
                  <m:r>
                    <m:t>0</m:t>
                    <w:rPr>
                      <w:rFonts w:ascii="Cambria Math" w:hAnsi="Cambria Math"/>
                    </w:rPr>
                  </m:r>
                </m:sub>
              </m:sSub>
            </m:oMath>
          </w:p>
        </w:tc>
        <w:tc>
          <w:tcPr>
            <w:tcW w:type="dxa" w:w="3946"/>
            <w:vAlign w:val="center"/>
            <w:shd w:fill="FFFFFF"/>
          </w:tcPr>
          <w:p>
            <w:pPr>
              <w:pStyle w:val="Compact"/>
              <w:keepNext w:val="0"/>
              <w:spacing w:after="40" w:before="40" w:line="264" w:lineRule="auto"/>
              <w:jc w:val="left"/>
            </w:pPr>
            <w:r>
              <w:rPr>
                <w:color w:val="000000"/>
                <w:sz w:val="19"/>
              </w:rPr>
              <w:t xml:space="preserve">出力の条件付き分布を表すのに十分な座標集合</w:t>
            </w:r>
          </w:p>
        </w:tc>
        <w:tc>
          <w:tcPr>
            <w:tcW w:type="dxa" w:w="3749"/>
            <w:vAlign w:val="center"/>
            <w:shd w:fill="FFFFFF"/>
          </w:tcPr>
          <w:p>
            <w:pPr>
              <w:pStyle w:val="Compact"/>
              <w:keepNext w:val="0"/>
              <w:spacing w:after="40" w:before="40" w:line="264" w:lineRule="auto"/>
              <w:jc w:val="left"/>
            </w:pPr>
            <w:r>
              <w:rPr>
                <w:color w:val="000000"/>
                <w:sz w:val="19"/>
              </w:rPr>
              <w:t xml:space="preserve">課題に必要な変数。本論文は座標選択であり任意の回転部分空間ではない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推定信号集合</w:t>
            </w:r>
            <m:oMath>
              <m:acc>
                <m:accPr>
                  <m:chr m:val="̂"/>
                </m:accPr>
                <m:e>
                  <m:r>
                    <m:t>S</m:t>
                    <w:rPr>
                      <w:rFonts w:ascii="Cambria Math" w:hAnsi="Cambria Math"/>
                    </w:rPr>
                  </m:r>
                </m:e>
              </m:acc>
            </m:oMath>
          </w:p>
        </w:tc>
        <w:tc>
          <w:tcPr>
            <w:tcW w:type="dxa" w:w="3946"/>
            <w:vAlign w:val="center"/>
            <w:shd w:fill="F7F8FA"/>
          </w:tcPr>
          <w:p>
            <w:pPr>
              <w:pStyle w:val="Compact"/>
              <w:keepNext w:val="0"/>
              <w:spacing w:after="40" w:before="40" w:line="264" w:lineRule="auto"/>
              <w:jc w:val="left"/>
            </w:pPr>
            <w:r>
              <w:rPr>
                <w:color w:val="000000"/>
                <w:sz w:val="19"/>
              </w:rPr>
              <w:t xml:space="preserve">有限標本とフォレストから選ぶ座標</w:t>
            </w:r>
          </w:p>
        </w:tc>
        <w:tc>
          <w:tcPr>
            <w:tcW w:type="dxa" w:w="3749"/>
            <w:vAlign w:val="center"/>
            <w:shd w:fill="F7F8FA"/>
          </w:tcPr>
          <w:p>
            <w:pPr>
              <w:pStyle w:val="Compact"/>
              <w:keepNext w:val="0"/>
              <w:spacing w:after="40" w:before="40" w:line="264" w:lineRule="auto"/>
              <w:jc w:val="left"/>
            </w:pPr>
            <w:r>
              <w:rPr>
                <w:color w:val="000000"/>
                <w:sz w:val="19"/>
              </w:rPr>
              <w:t xml:space="preserve">実際の検出に用いる集合。真の</w:t>
            </w:r>
            <m:oMath>
              <m:sSub>
                <m:e>
                  <m:r>
                    <m:t>S</m:t>
                    <w:rPr>
                      <w:rFonts w:ascii="Cambria Math" w:hAnsi="Cambria Math"/>
                    </w:rPr>
                  </m:r>
                </m:e>
                <m:sub>
                  <m:r>
                    <m:t>0</m:t>
                    <w:rPr>
                      <w:rFonts w:ascii="Cambria Math" w:hAnsi="Cambria Math"/>
                    </w:rPr>
                  </m:r>
                </m:sub>
              </m:sSub>
            </m:oMath>
            <w:r>
              <w:rPr>
                <w:color w:val="000000"/>
                <w:sz w:val="19"/>
              </w:rPr>
              <w:t xml:space="preserve">と同一とは限らない</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model-aware</w:t>
            </w:r>
          </w:p>
        </w:tc>
        <w:tc>
          <w:tcPr>
            <w:tcW w:type="dxa" w:w="3946"/>
            <w:vAlign w:val="center"/>
            <w:shd w:fill="FFFFFF"/>
          </w:tcPr>
          <w:p>
            <w:pPr>
              <w:pStyle w:val="Compact"/>
              <w:keepNext w:val="0"/>
              <w:spacing w:after="40" w:before="40" w:line="264" w:lineRule="auto"/>
              <w:jc w:val="left"/>
            </w:pPr>
            <w:r>
              <w:rPr>
                <w:color w:val="000000"/>
                <w:sz w:val="19"/>
              </w:rPr>
              <w:t xml:space="preserve">スコア構成に学習済み教師ありモデルが入る</w:t>
            </w:r>
          </w:p>
        </w:tc>
        <w:tc>
          <w:tcPr>
            <w:tcW w:type="dxa" w:w="3749"/>
            <w:vAlign w:val="center"/>
            <w:shd w:fill="FFFFFF"/>
          </w:tcPr>
          <w:p>
            <w:pPr>
              <w:pStyle w:val="Compact"/>
              <w:keepNext w:val="0"/>
              <w:spacing w:after="40" w:before="40" w:line="264" w:lineRule="auto"/>
              <w:jc w:val="left"/>
            </w:pPr>
            <w:r>
              <w:rPr>
                <w:color w:val="000000"/>
                <w:sz w:val="19"/>
              </w:rPr>
              <w:t xml:space="preserve">入力を固定しても学習出力が変わればスコアが変わり得る</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subspace-aware</w:t>
            </w:r>
          </w:p>
        </w:tc>
        <w:tc>
          <w:tcPr>
            <w:tcW w:type="dxa" w:w="3946"/>
            <w:vAlign w:val="center"/>
            <w:shd w:fill="F7F8FA"/>
          </w:tcPr>
          <w:p>
            <w:pPr>
              <w:pStyle w:val="Compact"/>
              <w:keepNext w:val="0"/>
              <w:spacing w:after="40" w:before="40" w:line="264" w:lineRule="auto"/>
              <w:jc w:val="left"/>
            </w:pPr>
            <w:r>
              <w:rPr>
                <w:color w:val="000000"/>
                <w:sz w:val="19"/>
              </w:rPr>
              <w:t xml:space="preserve">参照集合を作った後の最終差異が選択座標だけで決まる</w:t>
            </w:r>
          </w:p>
        </w:tc>
        <w:tc>
          <w:tcPr>
            <w:tcW w:type="dxa" w:w="3749"/>
            <w:vAlign w:val="center"/>
            <w:shd w:fill="F7F8FA"/>
          </w:tcPr>
          <w:p>
            <w:pPr>
              <w:pStyle w:val="Compact"/>
              <w:keepNext w:val="0"/>
              <w:spacing w:after="40" w:before="40" w:line="264" w:lineRule="auto"/>
              <w:jc w:val="left"/>
            </w:pPr>
            <w:r>
              <w:rPr>
                <w:color w:val="000000"/>
                <w:sz w:val="19"/>
              </w:rPr>
              <w:t xml:space="preserve">無関係次元の影響を減らす。ただし参照集合は全ルールの制約に依存し得る</w:t>
            </w:r>
          </w:p>
        </w:tc>
      </w:tr>
    </w:tbl>
    <w:p>
      <w:pPr>
        <w:pStyle w:val="BodyText"/>
        <w:widowControl/>
      </w:pPr>
      <w:r>
        <w:rPr>
          <w:bCs/>
          <w:b/>
        </w:rPr>
        <w:t xml:space="preserve">D 重要式。</w:t>
      </w:r>
      <w:r>
        <w:t xml:space="preserve"> </w:t>
      </w:r>
      <w:r>
        <w:t xml:space="preserve">[pp.2–3]</w:t>
      </w:r>
    </w:p>
    <w:p>
      <w:pPr>
        <w:pStyle w:val="BodyText"/>
        <w:widowControl/>
      </w:pPr>
      <m:oMathPara>
        <m:oMathParaPr>
          <m:jc m:val="center"/>
        </m:oMathParaPr>
        <m:oMath>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A</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t>P</m:t>
            <w:rPr>
              <w:rFonts w:ascii="Cambria Math" w:hAnsi="Cambria Math"/>
            </w:rPr>
          </m:r>
          <m:r>
            <m:rPr>
              <m:sty m:val="p"/>
            </m:rPr>
            <m:t>(</m:t>
            <w:rPr>
              <w:rFonts w:ascii="Cambria Math" w:hAnsi="Cambria Math"/>
            </w:rPr>
          </m:r>
          <m:r>
            <m:t>Y</m:t>
            <w:rPr>
              <w:rFonts w:ascii="Cambria Math" w:hAnsi="Cambria Math"/>
            </w:rPr>
          </m:r>
          <m:r>
            <m:rPr>
              <m:sty m:val="p"/>
            </m:rPr>
            <m:t>∈</m:t>
            <w:rPr>
              <w:rFonts w:ascii="Cambria Math" w:hAnsi="Cambria Math"/>
            </w:rPr>
          </m:r>
          <m:r>
            <m:t>A</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sSub>
            <m:e>
              <m:r>
                <m:t>S</m:t>
                <w:rPr>
                  <w:rFonts w:ascii="Cambria Math" w:hAnsi="Cambria Math"/>
                </w:rPr>
              </m:r>
            </m:e>
            <m:sub>
              <m:r>
                <m:t>0</m:t>
                <w:rPr>
                  <w:rFonts w:ascii="Cambria Math" w:hAnsi="Cambria Math"/>
                </w:rPr>
              </m:r>
            </m:sub>
          </m:sSub>
          <m:r>
            <m:rPr>
              <m:sty m:val="p"/>
            </m:rPr>
            <m:t>)</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sSub>
            <m:e>
              <m:r>
                <m:t>S</m:t>
                <w:rPr>
                  <w:rFonts w:ascii="Cambria Math" w:hAnsi="Cambria Math"/>
                </w:rPr>
              </m:r>
            </m:e>
            <m:sub>
              <m:r>
                <m:t>0</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w:r>
        <w:t xml:space="preserve">Aは出力の事象集合、</w:t>
      </w:r>
      <m:oMath>
        <m:r>
          <m:t>x</m:t>
          <w:rPr>
            <w:rFonts w:ascii="Cambria Math" w:hAnsi="Cambria Math"/>
          </w:rPr>
        </m:r>
        <m:r>
          <m:rPr>
            <m:sty m:val="p"/>
          </m:rPr>
          <m:t>(</m:t>
          <w:rPr>
            <w:rFonts w:ascii="Cambria Math" w:hAnsi="Cambria Math"/>
          </w:rPr>
        </m:r>
        <m:sSub>
          <m:e>
            <m:r>
              <m:t>S</m:t>
              <w:rPr>
                <w:rFonts w:ascii="Cambria Math" w:hAnsi="Cambria Math"/>
              </w:rPr>
            </m:r>
          </m:e>
          <m:sub>
            <m:r>
              <m:t>0</m:t>
              <w:rPr>
                <w:rFonts w:ascii="Cambria Math" w:hAnsi="Cambria Math"/>
              </w:rPr>
            </m:r>
          </m:sub>
        </m:sSub>
        <m:r>
          <m:rPr>
            <m:sty m:val="p"/>
          </m:rPr>
          <m:t>)</m:t>
          <w:rPr>
            <w:rFonts w:ascii="Cambria Math" w:hAnsi="Cambria Math"/>
          </w:rPr>
        </m:r>
      </m:oMath>
      <w:r>
        <w:t xml:space="preserve">は選択座標。学習入力分布に関してほとんど至る所で成立する条件であり、</w:t>
      </w:r>
      <m:oMath>
        <m:sSub>
          <m:e>
            <m:r>
              <m:t>S</m:t>
              <w:rPr>
                <w:rFonts w:ascii="Cambria Math" w:hAnsi="Cambria Math"/>
              </w:rPr>
            </m:r>
          </m:e>
          <m:sub>
            <m:r>
              <m:t>0</m:t>
              <w:rPr>
                <w:rFonts w:ascii="Cambria Math" w:hAnsi="Cambria Math"/>
              </w:rPr>
            </m:r>
          </m:sub>
        </m:sSub>
      </m:oMath>
      <w:r>
        <w:t xml:space="preserve">の一意性・最小性は要求しない。これは母集団の目標で、直接計算できる選択手順ではない。</w:t>
      </w:r>
    </w:p>
    <w:p>
      <w:pPr>
        <w:pStyle w:val="BodyText"/>
        <w:widowControl/>
      </w:pPr>
      <w:r>
        <w:t xml:space="preserve">例：</w:t>
      </w:r>
      <m:oMath>
        <m:r>
          <m:t>Y</m:t>
          <w:rPr>
            <w:rFonts w:ascii="Cambria Math" w:hAnsi="Cambria Math"/>
          </w:rPr>
        </m:r>
        <m:r>
          <m:rPr>
            <m:sty m:val="p"/>
          </m:rPr>
          <m:t>=</m:t>
          <w:rPr>
            <w:rFonts w:ascii="Cambria Math" w:hAnsi="Cambria Math"/>
          </w:rPr>
        </m:r>
        <m:r>
          <m:t>2</m:t>
          <w:rPr>
            <w:rFonts w:ascii="Cambria Math" w:hAnsi="Cambria Math"/>
          </w:rPr>
        </m:r>
        <m:sSub>
          <m:e>
            <m:r>
              <m:t>X</m:t>
              <w:rPr>
                <w:rFonts w:ascii="Cambria Math" w:hAnsi="Cambria Math"/>
              </w:rPr>
            </m:r>
          </m:e>
          <m:sub>
            <m:r>
              <m:t>1</m:t>
              <w:rPr>
                <w:rFonts w:ascii="Cambria Math" w:hAnsi="Cambria Math"/>
              </w:rPr>
            </m:r>
          </m:sub>
        </m:sSub>
        <m:r>
          <m:rPr>
            <m:sty m:val="p"/>
          </m:rPr>
          <m:t>+</m:t>
          <w:rPr>
            <w:rFonts w:ascii="Cambria Math" w:hAnsi="Cambria Math"/>
          </w:rPr>
        </m:r>
        <m:r>
          <m:t>ϵ</m:t>
          <w:rPr>
            <w:rFonts w:ascii="Cambria Math" w:hAnsi="Cambria Math"/>
          </w:rPr>
        </m:r>
      </m:oMath>
      <w:r>
        <w:t xml:space="preserve">、</w:t>
      </w:r>
      <m:oMath>
        <m:sSub>
          <m:e>
            <m:r>
              <m:t>X</m:t>
              <w:rPr>
                <w:rFonts w:ascii="Cambria Math" w:hAnsi="Cambria Math"/>
              </w:rPr>
            </m:r>
          </m:e>
          <m:sub>
            <m:r>
              <m:t>2</m:t>
              <w:rPr>
                <w:rFonts w:ascii="Cambria Math" w:hAnsi="Cambria Math"/>
              </w:rPr>
            </m:r>
          </m:sub>
        </m:sSub>
      </m:oMath>
      <w:r>
        <w:t xml:space="preserve">が</w:t>
      </w:r>
      <m:oMath>
        <m:sSub>
          <m:e>
            <m:r>
              <m:t>X</m:t>
              <w:rPr>
                <w:rFonts w:ascii="Cambria Math" w:hAnsi="Cambria Math"/>
              </w:rPr>
            </m:r>
          </m:e>
          <m:sub>
            <m:r>
              <m:t>1</m:t>
              <w:rPr>
                <w:rFonts w:ascii="Cambria Math" w:hAnsi="Cambria Math"/>
              </w:rPr>
            </m:r>
          </m:sub>
        </m:sSub>
        <m:r>
          <m:rPr>
            <m:sty m:val="p"/>
          </m:rPr>
          <m:t>,</m:t>
          <w:rPr>
            <w:rFonts w:ascii="Cambria Math" w:hAnsi="Cambria Math"/>
          </w:rPr>
        </m:r>
        <m:r>
          <m:t>ϵ</m:t>
          <w:rPr>
            <w:rFonts w:ascii="Cambria Math" w:hAnsi="Cambria Math"/>
          </w:rPr>
        </m:r>
      </m:oMath>
      <w:r>
        <w:t xml:space="preserve">と独立なら</w:t>
      </w:r>
      <m:oMath>
        <m:sSub>
          <m:e>
            <m:r>
              <m:t>S</m:t>
              <w:rPr>
                <w:rFonts w:ascii="Cambria Math" w:hAnsi="Cambria Math"/>
              </w:rPr>
            </m:r>
          </m:e>
          <m:sub>
            <m:r>
              <m:t>0</m:t>
              <w:rPr>
                <w:rFonts w:ascii="Cambria Math" w:hAnsi="Cambria Math"/>
              </w:rPr>
            </m:r>
          </m:sub>
        </m:sSub>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でよい。</w:t>
      </w:r>
      <m:oMath>
        <m:sSub>
          <m:e>
            <m:r>
              <m:t>X</m:t>
              <w:rPr>
                <w:rFonts w:ascii="Cambria Math" w:hAnsi="Cambria Math"/>
              </w:rPr>
            </m:r>
          </m:e>
          <m:sub>
            <m:r>
              <m:t>2</m:t>
              <w:rPr>
                <w:rFonts w:ascii="Cambria Math" w:hAnsi="Cambria Math"/>
              </w:rPr>
            </m:r>
          </m:sub>
        </m:sSub>
      </m:oMath>
      <w:r>
        <w:t xml:space="preserve">の変化だけではYの予測支持は変わらない。この例は概念説明であり、信号変数が一つの場合のアルゴリズムの退化は§8で扱う。</w:t>
      </w:r>
    </w:p>
    <w:p>
      <w:pPr>
        <w:pStyle w:val="BodyText"/>
        <w:widowControl/>
      </w:pPr>
      <w:r>
        <w:rPr>
          <w:bCs/>
          <w:b/>
        </w:rPr>
        <w:t xml:space="preserve">E 結論。</w:t>
      </w:r>
    </w:p>
    <w:p>
      <w:pPr>
        <w:widowControl/>
        <w:numPr>
          <w:ilvl w:val="0"/>
          <w:numId w:val="1001"/>
        </w:numPr>
        <w:pStyle w:val="Compact"/>
      </w:pPr>
      <w:r>
        <w:t xml:space="preserve">学習外は基準分布と予測課題を指定して定義する。</w:t>
      </w:r>
    </w:p>
    <w:p>
      <w:pPr>
        <w:widowControl/>
        <w:numPr>
          <w:ilvl w:val="0"/>
          <w:numId w:val="1001"/>
        </w:numPr>
        <w:pStyle w:val="Compact"/>
      </w:pPr>
      <w:r>
        <w:t xml:space="preserve">真の関連変数と推定された関連変数を区別する。</w:t>
      </w:r>
    </w:p>
    <w:p>
      <w:pPr>
        <w:widowControl/>
        <w:numPr>
          <w:ilvl w:val="0"/>
          <w:numId w:val="1001"/>
        </w:numPr>
        <w:pStyle w:val="Compact"/>
      </w:pPr>
      <w:r>
        <w:t xml:space="preserve">全結合分布の変化を検出できるわけではない。</w:t>
      </w:r>
    </w:p>
    <w:bookmarkEnd w:id="26"/>
    <w:bookmarkStart w:id="27" w:name="related-workスコア設計と閾値の校正"/>
    <w:p>
      <w:pPr>
        <w:pStyle w:val="Heading3"/>
        <w:widowControl/>
      </w:pPr>
      <w:r>
        <w:rPr>
          <w:color w:val="000000"/>
        </w:rPr>
        <w:t xml:space="preserve">3.2 Related work：スコア設計と閾値の校正</w:t>
      </w:r>
    </w:p>
    <w:p>
      <w:pPr>
        <w:pStyle w:val="FirstParagraph"/>
        <w:widowControl/>
      </w:pPr>
      <w:r>
        <w:rPr>
          <w:bCs/>
          <w:b/>
        </w:rPr>
        <w:t xml:space="preserve">A 内容。</w:t>
      </w:r>
      <w:r>
        <w:t xml:space="preserve"> </w:t>
      </w:r>
      <w:r>
        <w:t xml:space="preserve">分類スコア、回帰の不確実性、入力の幾何・密度、conformal法を整理する。</w:t>
      </w:r>
    </w:p>
    <w:p>
      <w:pPr>
        <w:pStyle w:val="BodyText"/>
        <w:widowControl/>
      </w:pPr>
      <w:r>
        <w:rPr>
          <w:bCs/>
          <w:b/>
        </w:rPr>
        <w:t xml:space="preserve">B 役割。</w:t>
      </w:r>
      <w:r>
        <w:t xml:space="preserve"> </w:t>
      </w:r>
      <w:r>
        <w:t xml:space="preserve">本論文の貢献が予測関連スコアの構成にあり、一般的な誤報率保証の完成ではないことを示す。</w:t>
      </w:r>
    </w:p>
    <w:p>
      <w:pPr>
        <w:pStyle w:val="BodyText"/>
        <w:widowControl/>
      </w:pPr>
      <w:r>
        <w:rPr>
          <w:bCs/>
          <w:b/>
        </w:rPr>
        <w:t xml:space="preserve">C 概念。</w:t>
      </w:r>
      <w:r>
        <w:t xml:space="preserve"> </w:t>
      </w:r>
      <w:r>
        <w:t xml:space="preserve">密度</w:t>
      </w:r>
      <m:oMath>
        <m:sSub>
          <m:e>
            <m:r>
              <m:t>p</m:t>
              <w:rPr>
                <w:rFonts w:ascii="Cambria Math" w:hAnsi="Cambria Math"/>
              </w:rPr>
            </m:r>
          </m:e>
          <m:sub>
            <m:r>
              <m:t>X</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oMath>
      <w:r>
        <w:t xml:space="preserve">は入力の集中度、予測分散</w:t>
      </w:r>
      <m:oMath>
        <m:r>
          <m:rPr>
            <m:sty m:val="p"/>
          </m:rPr>
          <m:t>V</m:t>
          <w:rPr>
            <w:rFonts w:ascii="Cambria Math" w:hAnsi="Cambria Math"/>
          </w:rPr>
        </m:r>
        <m:r>
          <m:rPr>
            <m:sty m:val="p"/>
          </m:rPr>
          <m:t>a</m:t>
          <w:rPr>
            <w:rFonts w:ascii="Cambria Math" w:hAnsi="Cambria Math"/>
          </w:rPr>
        </m:r>
        <m:r>
          <m:rPr>
            <m:sty m:val="p"/>
          </m:rPr>
          <m:t>r</m:t>
          <w:rPr>
            <w:rFonts w:ascii="Cambria Math" w:hAnsi="Cambria Math"/>
          </w:rPr>
        </m:r>
        <m:r>
          <m:rPr>
            <m:sty m:val="p"/>
          </m:rPr>
          <m:t>(</m:t>
          <w:rPr>
            <w:rFonts w:ascii="Cambria Math" w:hAnsi="Cambria Math"/>
          </w:rPr>
        </m:r>
        <m:acc>
          <m:accPr>
            <m:chr m:val="̂"/>
          </m:accPr>
          <m:e>
            <m:r>
              <m:t>Y</m:t>
              <w:rPr>
                <w:rFonts w:ascii="Cambria Math" w:hAnsi="Cambria Math"/>
              </w:rPr>
            </m:r>
          </m:e>
        </m:acc>
        <m:r>
          <m:rPr>
            <m:sty m:val="p"/>
          </m:rPr>
          <m:t>∣</m:t>
          <w:rPr>
            <w:rFonts w:ascii="Cambria Math" w:hAnsi="Cambria Math"/>
          </w:rPr>
        </m:r>
        <m:r>
          <m:t>x</m:t>
          <w:rPr>
            <w:rFonts w:ascii="Cambria Math" w:hAnsi="Cambria Math"/>
          </w:rPr>
        </m:r>
        <m:r>
          <m:rPr>
            <m:sty m:val="p"/>
          </m:rPr>
          <m:t>)</m:t>
          <w:rPr>
            <w:rFonts w:ascii="Cambria Math" w:hAnsi="Cambria Math"/>
          </w:rPr>
        </m:r>
      </m:oMath>
      <w:r>
        <w:t xml:space="preserve">は予測のばらつき、不適合度は校正に用いる順位付けの量である。直感的には「珍しさ」「予測の迷い」「基準への合わなさ」であり、学習外と関連するが同義ではない。</w:t>
      </w:r>
    </w:p>
    <w:p>
      <w:pPr>
        <w:pStyle w:val="BodyText"/>
        <w:widowControl/>
      </w:pPr>
      <w:r>
        <w:rPr>
          <w:bCs/>
          <w:b/>
        </w:rPr>
        <w:t xml:space="preserve">D 数式。</w:t>
      </w:r>
      <w:r>
        <w:t xml:space="preserve"> </w:t>
      </w:r>
      <w:r>
        <w:t xml:space="preserve">新たな必須式はない。比較スコアは§5に整理する。OutProを</w:t>
      </w:r>
      <m:oMath>
        <m:r>
          <m:t>1</m:t>
          <w:rPr>
            <w:rFonts w:ascii="Cambria Math" w:hAnsi="Cambria Math"/>
          </w:rPr>
        </m:r>
        <m:r>
          <m:rPr>
            <m:sty m:val="p"/>
          </m:rPr>
          <m:t>/</m:t>
          <w:rPr>
            <w:rFonts w:ascii="Cambria Math" w:hAnsi="Cambria Math"/>
          </w:rPr>
        </m:r>
        <m:sSub>
          <m:e>
            <m:r>
              <m:t>p</m:t>
              <w:rPr>
                <w:rFonts w:ascii="Cambria Math" w:hAnsi="Cambria Math"/>
              </w:rPr>
            </m:r>
          </m:e>
          <m:sub>
            <m:r>
              <m:t>X</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oMath>
      <w:r>
        <w:t xml:space="preserve">と説明してはいけない。</w:t>
      </w:r>
    </w:p>
    <w:p>
      <w:pPr>
        <w:pStyle w:val="BodyText"/>
        <w:widowControl/>
      </w:pPr>
      <w:r>
        <w:rPr>
          <w:bCs/>
          <w:b/>
        </w:rPr>
        <w:t xml:space="preserve">E 結論。</w:t>
      </w:r>
    </w:p>
    <w:p>
      <w:pPr>
        <w:widowControl/>
        <w:numPr>
          <w:ilvl w:val="0"/>
          <w:numId w:val="1002"/>
        </w:numPr>
        <w:pStyle w:val="Compact"/>
      </w:pPr>
      <w:r>
        <w:t xml:space="preserve">OutProの主分類は教師ありモデルに導かれた距離法である。</w:t>
      </w:r>
    </w:p>
    <w:p>
      <w:pPr>
        <w:widowControl/>
        <w:numPr>
          <w:ilvl w:val="0"/>
          <w:numId w:val="1002"/>
        </w:numPr>
        <w:pStyle w:val="Compact"/>
      </w:pPr>
      <w:r>
        <w:t xml:space="preserve">OutProのconformal校正は将来課題である。</w:t>
      </w:r>
    </w:p>
    <w:p>
      <w:pPr>
        <w:widowControl/>
        <w:numPr>
          <w:ilvl w:val="0"/>
          <w:numId w:val="1002"/>
        </w:numPr>
        <w:pStyle w:val="Compact"/>
      </w:pPr>
      <w:r>
        <w:t xml:space="preserve">モデル出力と内部構造の利用は別の情報条件である。</w:t>
      </w:r>
    </w:p>
    <w:bookmarkEnd w:id="27"/>
    <w:bookmarkStart w:id="28" w:name="methodology-3.1varproによる変数選択"/>
    <w:p>
      <w:pPr>
        <w:pStyle w:val="Heading3"/>
        <w:widowControl/>
      </w:pPr>
      <w:r>
        <w:rPr>
          <w:color w:val="000000"/>
        </w:rPr>
        <w:t xml:space="preserve">3.3 Methodology 3.1：VarProによる変数選択</w:t>
      </w:r>
    </w:p>
    <w:p>
      <w:pPr>
        <w:pStyle w:val="FirstParagraph"/>
        <w:widowControl/>
      </w:pPr>
      <w:r>
        <w:rPr>
          <w:bCs/>
          <w:b/>
        </w:rPr>
        <w:t xml:space="preserve">A 内容。</w:t>
      </w:r>
      <w:r>
        <w:t xml:space="preserve"> </w:t>
      </w:r>
      <w:r>
        <w:t xml:space="preserve">木の領域で一つの変数の制約を解除し、含まれる学習事例の出力挙動がどれだけ変わるかを見る。変化が大きい変数に高い優先度を与える。[pp.6–7]</w:t>
      </w:r>
    </w:p>
    <w:p>
      <w:pPr>
        <w:pStyle w:val="BodyText"/>
        <w:widowControl/>
      </w:pPr>
      <w:r>
        <w:rPr>
          <w:bCs/>
          <w:b/>
        </w:rPr>
        <w:t xml:space="preserve">B 役割。</w:t>
      </w:r>
      <w:r>
        <w:t xml:space="preserve"> </w:t>
      </w:r>
      <w:r>
        <w:t xml:space="preserve">信号集合Sと相対重み</w:t>
      </w:r>
      <m:oMath>
        <m:sSub>
          <m:e>
            <m:r>
              <m:t>w</m:t>
              <w:rPr>
                <w:rFonts w:ascii="Cambria Math" w:hAnsi="Cambria Math"/>
              </w:rPr>
            </m:r>
          </m:e>
          <m:sub>
            <m:r>
              <m:t>s</m:t>
              <w:rPr>
                <w:rFonts w:ascii="Cambria Math" w:hAnsi="Cambria Math"/>
              </w:rPr>
            </m:r>
          </m:sub>
        </m:sSub>
      </m:oMath>
      <w:r>
        <w:t xml:space="preserve">を得る。誤選択は近傍と最終距離の両方に影響する。</w:t>
      </w:r>
    </w:p>
    <w:p>
      <w:pPr>
        <w:pStyle w:val="BodyText"/>
        <w:widowControl/>
      </w:pPr>
      <w:r>
        <w:rPr>
          <w:bCs/>
          <w:b/>
        </w:rPr>
        <w:t xml:space="preserve">C 概念。</w:t>
      </w:r>
      <w:r>
        <w:t xml:space="preserve"> </w:t>
      </w:r>
      <w:r>
        <w:t xml:space="preserve">決定ルールは根から葉までの条件、ルール領域は条件の共通部分、release regionは指定座標の全制約を外した領域である。VarProは分割回数の単純集計や置換重要度と同じではない。</w:t>
      </w:r>
    </w:p>
    <w:p>
      <w:pPr>
        <w:pStyle w:val="BodyText"/>
        <w:widowControl/>
      </w:pPr>
      <w:r>
        <w:rPr>
          <w:bCs/>
          <w:b/>
        </w:rPr>
        <w:t xml:space="preserve">D 二次元例。</w:t>
      </w:r>
    </w:p>
    <w:p>
      <w:pPr>
        <w:pStyle w:val="BodyText"/>
        <w:widowControl/>
      </w:pPr>
      <m:oMathPara>
        <m:oMathParaPr>
          <m:jc m:val="center"/>
        </m:oMathParaPr>
        <m:oMath>
          <m:r>
            <m:t>R</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sSub>
            <m:e>
              <m:r>
                <m:t>x</m:t>
                <w:rPr>
                  <w:rFonts w:ascii="Cambria Math" w:hAnsi="Cambria Math"/>
                </w:rPr>
              </m:r>
            </m:e>
            <m:sub>
              <m:r>
                <m:t>1</m:t>
                <w:rPr>
                  <w:rFonts w:ascii="Cambria Math" w:hAnsi="Cambria Math"/>
                </w:rPr>
              </m:r>
            </m:sub>
          </m:sSub>
          <m:r>
            <m:rPr>
              <m:sty m:val="p"/>
            </m:rPr>
            <m:t>,</m:t>
            <w:rPr>
              <w:rFonts w:ascii="Cambria Math" w:hAnsi="Cambria Math"/>
            </w:rPr>
          </m:r>
          <m:sSub>
            <m:e>
              <m:r>
                <m:t>x</m:t>
                <w:rPr>
                  <w:rFonts w:ascii="Cambria Math" w:hAnsi="Cambria Math"/>
                </w:rPr>
              </m:r>
            </m:e>
            <m:sub>
              <m:r>
                <m:t>2</m:t>
                <w:rPr>
                  <w:rFonts w:ascii="Cambria Math" w:hAnsi="Cambria Math"/>
                </w:rPr>
              </m:r>
            </m:sub>
          </m:sSub>
          <m:r>
            <m:rPr>
              <m:sty m:val="p"/>
            </m:rPr>
            <m:t>)</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sSub>
            <m:e>
              <m:r>
                <m:t>x</m:t>
                <w:rPr>
                  <w:rFonts w:ascii="Cambria Math" w:hAnsi="Cambria Math"/>
                </w:rPr>
              </m:r>
            </m:e>
            <m:sub>
              <m:r>
                <m:t>1</m:t>
                <w:rPr>
                  <w:rFonts w:ascii="Cambria Math" w:hAnsi="Cambria Math"/>
                </w:rPr>
              </m:r>
            </m:sub>
          </m:sSub>
          <m:r>
            <m:rPr>
              <m:sty m:val="p"/>
            </m:rPr>
            <m:t>≤</m:t>
            <w:rPr>
              <w:rFonts w:ascii="Cambria Math" w:hAnsi="Cambria Math"/>
            </w:rPr>
          </m:r>
          <m:r>
            <m:t>1</m:t>
            <w:rPr>
              <w:rFonts w:ascii="Cambria Math" w:hAnsi="Cambria Math"/>
            </w:rPr>
          </m:r>
          <m:r>
            <m:rPr>
              <m:sty m:val="p"/>
            </m:rPr>
            <m:t>,</m:t>
            <w:rPr>
              <w:rFonts w:ascii="Cambria Math" w:hAnsi="Cambria Math"/>
            </w:rPr>
          </m:r>
          <m:r>
            <m:t> </m:t>
            <w:rPr>
              <w:rFonts w:ascii="Cambria Math" w:hAnsi="Cambria Math"/>
            </w:rPr>
          </m:r>
          <m:r>
            <m:t>0</m:t>
            <w:rPr>
              <w:rFonts w:ascii="Cambria Math" w:hAnsi="Cambria Math"/>
            </w:rPr>
          </m:r>
          <m:r>
            <m:rPr>
              <m:sty m:val="p"/>
            </m:rPr>
            <m:t>≤</m:t>
            <w:rPr>
              <w:rFonts w:ascii="Cambria Math" w:hAnsi="Cambria Math"/>
            </w:rPr>
          </m:r>
          <m:sSub>
            <m:e>
              <m:r>
                <m:t>x</m:t>
                <w:rPr>
                  <w:rFonts w:ascii="Cambria Math" w:hAnsi="Cambria Math"/>
                </w:rPr>
              </m:r>
            </m:e>
            <m:sub>
              <m:r>
                <m:t>2</m:t>
                <w:rPr>
                  <w:rFonts w:ascii="Cambria Math" w:hAnsi="Cambria Math"/>
                </w:rPr>
              </m:r>
            </m:sub>
          </m:sSub>
          <m:r>
            <m:rPr>
              <m:sty m:val="p"/>
            </m:rPr>
            <m:t>≤</m:t>
            <w:rPr>
              <w:rFonts w:ascii="Cambria Math" w:hAnsi="Cambria Math"/>
            </w:rPr>
          </m:r>
          <m:r>
            <m:t>1</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m:oMath>
        <m:sSub>
          <m:e>
            <m:r>
              <m:t>x</m:t>
              <w:rPr>
                <w:rFonts w:ascii="Cambria Math" w:hAnsi="Cambria Math"/>
              </w:rPr>
            </m:r>
          </m:e>
          <m:sub>
            <m:r>
              <m:t>1</m:t>
              <w:rPr>
                <w:rFonts w:ascii="Cambria Math" w:hAnsi="Cambria Math"/>
              </w:rPr>
            </m:r>
          </m:sub>
        </m:sSub>
      </m:oMath>
      <w:r>
        <w:t xml:space="preserve">を解除すると</w:t>
      </w:r>
      <m:oMath>
        <m:sSup>
          <m:e>
            <m:r>
              <m:t>R</m:t>
              <w:rPr>
                <w:rFonts w:ascii="Cambria Math" w:hAnsi="Cambria Math"/>
              </w:rPr>
            </m:r>
          </m:e>
          <m:sup>
            <m:r>
              <m:t>1</m:t>
              <w:rPr>
                <w:rFonts w:ascii="Cambria Math" w:hAnsi="Cambria Math"/>
              </w:rPr>
            </m:r>
          </m:sup>
        </m:sSup>
        <m:r>
          <m:rPr>
            <m:sty m:val="p"/>
          </m:rPr>
          <m:t>=</m:t>
          <w:rPr>
            <w:rFonts w:ascii="Cambria Math" w:hAnsi="Cambria Math"/>
          </w:rPr>
        </m:r>
        <m:r>
          <m:rPr>
            <m:sty m:val="p"/>
            <m:scr m:val="double-struck"/>
          </m:rPr>
          <m:t>R</m:t>
          <w:rPr>
            <w:rFonts w:ascii="Cambria Math" w:hAnsi="Cambria Math"/>
          </w:rPr>
        </m:r>
        <m:r>
          <m:rPr>
            <m:sty m:val="p"/>
          </m:rPr>
          <m:t>×</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oMath>
      <w:r>
        <w:t xml:space="preserve">、</w:t>
      </w:r>
      <m:oMath>
        <m:sSub>
          <m:e>
            <m:r>
              <m:t>x</m:t>
              <w:rPr>
                <w:rFonts w:ascii="Cambria Math" w:hAnsi="Cambria Math"/>
              </w:rPr>
            </m:r>
          </m:e>
          <m:sub>
            <m:r>
              <m:t>2</m:t>
              <w:rPr>
                <w:rFonts w:ascii="Cambria Math" w:hAnsi="Cambria Math"/>
              </w:rPr>
            </m:r>
          </m:sub>
        </m:sSub>
      </m:oMath>
      <w:r>
        <w:t xml:space="preserve">を解除すると</w:t>
      </w:r>
      <m:oMath>
        <m:sSup>
          <m:e>
            <m:r>
              <m:t>R</m:t>
              <w:rPr>
                <w:rFonts w:ascii="Cambria Math" w:hAnsi="Cambria Math"/>
              </w:rPr>
            </m:r>
          </m:e>
          <m:sup>
            <m:r>
              <m:t>2</m:t>
              <w:rPr>
                <w:rFonts w:ascii="Cambria Math" w:hAnsi="Cambria Math"/>
              </w:rPr>
            </m:r>
          </m:sup>
        </m:sSup>
        <m:r>
          <m:rPr>
            <m:sty m:val="p"/>
          </m:rPr>
          <m:t>=</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r>
          <m:rPr>
            <m:sty m:val="p"/>
          </m:rPr>
          <m:t>×</m:t>
          <w:rPr>
            <w:rFonts w:ascii="Cambria Math" w:hAnsi="Cambria Math"/>
          </w:rPr>
        </m:r>
        <m:r>
          <m:rPr>
            <m:sty m:val="p"/>
            <m:scr m:val="double-struck"/>
          </m:rPr>
          <m:t>R</m:t>
          <w:rPr>
            <w:rFonts w:ascii="Cambria Math" w:hAnsi="Cambria Math"/>
          </w:rPr>
        </m:r>
      </m:oMath>
      <w:r>
        <w:t xml:space="preserve">。元の領域と拡大領域で出力の挙動が違えば、その制約が予測に関係していたと考える。VarProの完全な統計量と閾値の導出は本論文に再掲されず、文献50–53を参照している。</w:t>
      </w:r>
    </w:p>
    <w:p>
      <w:pPr>
        <w:pStyle w:val="BodyText"/>
        <w:widowControl/>
      </w:pPr>
      <w:r>
        <w:rPr>
          <w:bCs/>
          <w:b/>
        </w:rPr>
        <w:t xml:space="preserve">E 結論。</w:t>
      </w:r>
    </w:p>
    <w:p>
      <w:pPr>
        <w:widowControl/>
        <w:numPr>
          <w:ilvl w:val="0"/>
          <w:numId w:val="1003"/>
        </w:numPr>
        <w:pStyle w:val="Compact"/>
      </w:pPr>
      <w:r>
        <w:t xml:space="preserve">学習出力を使って重要変数を選ぶ。</w:t>
      </w:r>
    </w:p>
    <w:p>
      <w:pPr>
        <w:widowControl/>
        <w:numPr>
          <w:ilvl w:val="0"/>
          <w:numId w:val="1003"/>
        </w:numPr>
        <w:pStyle w:val="Compact"/>
      </w:pPr>
      <w:r>
        <w:t xml:space="preserve">本文だけではVarProの細部まで再現できない。</w:t>
      </w:r>
    </w:p>
    <w:p>
      <w:pPr>
        <w:widowControl/>
        <w:numPr>
          <w:ilvl w:val="0"/>
          <w:numId w:val="1003"/>
        </w:numPr>
        <w:pStyle w:val="Compact"/>
      </w:pPr>
      <w:r>
        <w:t xml:space="preserve">異常生成用boostingの変数選択と、検出用VarProは別工程である。</w:t>
      </w:r>
    </w:p>
    <w:bookmarkEnd w:id="28"/>
    <w:bookmarkStart w:id="29" w:name="methodology-3.23.3ルールで参照事例を選ぶ"/>
    <w:p>
      <w:pPr>
        <w:pStyle w:val="Heading3"/>
        <w:widowControl/>
      </w:pPr>
      <w:r>
        <w:rPr>
          <w:color w:val="000000"/>
        </w:rPr>
        <w:t xml:space="preserve">3.4 Methodology 3.2–3.3：ルールで参照事例を選ぶ</w:t>
      </w:r>
    </w:p>
    <w:p>
      <w:pPr>
        <w:pStyle w:val="FirstParagraph"/>
        <w:widowControl/>
      </w:pPr>
      <w:r>
        <w:rPr>
          <w:bCs/>
          <w:b/>
        </w:rPr>
        <w:t xml:space="preserve">A 内容。</w:t>
      </w:r>
      <w:r>
        <w:t xml:space="preserve"> </w:t>
      </w:r>
      <w:r>
        <w:t xml:space="preserve">各木でテスト点を含むルールを探し、信号座標を一つずつ解除する。各学習点の出現頻度と、その頻度が座標間でどの程度均等かを計算する。[pp.7–9]</w:t>
      </w:r>
    </w:p>
    <w:p>
      <w:pPr>
        <w:pStyle w:val="BodyText"/>
        <w:widowControl/>
      </w:pPr>
      <w:r>
        <w:rPr>
          <w:bCs/>
          <w:b/>
        </w:rPr>
        <w:t xml:space="preserve">B 役割。</w:t>
      </w:r>
      <w:r>
        <w:t xml:space="preserve"> </w:t>
      </w:r>
      <w:r>
        <w:t xml:space="preserve">全空間の単純な近さではなく、教師ありフォレストの局所構造を参照集合に反映する。</w:t>
      </w:r>
    </w:p>
    <w:p>
      <w:pPr>
        <w:pStyle w:val="BodyText"/>
        <w:widowControl/>
      </w:pPr>
      <w:r>
        <w:rPr>
          <w:bCs/>
          <w:b/>
        </w:rPr>
        <w:t xml:space="preserve">C 概念。</w:t>
      </w:r>
      <w:r>
        <w:t xml:space="preserve"> </w:t>
      </w:r>
      <m:oMath>
        <m:r>
          <m:rPr>
            <m:sty m:val="p"/>
            <m:scr m:val="script"/>
          </m:rPr>
          <m:t>R</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t xml:space="preserve">はxを含むルール集合、</w:t>
      </w:r>
      <m:oMath>
        <m:sSub>
          <m:e>
            <m:r>
              <m:t>n</m:t>
              <w:rPr>
                <w:rFonts w:ascii="Cambria Math" w:hAnsi="Cambria Math"/>
              </w:rPr>
            </m:r>
          </m:e>
          <m:sub>
            <m:r>
              <m:t>s</m:t>
              <w:rPr>
                <w:rFonts w:ascii="Cambria Math" w:hAnsi="Cambria Math"/>
              </w:rPr>
            </m:r>
          </m:sub>
        </m:sSub>
      </m:oMath>
      <w:r>
        <w:t xml:space="preserve">は座標sを解除した領域への出現回数、</w:t>
      </w:r>
      <m:oMath>
        <m:sSub>
          <m:e>
            <m:r>
              <m:t>p</m:t>
              <w:rPr>
                <w:rFonts w:ascii="Cambria Math" w:hAnsi="Cambria Math"/>
              </w:rPr>
            </m:r>
          </m:e>
          <m:sub>
            <m:r>
              <m:t>s</m:t>
              <w:rPr>
                <w:rFonts w:ascii="Cambria Math" w:hAnsi="Cambria Math"/>
              </w:rPr>
            </m:r>
          </m:sub>
        </m:sSub>
      </m:oMath>
      <w:r>
        <w:t xml:space="preserve">は相対頻度、Gini不純度は頻度の均等さ、Wは近傍選択用の優先度である。Giniは最終OODスコアでも分割重要度でもない。</w:t>
      </w:r>
    </w:p>
    <w:p>
      <w:pPr>
        <w:pStyle w:val="BodyText"/>
        <w:widowControl/>
      </w:pPr>
      <w:r>
        <w:rPr>
          <w:bCs/>
          <w:b/>
        </w:rPr>
        <w:t xml:space="preserve">D 重要式。</w:t>
      </w:r>
    </w:p>
    <w:p>
      <w:pPr>
        <w:pStyle w:val="BodyText"/>
        <w:widowControl/>
      </w:pPr>
      <m:oMathPara>
        <m:oMathParaPr>
          <m:jc m:val="center"/>
        </m:oMathParaPr>
        <m:oMath>
          <m:sSub>
            <m:e>
              <m:r>
                <m:t>n</m:t>
                <w:rPr>
                  <w:rFonts w:ascii="Cambria Math" w:hAnsi="Cambria Math"/>
                </w:rPr>
              </m:r>
            </m:e>
            <m:sub>
              <m:r>
                <m:t>s</m:t>
                <w:rPr>
                  <w:rFonts w:ascii="Cambria Math" w:hAnsi="Cambria Math"/>
                </w:rPr>
              </m:r>
            </m:sub>
          </m:sSub>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nary>
            <m:naryPr>
              <m:chr m:val="∑"/>
              <m:limLoc m:val="undOvr"/>
              <m:subHide m:val="0"/>
              <m:supHide m:val="1"/>
            </m:naryPr>
            <m:sub>
              <m:r>
                <m:t>ζ</m:t>
                <w:rPr>
                  <w:rFonts w:ascii="Cambria Math" w:hAnsi="Cambria Math"/>
                </w:rPr>
              </m:r>
              <m:r>
                <m:rPr>
                  <m:sty m:val="p"/>
                </m:rPr>
                <m:t>∈</m:t>
                <w:rPr>
                  <w:rFonts w:ascii="Cambria Math" w:hAnsi="Cambria Math"/>
                </w:rPr>
              </m:r>
              <m:r>
                <m:rPr>
                  <m:sty m:val="p"/>
                  <m:scr m:val="script"/>
                </m:rPr>
                <m:t>R</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sub>
            <m:sup>
              <m:r>
                <m:t>​</m:t>
                <w:rPr>
                  <w:rFonts w:ascii="Cambria Math" w:hAnsi="Cambria Math"/>
                </w:rPr>
              </m:r>
            </m:sup>
            <m:e>
              <m:r>
                <m:rPr>
                  <m:sty m:val="b"/>
                </m:rPr>
                <m:t>1</m:t>
                <w:rPr>
                  <w:rFonts w:ascii="Cambria Math" w:hAnsi="Cambria Math"/>
                </w:rPr>
              </m:r>
            </m:e>
          </m:nary>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t>R</m:t>
            <w:rPr>
              <w:rFonts w:ascii="Cambria Math" w:hAnsi="Cambria Math"/>
            </w:rPr>
          </m:r>
          <m:r>
            <m:rPr>
              <m:sty m:val="p"/>
            </m:rPr>
            <m:t>(</m:t>
            <w:rPr>
              <w:rFonts w:ascii="Cambria Math" w:hAnsi="Cambria Math"/>
            </w:rPr>
          </m:r>
          <m:sSup>
            <m:e>
              <m:r>
                <m:t>ζ</m:t>
                <w:rPr>
                  <w:rFonts w:ascii="Cambria Math" w:hAnsi="Cambria Math"/>
                </w:rPr>
              </m:r>
            </m:e>
            <m:sup>
              <m:r>
                <m:t>s</m:t>
                <w:rPr>
                  <w:rFonts w:ascii="Cambria Math" w:hAnsi="Cambria Math"/>
                </w:rPr>
              </m:r>
            </m:sup>
          </m:sSup>
          <m:r>
            <m:rPr>
              <m:sty m:val="p"/>
            </m:rPr>
            <m:t>)</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n</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nary>
            <m:naryPr>
              <m:chr m:val="∑"/>
              <m:limLoc m:val="undOvr"/>
              <m:subHide m:val="0"/>
              <m:supHide m:val="1"/>
            </m:naryPr>
            <m:sub>
              <m:r>
                <m:t>s</m:t>
                <w:rPr>
                  <w:rFonts w:ascii="Cambria Math" w:hAnsi="Cambria Math"/>
                </w:rPr>
              </m:r>
              <m:r>
                <m:rPr>
                  <m:sty m:val="p"/>
                </m:rPr>
                <m:t>∈</m:t>
                <w:rPr>
                  <w:rFonts w:ascii="Cambria Math" w:hAnsi="Cambria Math"/>
                </w:rPr>
              </m:r>
              <m:r>
                <m:t>S</m:t>
                <w:rPr>
                  <w:rFonts w:ascii="Cambria Math" w:hAnsi="Cambria Math"/>
                </w:rPr>
              </m:r>
            </m:sub>
            <m:sup>
              <m:r>
                <m:t>​</m:t>
                <w:rPr>
                  <w:rFonts w:ascii="Cambria Math" w:hAnsi="Cambria Math"/>
                </w:rPr>
              </m:r>
            </m:sup>
            <m:e>
              <m:sSub>
                <m:e>
                  <m:r>
                    <m:t>n</m:t>
                    <w:rPr>
                      <w:rFonts w:ascii="Cambria Math" w:hAnsi="Cambria Math"/>
                    </w:rPr>
                  </m:r>
                </m:e>
                <m:sub>
                  <m:r>
                    <m:t>s</m:t>
                    <w:rPr>
                      <w:rFonts w:ascii="Cambria Math" w:hAnsi="Cambria Math"/>
                    </w:rPr>
                  </m:r>
                </m:sub>
              </m:sSub>
            </m:e>
          </m:nary>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t> </m:t>
            <w:rPr>
              <w:rFonts w:ascii="Cambria Math" w:hAnsi="Cambria Math"/>
            </w:rPr>
          </m:r>
          <m:sSub>
            <m:e>
              <m:r>
                <m:t>p</m:t>
                <w:rPr>
                  <w:rFonts w:ascii="Cambria Math" w:hAnsi="Cambria Math"/>
                </w:rPr>
              </m:r>
            </m:e>
            <m:sub>
              <m:r>
                <m:t>s</m:t>
                <w:rPr>
                  <w:rFonts w:ascii="Cambria Math" w:hAnsi="Cambria Math"/>
                </w:rPr>
              </m:r>
            </m:sub>
          </m:sSub>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sSub>
            <m:e>
              <m:r>
                <m:t>n</m:t>
                <w:rPr>
                  <w:rFonts w:ascii="Cambria Math" w:hAnsi="Cambria Math"/>
                </w:rPr>
              </m:r>
            </m:e>
            <m:sub>
              <m:r>
                <m:t>s</m:t>
                <w:rPr>
                  <w:rFonts w:ascii="Cambria Math" w:hAnsi="Cambria Math"/>
                </w:rPr>
              </m:r>
            </m:sub>
          </m:sSub>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t>n</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oMath>
      </m:oMathPara>
    </w:p>
    <w:p>
      <w:pPr>
        <w:pStyle w:val="FirstParagraph"/>
        <w:widowControl/>
      </w:pPr>
      <w:r>
        <w:t xml:space="preserve">iは学習事例、sは選択座標、</w:t>
      </w:r>
      <m:oMath>
        <m:r>
          <m:rPr>
            <m:sty m:val="b"/>
          </m:rPr>
          <m:t>1</m:t>
          <w:rPr>
            <w:rFonts w:ascii="Cambria Math" w:hAnsi="Cambria Math"/>
          </w:rPr>
        </m:r>
      </m:oMath>
      <w:r>
        <w:t xml:space="preserve">は指示関数。n=0の点は近傍構成から除く。[p.9]</w:t>
      </w:r>
    </w:p>
    <w:p>
      <w:pPr>
        <w:pStyle w:val="BodyText"/>
        <w:widowControl/>
      </w:pPr>
      <m:oMathPara>
        <m:oMathParaPr>
          <m:jc m:val="center"/>
        </m:oMathParaPr>
        <m:oMath>
          <m:r>
            <m:t>G</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nary>
            <m:naryPr>
              <m:chr m:val="∑"/>
              <m:limLoc m:val="undOvr"/>
              <m:subHide m:val="0"/>
              <m:supHide m:val="1"/>
            </m:naryPr>
            <m:sub>
              <m:r>
                <m:t>s</m:t>
                <w:rPr>
                  <w:rFonts w:ascii="Cambria Math" w:hAnsi="Cambria Math"/>
                </w:rPr>
              </m:r>
            </m:sub>
            <m:sup>
              <m:r>
                <m:t>​</m:t>
                <w:rPr>
                  <w:rFonts w:ascii="Cambria Math" w:hAnsi="Cambria Math"/>
                </w:rPr>
              </m:r>
            </m:sup>
            <m:e>
              <m:sSub>
                <m:e>
                  <m:r>
                    <m:t>p</m:t>
                    <w:rPr>
                      <w:rFonts w:ascii="Cambria Math" w:hAnsi="Cambria Math"/>
                    </w:rPr>
                  </m:r>
                </m:e>
                <m:sub>
                  <m:r>
                    <m:t>s</m:t>
                    <w:rPr>
                      <w:rFonts w:ascii="Cambria Math" w:hAnsi="Cambria Math"/>
                    </w:rPr>
                  </m:r>
                </m:sub>
              </m:sSub>
            </m:e>
          </m:nary>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sSub>
            <m:e>
              <m:r>
                <m:t>p</m:t>
                <w:rPr>
                  <w:rFonts w:ascii="Cambria Math" w:hAnsi="Cambria Math"/>
                </w:rPr>
              </m:r>
            </m:e>
            <m:sub>
              <m:r>
                <m:t>s</m:t>
                <w:rPr>
                  <w:rFonts w:ascii="Cambria Math" w:hAnsi="Cambria Math"/>
                </w:rPr>
              </m:r>
            </m:sub>
          </m:sSub>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nary>
            <m:naryPr>
              <m:chr m:val="∑"/>
              <m:limLoc m:val="undOvr"/>
              <m:subHide m:val="0"/>
              <m:supHide m:val="1"/>
            </m:naryPr>
            <m:sub>
              <m:r>
                <m:t>s</m:t>
                <w:rPr>
                  <w:rFonts w:ascii="Cambria Math" w:hAnsi="Cambria Math"/>
                </w:rPr>
              </m:r>
            </m:sub>
            <m:sup>
              <m:r>
                <m:t>​</m:t>
                <w:rPr>
                  <w:rFonts w:ascii="Cambria Math" w:hAnsi="Cambria Math"/>
                </w:rPr>
              </m:r>
            </m:sup>
            <m:e>
              <m:sSub>
                <m:e>
                  <m:r>
                    <m:t>p</m:t>
                    <w:rPr>
                      <w:rFonts w:ascii="Cambria Math" w:hAnsi="Cambria Math"/>
                    </w:rPr>
                  </m:r>
                </m:e>
                <m:sub>
                  <m:r>
                    <m:t>s</m:t>
                    <w:rPr>
                      <w:rFonts w:ascii="Cambria Math" w:hAnsi="Cambria Math"/>
                    </w:rPr>
                  </m:r>
                </m:sub>
              </m:sSub>
            </m:e>
          </m:nary>
          <m:r>
            <m:rPr>
              <m:sty m:val="p"/>
            </m:rPr>
            <m:t>(</m:t>
            <w:rPr>
              <w:rFonts w:ascii="Cambria Math" w:hAnsi="Cambria Math"/>
            </w:rPr>
          </m:r>
          <m:sSub>
            <m:e>
              <m:r>
                <m:t>x</m:t>
                <w:rPr>
                  <w:rFonts w:ascii="Cambria Math" w:hAnsi="Cambria Math"/>
                </w:rPr>
              </m:r>
            </m:e>
            <m:sub>
              <m:r>
                <m:t>i</m:t>
                <w:rPr>
                  <w:rFonts w:ascii="Cambria Math" w:hAnsi="Cambria Math"/>
                </w:rPr>
              </m:r>
            </m:sub>
          </m:sSub>
          <m:sSup>
            <m:e>
              <m:r>
                <m:rPr>
                  <m:sty m:val="p"/>
                </m:rPr>
                <m:t>)</m:t>
                <w:rPr>
                  <w:rFonts w:ascii="Cambria Math" w:hAnsi="Cambria Math"/>
                </w:rPr>
              </m:r>
            </m:e>
            <m:sup>
              <m:r>
                <m:t>2</m:t>
                <w:rPr>
                  <w:rFonts w:ascii="Cambria Math" w:hAnsi="Cambria Math"/>
                </w:rPr>
              </m:r>
            </m:sup>
          </m:sSup>
          <m:r>
            <m:rPr>
              <m:sty m:val="p"/>
            </m:rPr>
            <m:t>,</m:t>
            <w:rPr>
              <w:rFonts w:ascii="Cambria Math" w:hAnsi="Cambria Math"/>
            </w:rPr>
          </m:r>
          <m:r>
            <m:t> </m:t>
            <w:rPr>
              <w:rFonts w:ascii="Cambria Math" w:hAnsi="Cambria Math"/>
            </w:rPr>
          </m:r>
          <m:r>
            <m:t>W</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r>
            <m:t>n</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t>G</m:t>
            <w:rPr>
              <w:rFonts w:ascii="Cambria Math" w:hAnsi="Cambria Math"/>
            </w:rPr>
          </m:r>
          <m:r>
            <m:rPr>
              <m:sty m:val="p"/>
            </m:rPr>
            <m:t>(</m:t>
            <w:rPr>
              <w:rFonts w:ascii="Cambria Math" w:hAnsi="Cambria Math"/>
            </w:rPr>
          </m:r>
          <m:sSub>
            <m:e>
              <m:r>
                <m:t>x</m:t>
                <w:rPr>
                  <w:rFonts w:ascii="Cambria Math" w:hAnsi="Cambria Math"/>
                </w:rPr>
              </m:r>
            </m:e>
            <m:sub>
              <m:r>
                <m:t>i</m:t>
                <w:rPr>
                  <w:rFonts w:ascii="Cambria Math" w:hAnsi="Cambria Math"/>
                </w:rPr>
              </m:r>
            </m:sub>
          </m:sSub>
          <m:r>
            <m:rPr>
              <m:sty m:val="p"/>
            </m:rPr>
            <m:t>)</m:t>
            <w:rPr>
              <w:rFonts w:ascii="Cambria Math" w:hAnsi="Cambria Math"/>
            </w:rPr>
          </m:r>
          <m:r>
            <m:rPr>
              <m:sty m:val="p"/>
            </m:rPr>
            <m:t>.</m:t>
            <w:rPr>
              <w:rFonts w:ascii="Cambria Math" w:hAnsi="Cambria Math"/>
            </w:rPr>
          </m:r>
        </m:oMath>
      </m:oMathPara>
    </w:p>
    <w:p>
      <w:pPr>
        <w:pStyle w:val="FirstParagraph"/>
        <w:widowControl/>
      </w:pPr>
      <w:r>
        <w:t xml:space="preserve">出現数が多く、複数座標に偏りなく現れる点を優先する。Wの大きいK点が</w:t>
      </w:r>
      <m:oMath>
        <m:sSub>
          <m:e>
            <m:r>
              <m:t>N</m:t>
              <w:rPr>
                <w:rFonts w:ascii="Cambria Math" w:hAnsi="Cambria Math"/>
              </w:rPr>
            </m:r>
          </m:e>
          <m:sub>
            <m:r>
              <m:t>K</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oMath>
      <w:r>
        <w:t xml:space="preserve">となる。</w:t>
      </w:r>
      <w:r>
        <w:rPr>
          <w:bCs/>
          <w:b/>
        </w:rPr>
        <w:t xml:space="preserve">Wが大きいほど参照点として優先され、後述のdが大きいほど入力が疑わしい。</w:t>
      </w:r>
    </w:p>
    <w:p>
      <w:pPr>
        <w:pStyle w:val="BodyText"/>
        <w:widowControl/>
      </w:pPr>
      <w:r>
        <w:t xml:space="preserve">二次元例：前節のルール、x=(0.8,0.8)、S={1,2}とする。</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565"/>
        <w:gridCol w:w="1874"/>
        <w:gridCol w:w="986"/>
        <w:gridCol w:w="1973"/>
        <w:gridCol w:w="1233"/>
        <w:gridCol w:w="543"/>
      </w:tblGrid>
      <w:tr>
        <w:trPr>
          <w:cantSplit/>
          <w:tblHeader/>
        </w:trPr>
        <w:tc>
          <w:tcPr>
            <w:tcW w:type="dxa" w:w="2565"/>
            <w:vAlign w:val="center"/>
            <w:shd w:fill="E7EDF3"/>
          </w:tcPr>
          <w:p>
            <w:pPr>
              <w:pStyle w:val="Compact"/>
              <w:keepNext w:val="0"/>
              <w:spacing w:after="40" w:before="40" w:line="264" w:lineRule="auto"/>
              <w:jc w:val="left"/>
            </w:pPr>
            <w:r>
              <w:rPr>
                <w:b/>
                <w:color w:val="000000"/>
                <w:sz w:val="19"/>
              </w:rPr>
              <w:t xml:space="preserve">学習点</w:t>
            </w:r>
          </w:p>
        </w:tc>
        <w:tc>
          <w:tcPr>
            <w:tcW w:type="dxa" w:w="1874"/>
            <w:vAlign w:val="center"/>
            <w:shd w:fill="E7EDF3"/>
          </w:tcPr>
          <w:p>
            <w:pPr>
              <w:pStyle w:val="Compact"/>
              <w:keepNext w:val="0"/>
              <w:spacing w:after="40" w:before="40" w:line="264" w:lineRule="auto"/>
              <w:jc w:val="left"/>
            </w:pPr>
            <w:r>
              <w:rPr>
                <w:b/>
                <w:color w:val="000000"/>
                <w:sz w:val="19"/>
              </w:rPr>
              <w:t xml:space="preserve">解除1／2の回数</w:t>
            </w:r>
          </w:p>
        </w:tc>
        <w:tc>
          <w:tcPr>
            <w:tcW w:type="dxa" w:w="986"/>
            <w:vAlign w:val="center"/>
            <w:shd w:fill="E7EDF3"/>
          </w:tcPr>
          <w:p>
            <w:pPr>
              <w:pStyle w:val="Compact"/>
              <w:keepNext w:val="0"/>
              <w:spacing w:after="40" w:before="40" w:line="264" w:lineRule="auto"/>
              <w:jc w:val="right"/>
            </w:pPr>
            <w:r>
              <w:rPr>
                <w:b/>
                <w:color w:val="000000"/>
                <w:sz w:val="19"/>
              </w:rPr>
              <w:t xml:space="preserve">n</w:t>
            </w:r>
          </w:p>
        </w:tc>
        <w:tc>
          <w:tcPr>
            <w:tcW w:type="dxa" w:w="1973"/>
            <w:vAlign w:val="center"/>
            <w:shd w:fill="E7EDF3"/>
          </w:tcPr>
          <w:p>
            <w:pPr>
              <w:pStyle w:val="Compact"/>
              <w:keepNext w:val="0"/>
              <w:spacing w:after="40" w:before="40" w:line="264" w:lineRule="auto"/>
              <w:jc w:val="left"/>
            </w:pPr>
            <w:r>
              <w:rPr>
                <w:b/>
                <w:color w:val="000000"/>
                <w:sz w:val="19"/>
              </w:rPr>
              <w:t xml:space="preserve">p</w:t>
            </w:r>
          </w:p>
        </w:tc>
        <w:tc>
          <w:tcPr>
            <w:tcW w:type="dxa" w:w="1233"/>
            <w:vAlign w:val="center"/>
            <w:shd w:fill="E7EDF3"/>
          </w:tcPr>
          <w:p>
            <w:pPr>
              <w:pStyle w:val="Compact"/>
              <w:keepNext w:val="0"/>
              <w:spacing w:after="40" w:before="40" w:line="264" w:lineRule="auto"/>
              <w:jc w:val="right"/>
            </w:pPr>
            <w:r>
              <w:rPr>
                <w:b/>
                <w:color w:val="000000"/>
                <w:sz w:val="19"/>
              </w:rPr>
              <w:t xml:space="preserve">G</w:t>
            </w:r>
          </w:p>
        </w:tc>
        <w:tc>
          <w:tcPr>
            <w:tcW w:type="dxa" w:w="543"/>
            <w:vAlign w:val="center"/>
            <w:shd w:fill="E7EDF3"/>
          </w:tcPr>
          <w:p>
            <w:pPr>
              <w:pStyle w:val="Compact"/>
              <w:keepNext w:val="0"/>
              <w:spacing w:after="40" w:before="40" w:line="264" w:lineRule="auto"/>
              <w:jc w:val="right"/>
            </w:pPr>
            <w:r>
              <w:rPr>
                <w:b/>
                <w:color w:val="000000"/>
                <w:sz w:val="19"/>
              </w:rPr>
              <w:t xml:space="preserve">W</w:t>
            </w:r>
          </w:p>
        </w:tc>
      </w:tr>
      <w:tr>
        <w:trPr>
          <w:cantSplit/>
        </w:trPr>
        <w:tc>
          <w:tcPr>
            <w:tcW w:type="dxa" w:w="2565"/>
            <w:vAlign w:val="center"/>
            <w:shd w:fill="FFFFFF"/>
          </w:tcPr>
          <w:p>
            <w:pPr>
              <w:pStyle w:val="Compact"/>
              <w:keepNext w:val="0"/>
              <w:spacing w:after="40" w:before="40" w:line="264" w:lineRule="auto"/>
              <w:jc w:val="left"/>
            </w:pPr>
            <w:r>
              <w:rPr>
                <w:color w:val="000000"/>
                <w:sz w:val="19"/>
              </w:rPr>
              <w:t xml:space="preserve">A=(0.6,0.7)</w:t>
            </w:r>
          </w:p>
        </w:tc>
        <w:tc>
          <w:tcPr>
            <w:tcW w:type="dxa" w:w="1874"/>
            <w:vAlign w:val="center"/>
            <w:shd w:fill="FFFFFF"/>
          </w:tcPr>
          <w:p>
            <w:pPr>
              <w:pStyle w:val="Compact"/>
              <w:keepNext w:val="0"/>
              <w:spacing w:after="40" w:before="40" w:line="264" w:lineRule="auto"/>
              <w:jc w:val="left"/>
            </w:pPr>
            <w:r>
              <w:rPr>
                <w:color w:val="000000"/>
                <w:sz w:val="19"/>
              </w:rPr>
              <w:t xml:space="preserve">(1,1)</w:t>
            </w:r>
          </w:p>
        </w:tc>
        <w:tc>
          <w:tcPr>
            <w:tcW w:type="dxa" w:w="986"/>
            <w:vAlign w:val="center"/>
            <w:shd w:fill="FFFFFF"/>
          </w:tcPr>
          <w:p>
            <w:pPr>
              <w:pStyle w:val="Compact"/>
              <w:keepNext w:val="0"/>
              <w:spacing w:after="40" w:before="40" w:line="264" w:lineRule="auto"/>
              <w:jc w:val="center"/>
            </w:pPr>
            <w:r>
              <w:rPr>
                <w:color w:val="000000"/>
                <w:sz w:val="19"/>
              </w:rPr>
              <w:t xml:space="preserve">2</w:t>
            </w:r>
          </w:p>
        </w:tc>
        <w:tc>
          <w:tcPr>
            <w:tcW w:type="dxa" w:w="1973"/>
            <w:vAlign w:val="center"/>
            <w:shd w:fill="FFFFFF"/>
          </w:tcPr>
          <w:p>
            <w:pPr>
              <w:pStyle w:val="Compact"/>
              <w:keepNext w:val="0"/>
              <w:spacing w:after="40" w:before="40" w:line="264" w:lineRule="auto"/>
              <w:jc w:val="left"/>
            </w:pPr>
            <w:r>
              <w:rPr>
                <w:color w:val="000000"/>
                <w:sz w:val="19"/>
              </w:rPr>
              <w:t xml:space="preserve">(0.5,0.5)</w:t>
            </w:r>
          </w:p>
        </w:tc>
        <w:tc>
          <w:tcPr>
            <w:tcW w:type="dxa" w:w="1233"/>
            <w:vAlign w:val="center"/>
            <w:shd w:fill="FFFFFF"/>
          </w:tcPr>
          <w:p>
            <w:pPr>
              <w:pStyle w:val="Compact"/>
              <w:keepNext w:val="0"/>
              <w:spacing w:after="40" w:before="40" w:line="264" w:lineRule="auto"/>
              <w:jc w:val="center"/>
            </w:pPr>
            <w:r>
              <w:rPr>
                <w:color w:val="000000"/>
                <w:sz w:val="19"/>
              </w:rPr>
              <w:t xml:space="preserve">0.5</w:t>
            </w:r>
          </w:p>
        </w:tc>
        <w:tc>
          <w:tcPr>
            <w:tcW w:type="dxa" w:w="543"/>
            <w:vAlign w:val="center"/>
            <w:shd w:fill="FFFFFF"/>
          </w:tcPr>
          <w:p>
            <w:pPr>
              <w:pStyle w:val="Compact"/>
              <w:keepNext w:val="0"/>
              <w:spacing w:after="40" w:before="40" w:line="264" w:lineRule="auto"/>
              <w:jc w:val="center"/>
            </w:pPr>
            <w:r>
              <w:rPr>
                <w:color w:val="000000"/>
                <w:sz w:val="19"/>
              </w:rPr>
              <w:t xml:space="preserve">1</w:t>
            </w:r>
          </w:p>
        </w:tc>
      </w:tr>
      <w:tr>
        <w:trPr>
          <w:cantSplit/>
        </w:trPr>
        <w:tc>
          <w:tcPr>
            <w:tcW w:type="dxa" w:w="2565"/>
            <w:vAlign w:val="center"/>
            <w:shd w:fill="F7F8FA"/>
          </w:tcPr>
          <w:p>
            <w:pPr>
              <w:pStyle w:val="Compact"/>
              <w:keepNext w:val="0"/>
              <w:spacing w:after="40" w:before="40" w:line="264" w:lineRule="auto"/>
              <w:jc w:val="left"/>
            </w:pPr>
            <w:r>
              <w:rPr>
                <w:color w:val="000000"/>
                <w:sz w:val="19"/>
              </w:rPr>
              <w:t xml:space="preserve">B=(1.2,0.8)</w:t>
            </w:r>
          </w:p>
        </w:tc>
        <w:tc>
          <w:tcPr>
            <w:tcW w:type="dxa" w:w="1874"/>
            <w:vAlign w:val="center"/>
            <w:shd w:fill="F7F8FA"/>
          </w:tcPr>
          <w:p>
            <w:pPr>
              <w:pStyle w:val="Compact"/>
              <w:keepNext w:val="0"/>
              <w:spacing w:after="40" w:before="40" w:line="264" w:lineRule="auto"/>
              <w:jc w:val="left"/>
            </w:pPr>
            <w:r>
              <w:rPr>
                <w:color w:val="000000"/>
                <w:sz w:val="19"/>
              </w:rPr>
              <w:t xml:space="preserve">(1,0)</w:t>
            </w:r>
          </w:p>
        </w:tc>
        <w:tc>
          <w:tcPr>
            <w:tcW w:type="dxa" w:w="986"/>
            <w:vAlign w:val="center"/>
            <w:shd w:fill="F7F8FA"/>
          </w:tcPr>
          <w:p>
            <w:pPr>
              <w:pStyle w:val="Compact"/>
              <w:keepNext w:val="0"/>
              <w:spacing w:after="40" w:before="40" w:line="264" w:lineRule="auto"/>
              <w:jc w:val="center"/>
            </w:pPr>
            <w:r>
              <w:rPr>
                <w:color w:val="000000"/>
                <w:sz w:val="19"/>
              </w:rPr>
              <w:t xml:space="preserve">1</w:t>
            </w:r>
          </w:p>
        </w:tc>
        <w:tc>
          <w:tcPr>
            <w:tcW w:type="dxa" w:w="1973"/>
            <w:vAlign w:val="center"/>
            <w:shd w:fill="F7F8FA"/>
          </w:tcPr>
          <w:p>
            <w:pPr>
              <w:pStyle w:val="Compact"/>
              <w:keepNext w:val="0"/>
              <w:spacing w:after="40" w:before="40" w:line="264" w:lineRule="auto"/>
              <w:jc w:val="left"/>
            </w:pPr>
            <w:r>
              <w:rPr>
                <w:color w:val="000000"/>
                <w:sz w:val="19"/>
              </w:rPr>
              <w:t xml:space="preserve">(1,0)</w:t>
            </w:r>
          </w:p>
        </w:tc>
        <w:tc>
          <w:tcPr>
            <w:tcW w:type="dxa" w:w="1233"/>
            <w:vAlign w:val="center"/>
            <w:shd w:fill="F7F8FA"/>
          </w:tcPr>
          <w:p>
            <w:pPr>
              <w:pStyle w:val="Compact"/>
              <w:keepNext w:val="0"/>
              <w:spacing w:after="40" w:before="40" w:line="264" w:lineRule="auto"/>
              <w:jc w:val="center"/>
            </w:pPr>
            <w:r>
              <w:rPr>
                <w:color w:val="000000"/>
                <w:sz w:val="19"/>
              </w:rPr>
              <w:t xml:space="preserve">0</w:t>
            </w:r>
          </w:p>
        </w:tc>
        <w:tc>
          <w:tcPr>
            <w:tcW w:type="dxa" w:w="543"/>
            <w:vAlign w:val="center"/>
            <w:shd w:fill="F7F8FA"/>
          </w:tcPr>
          <w:p>
            <w:pPr>
              <w:pStyle w:val="Compact"/>
              <w:keepNext w:val="0"/>
              <w:spacing w:after="40" w:before="40" w:line="264" w:lineRule="auto"/>
              <w:jc w:val="center"/>
            </w:pPr>
            <w:r>
              <w:rPr>
                <w:color w:val="000000"/>
                <w:sz w:val="19"/>
              </w:rPr>
              <w:t xml:space="preserve">0</w:t>
            </w:r>
          </w:p>
        </w:tc>
      </w:tr>
      <w:tr>
        <w:trPr>
          <w:cantSplit/>
        </w:trPr>
        <w:tc>
          <w:tcPr>
            <w:tcW w:type="dxa" w:w="2565"/>
            <w:vAlign w:val="center"/>
            <w:shd w:fill="FFFFFF"/>
          </w:tcPr>
          <w:p>
            <w:pPr>
              <w:pStyle w:val="Compact"/>
              <w:keepNext w:val="0"/>
              <w:spacing w:after="40" w:before="40" w:line="264" w:lineRule="auto"/>
              <w:jc w:val="left"/>
            </w:pPr>
            <w:r>
              <w:rPr>
                <w:color w:val="000000"/>
                <w:sz w:val="19"/>
              </w:rPr>
              <w:t xml:space="preserve">C=(0.9,0.5)</w:t>
            </w:r>
          </w:p>
        </w:tc>
        <w:tc>
          <w:tcPr>
            <w:tcW w:type="dxa" w:w="1874"/>
            <w:vAlign w:val="center"/>
            <w:shd w:fill="FFFFFF"/>
          </w:tcPr>
          <w:p>
            <w:pPr>
              <w:pStyle w:val="Compact"/>
              <w:keepNext w:val="0"/>
              <w:spacing w:after="40" w:before="40" w:line="264" w:lineRule="auto"/>
              <w:jc w:val="left"/>
            </w:pPr>
            <w:r>
              <w:rPr>
                <w:color w:val="000000"/>
                <w:sz w:val="19"/>
              </w:rPr>
              <w:t xml:space="preserve">(1,1)</w:t>
            </w:r>
          </w:p>
        </w:tc>
        <w:tc>
          <w:tcPr>
            <w:tcW w:type="dxa" w:w="986"/>
            <w:vAlign w:val="center"/>
            <w:shd w:fill="FFFFFF"/>
          </w:tcPr>
          <w:p>
            <w:pPr>
              <w:pStyle w:val="Compact"/>
              <w:keepNext w:val="0"/>
              <w:spacing w:after="40" w:before="40" w:line="264" w:lineRule="auto"/>
              <w:jc w:val="center"/>
            </w:pPr>
            <w:r>
              <w:rPr>
                <w:color w:val="000000"/>
                <w:sz w:val="19"/>
              </w:rPr>
              <w:t xml:space="preserve">2</w:t>
            </w:r>
          </w:p>
        </w:tc>
        <w:tc>
          <w:tcPr>
            <w:tcW w:type="dxa" w:w="1973"/>
            <w:vAlign w:val="center"/>
            <w:shd w:fill="FFFFFF"/>
          </w:tcPr>
          <w:p>
            <w:pPr>
              <w:pStyle w:val="Compact"/>
              <w:keepNext w:val="0"/>
              <w:spacing w:after="40" w:before="40" w:line="264" w:lineRule="auto"/>
              <w:jc w:val="left"/>
            </w:pPr>
            <w:r>
              <w:rPr>
                <w:color w:val="000000"/>
                <w:sz w:val="19"/>
              </w:rPr>
              <w:t xml:space="preserve">(0.5,0.5)</w:t>
            </w:r>
          </w:p>
        </w:tc>
        <w:tc>
          <w:tcPr>
            <w:tcW w:type="dxa" w:w="1233"/>
            <w:vAlign w:val="center"/>
            <w:shd w:fill="FFFFFF"/>
          </w:tcPr>
          <w:p>
            <w:pPr>
              <w:pStyle w:val="Compact"/>
              <w:keepNext w:val="0"/>
              <w:spacing w:after="40" w:before="40" w:line="264" w:lineRule="auto"/>
              <w:jc w:val="center"/>
            </w:pPr>
            <w:r>
              <w:rPr>
                <w:color w:val="000000"/>
                <w:sz w:val="19"/>
              </w:rPr>
              <w:t xml:space="preserve">0.5</w:t>
            </w:r>
          </w:p>
        </w:tc>
        <w:tc>
          <w:tcPr>
            <w:tcW w:type="dxa" w:w="543"/>
            <w:vAlign w:val="center"/>
            <w:shd w:fill="FFFFFF"/>
          </w:tcPr>
          <w:p>
            <w:pPr>
              <w:pStyle w:val="Compact"/>
              <w:keepNext w:val="0"/>
              <w:spacing w:after="40" w:before="40" w:line="264" w:lineRule="auto"/>
              <w:jc w:val="center"/>
            </w:pPr>
            <w:r>
              <w:rPr>
                <w:color w:val="000000"/>
                <w:sz w:val="19"/>
              </w:rPr>
              <w:t xml:space="preserve">1</w:t>
            </w:r>
          </w:p>
        </w:tc>
      </w:tr>
    </w:tbl>
    <w:p>
      <w:pPr>
        <w:pStyle w:val="BodyText"/>
        <w:widowControl/>
      </w:pPr>
      <w:r>
        <w:t xml:space="preserve">K=2ならAとCが選ばれる。Bは</w:t>
      </w:r>
      <m:oMath>
        <m:sSub>
          <m:e>
            <m:r>
              <m:t>x</m:t>
              <w:rPr>
                <w:rFonts w:ascii="Cambria Math" w:hAnsi="Cambria Math"/>
              </w:rPr>
            </m:r>
          </m:e>
          <m:sub>
            <m:r>
              <m:t>1</m:t>
              <w:rPr>
                <w:rFonts w:ascii="Cambria Math" w:hAnsi="Cambria Math"/>
              </w:rPr>
            </m:r>
          </m:sub>
        </m:sSub>
      </m:oMath>
      <w:r>
        <w:t xml:space="preserve">制約を外した場合しか現れない。実際には複数の木のルールで累積する。</w:t>
      </w:r>
    </w:p>
    <w:p>
      <w:pPr>
        <w:pStyle w:val="BodyText"/>
        <w:widowControl/>
      </w:pPr>
      <w:r>
        <w:rPr>
          <w:bCs/>
          <w:b/>
        </w:rPr>
        <w:t xml:space="preserve">図1の検討事項。</w:t>
      </w:r>
      <w:r>
        <w:t xml:space="preserve"> </w:t>
      </w:r>
      <w:r>
        <w:t xml:space="preserve">p.8では一つの三次元ルールについてAの回数(1,1,1)、Bの回数(0,1,1)が示される。しかし、一つの軸平行矩形で異なる二座標の解除領域の両方に属する点は、元の矩形にも属し、全ての解除領域に属する。したがって「単一ルールでちょうど二つだけに入る」という説明には幾何学的な疑問がある。複数ルールを累積した不均等頻度とは区別が必要である。本報告では整合的な二次元例を用い、これをソフトウェアの誤りと断定しない。【導出】</w:t>
      </w:r>
    </w:p>
    <w:p>
      <w:pPr>
        <w:pStyle w:val="BodyText"/>
        <w:widowControl/>
      </w:pPr>
      <w:r>
        <w:rPr>
          <w:bCs/>
          <w:b/>
        </w:rPr>
        <w:t xml:space="preserve">E 結論。</w:t>
      </w:r>
    </w:p>
    <w:p>
      <w:pPr>
        <w:widowControl/>
        <w:numPr>
          <w:ilvl w:val="0"/>
          <w:numId w:val="1004"/>
        </w:numPr>
        <w:pStyle w:val="Compact"/>
      </w:pPr>
      <w:r>
        <w:t xml:space="preserve">近傍は通常の距離最近傍ではない。</w:t>
      </w:r>
    </w:p>
    <w:p>
      <w:pPr>
        <w:widowControl/>
        <w:numPr>
          <w:ilvl w:val="0"/>
          <w:numId w:val="1004"/>
        </w:numPr>
        <w:pStyle w:val="Compact"/>
      </w:pPr>
      <w:r>
        <w:t xml:space="preserve">出現回数と均等さの両方を使う。</w:t>
      </w:r>
    </w:p>
    <w:p>
      <w:pPr>
        <w:widowControl/>
        <w:numPr>
          <w:ilvl w:val="0"/>
          <w:numId w:val="1004"/>
        </w:numPr>
        <w:pStyle w:val="Compact"/>
      </w:pPr>
      <w:r>
        <w:t xml:space="preserve">図解、退化条件、実装上の例外処理を確認する必要がある。</w:t>
      </w:r>
    </w:p>
    <w:bookmarkEnd w:id="29"/>
    <w:bookmarkStart w:id="30" w:name="methodology-3.4選択部分空間で最終距離を計算"/>
    <w:p>
      <w:pPr>
        <w:pStyle w:val="Heading3"/>
        <w:widowControl/>
      </w:pPr>
      <w:r>
        <w:rPr>
          <w:color w:val="000000"/>
        </w:rPr>
        <w:t xml:space="preserve">3.5 Methodology 3.4：選択部分空間で最終距離を計算</w:t>
      </w:r>
    </w:p>
    <w:p>
      <w:pPr>
        <w:pStyle w:val="FirstParagraph"/>
        <w:widowControl/>
      </w:pPr>
      <w:r>
        <w:rPr>
          <w:bCs/>
          <w:b/>
        </w:rPr>
        <w:t xml:space="preserve">A 内容。</w:t>
      </w:r>
      <w:r>
        <w:t xml:space="preserve"> </w:t>
      </w:r>
      <w:r>
        <w:t xml:space="preserve">学習平均・標準偏差で標準化し、選択変数だけで参照点との差を評価する。[p.10表1]</w:t>
      </w:r>
    </w:p>
    <w:p>
      <w:pPr>
        <w:pStyle w:val="BodyText"/>
        <w:widowControl/>
      </w:pPr>
      <w:r>
        <w:rPr>
          <w:bCs/>
          <w:b/>
        </w:rPr>
        <w:t xml:space="preserve">B 役割。</w:t>
      </w:r>
      <w:r>
        <w:t xml:space="preserve"> </w:t>
      </w:r>
      <w:r>
        <w:t xml:space="preserve">木のルールで比較相手を選び、数値距離でどれだけ離れたかを測る。葉領域が外側に伸びる場合、同じ葉に入るだけでは越境の大きさを測れない。</w:t>
      </w:r>
    </w:p>
    <w:p>
      <w:pPr>
        <w:pStyle w:val="BodyText"/>
        <w:widowControl/>
      </w:pPr>
      <w:r>
        <w:rPr>
          <w:bCs/>
          <w:b/>
        </w:rPr>
        <w:t xml:space="preserve">C 概念。</w:t>
      </w:r>
      <w:r>
        <w:t xml:space="preserve"> </w:t>
      </w:r>
      <m:oMath>
        <m:sSub>
          <m:e>
            <m:acc>
              <m:accPr>
                <m:chr m:val="̃"/>
              </m:accPr>
              <m:e>
                <m:r>
                  <m:t>x</m:t>
                  <w:rPr>
                    <w:rFonts w:ascii="Cambria Math" w:hAnsi="Cambria Math"/>
                  </w:rPr>
                </m:r>
              </m:e>
            </m:acc>
          </m:e>
          <m:sub>
            <m:r>
              <m:t>s</m:t>
              <w:rPr>
                <w:rFonts w:ascii="Cambria Math" w:hAnsi="Cambria Math"/>
              </w:rPr>
            </m:r>
          </m:sub>
        </m:sSub>
        <m:r>
          <m:rPr>
            <m:sty m:val="p"/>
          </m:rPr>
          <m:t>=</m:t>
          <w:rPr>
            <w:rFonts w:ascii="Cambria Math" w:hAnsi="Cambria Math"/>
          </w:rPr>
        </m:r>
        <m:r>
          <m:rPr>
            <m:sty m:val="p"/>
          </m:rPr>
          <m:t>(</m:t>
          <w:rPr>
            <w:rFonts w:ascii="Cambria Math" w:hAnsi="Cambria Math"/>
          </w:rPr>
        </m:r>
        <m:sSub>
          <m:e>
            <m:r>
              <m:t>x</m:t>
              <w:rPr>
                <w:rFonts w:ascii="Cambria Math" w:hAnsi="Cambria Math"/>
              </w:rPr>
            </m:r>
          </m:e>
          <m:sub>
            <m:r>
              <m:t>s</m:t>
              <w:rPr>
                <w:rFonts w:ascii="Cambria Math" w:hAnsi="Cambria Math"/>
              </w:rPr>
            </m:r>
          </m:sub>
        </m:sSub>
        <m:r>
          <m:rPr>
            <m:sty m:val="p"/>
          </m:rPr>
          <m:t>−</m:t>
          <w:rPr>
            <w:rFonts w:ascii="Cambria Math" w:hAnsi="Cambria Math"/>
          </w:rPr>
        </m:r>
        <m:sSub>
          <m:e>
            <m:r>
              <m:t>μ</m:t>
              <w:rPr>
                <w:rFonts w:ascii="Cambria Math" w:hAnsi="Cambria Math"/>
              </w:rPr>
            </m:r>
          </m:e>
          <m:sub>
            <m:r>
              <m:t>s</m:t>
              <w:rPr>
                <w:rFonts w:ascii="Cambria Math" w:hAnsi="Cambria Math"/>
              </w:rPr>
            </m:r>
          </m:sub>
        </m:sSub>
        <m:r>
          <m:rPr>
            <m:sty m:val="p"/>
          </m:rPr>
          <m:t>)</m:t>
          <w:rPr>
            <w:rFonts w:ascii="Cambria Math" w:hAnsi="Cambria Math"/>
          </w:rPr>
        </m:r>
        <m:r>
          <m:rPr>
            <m:sty m:val="p"/>
          </m:rPr>
          <m:t>/</m:t>
          <w:rPr>
            <w:rFonts w:ascii="Cambria Math" w:hAnsi="Cambria Math"/>
          </w:rPr>
        </m:r>
        <m:sSub>
          <m:e>
            <m:r>
              <m:t>σ</m:t>
              <w:rPr>
                <w:rFonts w:ascii="Cambria Math" w:hAnsi="Cambria Math"/>
              </w:rPr>
            </m:r>
          </m:e>
          <m:sub>
            <m:r>
              <m:t>s</m:t>
              <w:rPr>
                <w:rFonts w:ascii="Cambria Math" w:hAnsi="Cambria Math"/>
              </w:rPr>
            </m:r>
          </m:sub>
        </m:sSub>
      </m:oMath>
      <w:r>
        <w:t xml:space="preserve">は単位差を除く標準化、</w:t>
      </w:r>
      <m:oMath>
        <m:sSub>
          <m:e>
            <m:r>
              <m:t>w</m:t>
              <w:rPr>
                <w:rFonts w:ascii="Cambria Math" w:hAnsi="Cambria Math"/>
              </w:rPr>
            </m:r>
          </m:e>
          <m:sub>
            <m:r>
              <m:t>s</m:t>
              <w:rPr>
                <w:rFonts w:ascii="Cambria Math" w:hAnsi="Cambria Math"/>
              </w:rPr>
            </m:r>
          </m:sub>
        </m:sSub>
        <m:r>
          <m:rPr>
            <m:sty m:val="p"/>
          </m:rPr>
          <m:t>&gt;</m:t>
          <w:rPr>
            <w:rFonts w:ascii="Cambria Math" w:hAnsi="Cambria Math"/>
          </w:rPr>
        </m:r>
        <m:r>
          <m:t>0</m:t>
          <w:rPr>
            <w:rFonts w:ascii="Cambria Math" w:hAnsi="Cambria Math"/>
          </w:rPr>
        </m:r>
      </m:oMath>
      <w:r>
        <w:t xml:space="preserve">は正規化した重要度、Mahalanobis距離は共分散を考慮する距離、OPTICSは局所到達可能距離を与える。前処理統計量は学習データから求める。</w:t>
      </w:r>
    </w:p>
    <w:p>
      <w:pPr>
        <w:pStyle w:val="BodyText"/>
        <w:widowControl/>
      </w:pPr>
      <w:r>
        <w:rPr>
          <w:bCs/>
          <w:b/>
        </w:rPr>
        <w:t xml:space="preserve">D 重要式と計算例。</w:t>
      </w:r>
    </w:p>
    <w:p>
      <w:pPr>
        <w:pStyle w:val="BodyText"/>
        <w:widowControl/>
      </w:pPr>
      <m:oMathPara>
        <m:oMathParaPr>
          <m:jc m:val="center"/>
        </m:oMathParaPr>
        <m:oMath>
          <m:r>
            <m:t>d</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f>
            <m:fPr>
              <m:type m:val="bar"/>
            </m:fPr>
            <m:num>
              <m:r>
                <m:t>1</m:t>
                <w:rPr>
                  <w:rFonts w:ascii="Cambria Math" w:hAnsi="Cambria Math"/>
                </w:rPr>
              </m:r>
            </m:num>
            <m:den>
              <m:r>
                <m:t>K</m:t>
                <w:rPr>
                  <w:rFonts w:ascii="Cambria Math" w:hAnsi="Cambria Math"/>
                </w:rPr>
              </m:r>
            </m:den>
          </m:f>
          <m:nary>
            <m:naryPr>
              <m:chr m:val="∑"/>
              <m:limLoc m:val="undOvr"/>
              <m:subHide m:val="0"/>
              <m:supHide m:val="1"/>
            </m:naryPr>
            <m:sub>
              <m:r>
                <m:t>z</m:t>
                <w:rPr>
                  <w:rFonts w:ascii="Cambria Math" w:hAnsi="Cambria Math"/>
                </w:rPr>
              </m:r>
              <m:r>
                <m:rPr>
                  <m:sty m:val="p"/>
                </m:rPr>
                <m:t>∈</m:t>
                <w:rPr>
                  <w:rFonts w:ascii="Cambria Math" w:hAnsi="Cambria Math"/>
                </w:rPr>
              </m:r>
              <m:sSub>
                <m:e>
                  <m:r>
                    <m:t>N</m:t>
                    <w:rPr>
                      <w:rFonts w:ascii="Cambria Math" w:hAnsi="Cambria Math"/>
                    </w:rPr>
                  </m:r>
                </m:e>
                <m:sub>
                  <m:r>
                    <m:t>K</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sub>
            <m:sup>
              <m:r>
                <m:t>​</m:t>
                <w:rPr>
                  <w:rFonts w:ascii="Cambria Math" w:hAnsi="Cambria Math"/>
                </w:rPr>
              </m:r>
            </m:sup>
            <m:e>
              <m:sSub>
                <m:e>
                  <m:r>
                    <m:t>D</m:t>
                    <w:rPr>
                      <w:rFonts w:ascii="Cambria Math" w:hAnsi="Cambria Math"/>
                    </w:rPr>
                  </m:r>
                </m:e>
                <m:sub>
                  <m:r>
                    <m:t>S</m:t>
                    <w:rPr>
                      <w:rFonts w:ascii="Cambria Math" w:hAnsi="Cambria Math"/>
                    </w:rPr>
                  </m:r>
                </m:sub>
              </m:sSub>
            </m:e>
          </m:nary>
          <m:r>
            <m:rPr>
              <m:sty m:val="p"/>
            </m:rPr>
            <m:t>(</m:t>
            <w:rPr>
              <w:rFonts w:ascii="Cambria Math" w:hAnsi="Cambria Math"/>
            </w:rPr>
          </m:r>
          <m:acc>
            <m:accPr>
              <m:chr m:val="̃"/>
            </m:accPr>
            <m:e>
              <m:r>
                <m:t>x</m:t>
                <w:rPr>
                  <w:rFonts w:ascii="Cambria Math" w:hAnsi="Cambria Math"/>
                </w:rPr>
              </m:r>
            </m:e>
          </m:acc>
          <m:r>
            <m:rPr>
              <m:sty m:val="p"/>
            </m:rPr>
            <m:t>,</m:t>
            <w:rPr>
              <w:rFonts w:ascii="Cambria Math" w:hAnsi="Cambria Math"/>
            </w:rPr>
          </m:r>
          <m:acc>
            <m:accPr>
              <m:chr m:val="̃"/>
            </m:accPr>
            <m:e>
              <m:r>
                <m:t>z</m:t>
                <w:rPr>
                  <w:rFonts w:ascii="Cambria Math" w:hAnsi="Cambria Math"/>
                </w:rPr>
              </m:r>
            </m:e>
          </m:acc>
          <m:r>
            <m:rPr>
              <m:sty m:val="p"/>
            </m:rPr>
            <m:t>)</m:t>
            <w:rPr>
              <w:rFonts w:ascii="Cambria Math" w:hAnsi="Cambria Math"/>
            </w:rPr>
          </m:r>
          <m:r>
            <m:rPr>
              <m:sty m:val="p"/>
            </m:rPr>
            <m:t>,</m:t>
            <w:rPr>
              <w:rFonts w:ascii="Cambria Math" w:hAnsi="Cambria Math"/>
            </w:rPr>
          </m:r>
          <m:r>
            <m:t>  </m:t>
            <w:rPr>
              <w:rFonts w:ascii="Cambria Math" w:hAnsi="Cambria Math"/>
            </w:rPr>
          </m:r>
          <m:sSub>
            <m:e>
              <m:r>
                <m:t>D</m:t>
                <w:rPr>
                  <w:rFonts w:ascii="Cambria Math" w:hAnsi="Cambria Math"/>
                </w:rPr>
              </m:r>
            </m:e>
            <m:sub>
              <m:r>
                <m:t>M</m:t>
                <w:rPr>
                  <w:rFonts w:ascii="Cambria Math" w:hAnsi="Cambria Math"/>
                </w:rPr>
              </m:r>
              <m:r>
                <m:t>a</m:t>
                <w:rPr>
                  <w:rFonts w:ascii="Cambria Math" w:hAnsi="Cambria Math"/>
                </w:rPr>
              </m:r>
              <m:r>
                <m:t>n</m:t>
                <w:rPr>
                  <w:rFonts w:ascii="Cambria Math" w:hAnsi="Cambria Math"/>
                </w:rPr>
              </m:r>
            </m:sub>
          </m:sSub>
          <m:r>
            <m:rPr>
              <m:sty m:val="p"/>
            </m:rPr>
            <m:t>(</m:t>
            <w:rPr>
              <w:rFonts w:ascii="Cambria Math" w:hAnsi="Cambria Math"/>
            </w:rPr>
          </m:r>
          <m:acc>
            <m:accPr>
              <m:chr m:val="̃"/>
            </m:accPr>
            <m:e>
              <m:r>
                <m:t>x</m:t>
                <w:rPr>
                  <w:rFonts w:ascii="Cambria Math" w:hAnsi="Cambria Math"/>
                </w:rPr>
              </m:r>
            </m:e>
          </m:acc>
          <m:r>
            <m:rPr>
              <m:sty m:val="p"/>
            </m:rPr>
            <m:t>,</m:t>
            <w:rPr>
              <w:rFonts w:ascii="Cambria Math" w:hAnsi="Cambria Math"/>
            </w:rPr>
          </m:r>
          <m:acc>
            <m:accPr>
              <m:chr m:val="̃"/>
            </m:accPr>
            <m:e>
              <m:r>
                <m:t>z</m:t>
                <w:rPr>
                  <w:rFonts w:ascii="Cambria Math" w:hAnsi="Cambria Math"/>
                </w:rPr>
              </m:r>
            </m:e>
          </m:acc>
          <m:r>
            <m:rPr>
              <m:sty m:val="p"/>
            </m:rPr>
            <m:t>)</m:t>
            <w:rPr>
              <w:rFonts w:ascii="Cambria Math" w:hAnsi="Cambria Math"/>
            </w:rPr>
          </m:r>
          <m:r>
            <m:rPr>
              <m:sty m:val="p"/>
            </m:rPr>
            <m:t>=</m:t>
            <w:rPr>
              <w:rFonts w:ascii="Cambria Math" w:hAnsi="Cambria Math"/>
            </w:rPr>
          </m:r>
          <m:nary>
            <m:naryPr>
              <m:chr m:val="∑"/>
              <m:limLoc m:val="undOvr"/>
              <m:subHide m:val="0"/>
              <m:supHide m:val="1"/>
            </m:naryPr>
            <m:sub>
              <m:r>
                <m:t>s</m:t>
                <w:rPr>
                  <w:rFonts w:ascii="Cambria Math" w:hAnsi="Cambria Math"/>
                </w:rPr>
              </m:r>
              <m:r>
                <m:rPr>
                  <m:sty m:val="p"/>
                </m:rPr>
                <m:t>∈</m:t>
                <w:rPr>
                  <w:rFonts w:ascii="Cambria Math" w:hAnsi="Cambria Math"/>
                </w:rPr>
              </m:r>
              <m:r>
                <m:t>S</m:t>
                <w:rPr>
                  <w:rFonts w:ascii="Cambria Math" w:hAnsi="Cambria Math"/>
                </w:rPr>
              </m:r>
            </m:sub>
            <m:sup>
              <m:r>
                <m:t>​</m:t>
                <w:rPr>
                  <w:rFonts w:ascii="Cambria Math" w:hAnsi="Cambria Math"/>
                </w:rPr>
              </m:r>
            </m:sup>
            <m:e>
              <m:sSub>
                <m:e>
                  <m:r>
                    <m:t>w</m:t>
                    <w:rPr>
                      <w:rFonts w:ascii="Cambria Math" w:hAnsi="Cambria Math"/>
                    </w:rPr>
                  </m:r>
                </m:e>
                <m:sub>
                  <m:r>
                    <m:t>s</m:t>
                    <w:rPr>
                      <w:rFonts w:ascii="Cambria Math" w:hAnsi="Cambria Math"/>
                    </w:rPr>
                  </m:r>
                </m:sub>
              </m:sSub>
            </m:e>
          </m:nary>
          <m:r>
            <m:rPr>
              <m:sty m:val="p"/>
            </m:rPr>
            <m:t>|</m:t>
            <w:rPr>
              <w:rFonts w:ascii="Cambria Math" w:hAnsi="Cambria Math"/>
            </w:rPr>
          </m:r>
          <m:sSub>
            <m:e>
              <m:acc>
                <m:accPr>
                  <m:chr m:val="̃"/>
                </m:accPr>
                <m:e>
                  <m:r>
                    <m:t>x</m:t>
                    <w:rPr>
                      <w:rFonts w:ascii="Cambria Math" w:hAnsi="Cambria Math"/>
                    </w:rPr>
                  </m:r>
                </m:e>
              </m:acc>
            </m:e>
            <m:sub>
              <m:r>
                <m:t>s</m:t>
                <w:rPr>
                  <w:rFonts w:ascii="Cambria Math" w:hAnsi="Cambria Math"/>
                </w:rPr>
              </m:r>
            </m:sub>
          </m:sSub>
          <m:r>
            <m:rPr>
              <m:sty m:val="p"/>
            </m:rPr>
            <m:t>−</m:t>
            <w:rPr>
              <w:rFonts w:ascii="Cambria Math" w:hAnsi="Cambria Math"/>
            </w:rPr>
          </m:r>
          <m:sSub>
            <m:e>
              <m:acc>
                <m:accPr>
                  <m:chr m:val="̃"/>
                </m:accPr>
                <m:e>
                  <m:r>
                    <m:t>z</m:t>
                    <w:rPr>
                      <w:rFonts w:ascii="Cambria Math" w:hAnsi="Cambria Math"/>
                    </w:rPr>
                  </m:r>
                </m:e>
              </m:acc>
            </m:e>
            <m:sub>
              <m:r>
                <m:t>s</m:t>
                <w:rPr>
                  <w:rFonts w:ascii="Cambria Math" w:hAnsi="Cambria Math"/>
                </w:rPr>
              </m:r>
            </m:sub>
          </m:sSub>
          <m:r>
            <m:rPr>
              <m:sty m:val="p"/>
            </m:rPr>
            <m:t>|</m:t>
            <w:rPr>
              <w:rFonts w:ascii="Cambria Math" w:hAnsi="Cambria Math"/>
            </w:rPr>
          </m:r>
          <m:r>
            <m:rPr>
              <m:sty m:val="p"/>
            </m:rPr>
            <m:t>.</m:t>
            <w:rPr>
              <w:rFonts w:ascii="Cambria Math" w:hAnsi="Cambria Math"/>
            </w:rPr>
          </m:r>
        </m:oMath>
      </m:oMathPara>
    </w:p>
    <w:p>
      <w:pPr>
        <w:pStyle w:val="FirstParagraph"/>
        <w:widowControl/>
      </w:pPr>
      <w:r>
        <w:t xml:space="preserve">前節の座標を標準化済みとし、</w:t>
      </w:r>
      <m:oMath>
        <m:sSub>
          <m:e>
            <m:r>
              <m:t>w</m:t>
              <w:rPr>
                <w:rFonts w:ascii="Cambria Math" w:hAnsi="Cambria Math"/>
              </w:rPr>
            </m:r>
          </m:e>
          <m:sub>
            <m:r>
              <m:t>1</m:t>
              <w:rPr>
                <w:rFonts w:ascii="Cambria Math" w:hAnsi="Cambria Math"/>
              </w:rPr>
            </m:r>
          </m:sub>
        </m:sSub>
        <m:r>
          <m:rPr>
            <m:sty m:val="p"/>
          </m:rPr>
          <m:t>=</m:t>
          <w:rPr>
            <w:rFonts w:ascii="Cambria Math" w:hAnsi="Cambria Math"/>
          </w:rPr>
        </m:r>
        <m:r>
          <m:t>0.75</m:t>
          <w:rPr>
            <w:rFonts w:ascii="Cambria Math" w:hAnsi="Cambria Math"/>
          </w:rPr>
        </m:r>
        <m:r>
          <m:rPr>
            <m:sty m:val="p"/>
          </m:rPr>
          <m:t>,</m:t>
          <w:rPr>
            <w:rFonts w:ascii="Cambria Math" w:hAnsi="Cambria Math"/>
          </w:rPr>
        </m:r>
        <m:sSub>
          <m:e>
            <m:r>
              <m:t>w</m:t>
              <w:rPr>
                <w:rFonts w:ascii="Cambria Math" w:hAnsi="Cambria Math"/>
              </w:rPr>
            </m:r>
          </m:e>
          <m:sub>
            <m:r>
              <m:t>2</m:t>
              <w:rPr>
                <w:rFonts w:ascii="Cambria Math" w:hAnsi="Cambria Math"/>
              </w:rPr>
            </m:r>
          </m:sub>
        </m:sSub>
        <m:r>
          <m:rPr>
            <m:sty m:val="p"/>
          </m:rPr>
          <m:t>=</m:t>
          <w:rPr>
            <w:rFonts w:ascii="Cambria Math" w:hAnsi="Cambria Math"/>
          </w:rPr>
        </m:r>
        <m:r>
          <m:t>0.25</m:t>
          <w:rPr>
            <w:rFonts w:ascii="Cambria Math" w:hAnsi="Cambria Math"/>
          </w:rPr>
        </m:r>
      </m:oMath>
      <w:r>
        <w:t xml:space="preserve">とする。Aまで0.175、Cまで0.150、平均d=0.1625となる。校正閾値がないため、この値だけではOODと判定できない。</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変種</w:t>
            </w:r>
          </w:p>
        </w:tc>
        <w:tc>
          <w:tcPr>
            <w:tcW w:type="dxa" w:w="3946"/>
            <w:vAlign w:val="center"/>
            <w:shd w:fill="E7EDF3"/>
          </w:tcPr>
          <w:p>
            <w:pPr>
              <w:pStyle w:val="Compact"/>
              <w:keepNext w:val="0"/>
              <w:spacing w:after="40" w:before="40" w:line="264" w:lineRule="auto"/>
              <w:jc w:val="left"/>
            </w:pPr>
            <w:r>
              <w:rPr>
                <w:b/>
                <w:color w:val="000000"/>
                <w:sz w:val="19"/>
              </w:rPr>
              <w:t xml:space="preserve">式（$</w:t>
            </w:r>
            <w:r>
              <w:rPr>
                <w:b/>
                <w:color w:val="000000"/>
                <w:sz w:val="19"/>
              </w:rPr>
              <w:t xml:space="preserve">_s=</w:t>
            </w:r>
            <w:r>
              <w:rPr>
                <w:b/>
                <w:color w:val="000000"/>
                <w:sz w:val="19"/>
              </w:rPr>
              <w:t xml:space="preserve">x_s-</w:t>
            </w:r>
            <w:r>
              <w:rPr>
                <w:b/>
                <w:color w:val="000000"/>
                <w:sz w:val="19"/>
              </w:rPr>
              <w:t xml:space="preserve">z_s</w:t>
            </w:r>
            <w:r>
              <w:rPr>
                <w:b/>
                <w:color w:val="000000"/>
                <w:sz w:val="19"/>
              </w:rPr>
              <w:t xml:space="preserve">$）</w:t>
            </w:r>
          </w:p>
        </w:tc>
        <w:tc>
          <w:tcPr>
            <w:tcW w:type="dxa" w:w="3749"/>
            <w:vAlign w:val="center"/>
            <w:shd w:fill="E7EDF3"/>
          </w:tcPr>
          <w:p>
            <w:pPr>
              <w:pStyle w:val="Compact"/>
              <w:keepNext w:val="0"/>
              <w:spacing w:after="40" w:before="40" w:line="264" w:lineRule="auto"/>
              <w:jc w:val="left"/>
            </w:pPr>
            <w:r>
              <w:rPr>
                <w:b/>
                <w:color w:val="000000"/>
                <w:sz w:val="19"/>
              </w:rPr>
              <w:t xml:space="preserve">意味・条件</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Product</w:t>
            </w:r>
          </w:p>
        </w:tc>
        <w:tc>
          <w:tcPr>
            <w:tcW w:type="dxa" w:w="3946"/>
            <w:vAlign w:val="center"/>
            <w:shd w:fill="FFFFFF"/>
          </w:tcPr>
          <w:p>
            <w:pPr>
              <w:pStyle w:val="Compact"/>
              <w:keepNext w:val="0"/>
              <w:spacing w:after="40" w:before="40" w:line="264" w:lineRule="auto"/>
              <w:jc w:val="left"/>
            </w:pPr>
            <m:oMath>
              <m:nary>
                <m:naryPr>
                  <m:chr m:val="∏"/>
                  <m:limLoc m:val="undOvr"/>
                  <m:subHide m:val="0"/>
                  <m:supHide m:val="1"/>
                </m:naryPr>
                <m:sub>
                  <m:r>
                    <m:t>s</m:t>
                    <w:rPr>
                      <w:rFonts w:ascii="Cambria Math" w:hAnsi="Cambria Math"/>
                    </w:rPr>
                  </m:r>
                </m:sub>
                <m:sup>
                  <m:r>
                    <m:t>​</m:t>
                    <w:rPr>
                      <w:rFonts w:ascii="Cambria Math" w:hAnsi="Cambria Math"/>
                    </w:rPr>
                  </m:r>
                </m:sup>
                <m:e>
                  <m:r>
                    <m:rPr>
                      <m:sty m:val="p"/>
                    </m:rPr>
                    <m:t>(</m:t>
                    <w:rPr>
                      <w:rFonts w:ascii="Cambria Math" w:hAnsi="Cambria Math"/>
                    </w:rPr>
                  </m:r>
                </m:e>
              </m:nary>
              <m:sSub>
                <m:e>
                  <m:r>
                    <m:t>Δ</m:t>
                    <w:rPr>
                      <w:rFonts w:ascii="Cambria Math" w:hAnsi="Cambria Math"/>
                    </w:rPr>
                  </m:r>
                </m:e>
                <m:sub>
                  <m:r>
                    <m:t>s</m:t>
                    <w:rPr>
                      <w:rFonts w:ascii="Cambria Math" w:hAnsi="Cambria Math"/>
                    </w:rPr>
                  </m:r>
                </m:sub>
              </m:sSub>
              <m:r>
                <m:rPr>
                  <m:sty m:val="p"/>
                </m:rPr>
                <m:t>+</m:t>
                <w:rPr>
                  <w:rFonts w:ascii="Cambria Math" w:hAnsi="Cambria Math"/>
                </w:rPr>
              </m:r>
              <m:r>
                <m:t>ϵ</m:t>
                <w:rPr>
                  <w:rFonts w:ascii="Cambria Math" w:hAnsi="Cambria Math"/>
                </w:rPr>
              </m:r>
              <m:sSup>
                <m:e>
                  <m:r>
                    <m:rPr>
                      <m:sty m:val="p"/>
                    </m:rPr>
                    <m:t>)</m:t>
                    <w:rPr>
                      <w:rFonts w:ascii="Cambria Math" w:hAnsi="Cambria Math"/>
                    </w:rPr>
                  </m:r>
                </m:e>
                <m:sup>
                  <m:sSub>
                    <m:e>
                      <m:r>
                        <m:t>w</m:t>
                        <w:rPr>
                          <w:rFonts w:ascii="Cambria Math" w:hAnsi="Cambria Math"/>
                        </w:rPr>
                      </m:r>
                    </m:e>
                    <m:sub>
                      <m:r>
                        <m:t>s</m:t>
                        <w:rPr>
                          <w:rFonts w:ascii="Cambria Math" w:hAnsi="Cambria Math"/>
                        </w:rPr>
                      </m:r>
                    </m:sub>
                  </m:sSub>
                </m:sup>
              </m:sSup>
            </m:oMath>
          </w:p>
        </w:tc>
        <w:tc>
          <w:tcPr>
            <w:tcW w:type="dxa" w:w="3749"/>
            <w:vAlign w:val="center"/>
            <w:shd w:fill="FFFFFF"/>
          </w:tcPr>
          <w:p>
            <w:pPr>
              <w:pStyle w:val="Compact"/>
              <w:keepNext w:val="0"/>
              <w:spacing w:after="40" w:before="40" w:line="264" w:lineRule="auto"/>
              <w:jc w:val="left"/>
            </w:pPr>
            <w:r>
              <w:rPr>
                <w:color w:val="000000"/>
                <w:sz w:val="19"/>
              </w:rPr>
              <w:t xml:space="preserve">乗法的差異。</w:t>
            </w:r>
            <m:oMath>
              <m:r>
                <m:t>ϵ</m:t>
                <w:rPr>
                  <w:rFonts w:ascii="Cambria Math" w:hAnsi="Cambria Math"/>
                </w:rPr>
              </m:r>
              <m:r>
                <m:rPr>
                  <m:sty m:val="p"/>
                </m:rPr>
                <m:t>&gt;</m:t>
                <w:rPr>
                  <w:rFonts w:ascii="Cambria Math" w:hAnsi="Cambria Math"/>
                </w:rPr>
              </m:r>
              <m:r>
                <m:t>0</m:t>
                <w:rPr>
                  <w:rFonts w:ascii="Cambria Math" w:hAnsi="Cambria Math"/>
                </w:rPr>
              </m:r>
            </m:oMath>
            <w:r>
              <w:rPr>
                <w:color w:val="000000"/>
                <w:sz w:val="19"/>
              </w:rPr>
              <w:t xml:space="preserve">は数値安定化。厳密な距離公理を全て満たすとは限らない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Euclidean</w:t>
            </w:r>
          </w:p>
        </w:tc>
        <w:tc>
          <w:tcPr>
            <w:tcW w:type="dxa" w:w="3946"/>
            <w:vAlign w:val="center"/>
            <w:shd w:fill="F7F8FA"/>
          </w:tcPr>
          <w:p>
            <w:pPr>
              <w:pStyle w:val="Compact"/>
              <w:keepNext w:val="0"/>
              <w:spacing w:after="40" w:before="40" w:line="264" w:lineRule="auto"/>
              <w:jc w:val="left"/>
            </w:pPr>
            <m:oMath>
              <m:r>
                <m:rPr>
                  <m:sty m:val="p"/>
                </m:rPr>
                <m:t>(</m:t>
                <w:rPr>
                  <w:rFonts w:ascii="Cambria Math" w:hAnsi="Cambria Math"/>
                </w:rPr>
              </m:r>
              <m:nary>
                <m:naryPr>
                  <m:chr m:val="∑"/>
                  <m:limLoc m:val="undOvr"/>
                  <m:subHide m:val="0"/>
                  <m:supHide m:val="1"/>
                </m:naryPr>
                <m:sub>
                  <m:r>
                    <m:t>s</m:t>
                    <w:rPr>
                      <w:rFonts w:ascii="Cambria Math" w:hAnsi="Cambria Math"/>
                    </w:rPr>
                  </m:r>
                </m:sub>
                <m:sup>
                  <m:r>
                    <m:t>​</m:t>
                    <w:rPr>
                      <w:rFonts w:ascii="Cambria Math" w:hAnsi="Cambria Math"/>
                    </w:rPr>
                  </m:r>
                </m:sup>
                <m:e>
                  <m:sSub>
                    <m:e>
                      <m:r>
                        <m:t>w</m:t>
                        <w:rPr>
                          <w:rFonts w:ascii="Cambria Math" w:hAnsi="Cambria Math"/>
                        </w:rPr>
                      </m:r>
                    </m:e>
                    <m:sub>
                      <m:r>
                        <m:t>s</m:t>
                        <w:rPr>
                          <w:rFonts w:ascii="Cambria Math" w:hAnsi="Cambria Math"/>
                        </w:rPr>
                      </m:r>
                    </m:sub>
                  </m:sSub>
                </m:e>
              </m:nary>
              <m:sSubSup>
                <m:e>
                  <m:r>
                    <m:t>Δ</m:t>
                    <w:rPr>
                      <w:rFonts w:ascii="Cambria Math" w:hAnsi="Cambria Math"/>
                    </w:rPr>
                  </m:r>
                </m:e>
                <m:sub>
                  <m:r>
                    <m:t>s</m:t>
                    <w:rPr>
                      <w:rFonts w:ascii="Cambria Math" w:hAnsi="Cambria Math"/>
                    </w:rPr>
                  </m:r>
                </m:sub>
                <m:sup>
                  <m:r>
                    <m:t>2</m:t>
                    <w:rPr>
                      <w:rFonts w:ascii="Cambria Math" w:hAnsi="Cambria Math"/>
                    </w:rPr>
                  </m:r>
                </m:sup>
              </m:sSubSup>
              <m:sSup>
                <m:e>
                  <m:r>
                    <m:rPr>
                      <m:sty m:val="p"/>
                    </m:rPr>
                    <m:t>)</m:t>
                    <w:rPr>
                      <w:rFonts w:ascii="Cambria Math" w:hAnsi="Cambria Math"/>
                    </w:rPr>
                  </m:r>
                </m:e>
                <m:sup>
                  <m:r>
                    <m:t>1</m:t>
                    <w:rPr>
                      <w:rFonts w:ascii="Cambria Math" w:hAnsi="Cambria Math"/>
                    </w:rPr>
                  </m:r>
                  <m:r>
                    <m:rPr>
                      <m:sty m:val="p"/>
                    </m:rPr>
                    <m:t>/</m:t>
                    <w:rPr>
                      <w:rFonts w:ascii="Cambria Math" w:hAnsi="Cambria Math"/>
                    </w:rPr>
                  </m:r>
                  <m:r>
                    <m:t>2</m:t>
                    <w:rPr>
                      <w:rFonts w:ascii="Cambria Math" w:hAnsi="Cambria Math"/>
                    </w:rPr>
                  </m:r>
                </m:sup>
              </m:sSup>
            </m:oMath>
          </w:p>
        </w:tc>
        <w:tc>
          <w:tcPr>
            <w:tcW w:type="dxa" w:w="3749"/>
            <w:vAlign w:val="center"/>
            <w:shd w:fill="F7F8FA"/>
          </w:tcPr>
          <w:p>
            <w:pPr>
              <w:pStyle w:val="Compact"/>
              <w:keepNext w:val="0"/>
              <w:spacing w:after="40" w:before="40" w:line="264" w:lineRule="auto"/>
              <w:jc w:val="left"/>
            </w:pPr>
            <w:r>
              <w:rPr>
                <w:color w:val="000000"/>
                <w:sz w:val="19"/>
              </w:rPr>
              <w:t xml:space="preserve">大きい差を強調</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Manhattan</w:t>
            </w:r>
          </w:p>
        </w:tc>
        <w:tc>
          <w:tcPr>
            <w:tcW w:type="dxa" w:w="3946"/>
            <w:vAlign w:val="center"/>
            <w:shd w:fill="FFFFFF"/>
          </w:tcPr>
          <w:p>
            <w:pPr>
              <w:pStyle w:val="Compact"/>
              <w:keepNext w:val="0"/>
              <w:spacing w:after="40" w:before="40" w:line="264" w:lineRule="auto"/>
              <w:jc w:val="left"/>
            </w:pPr>
            <m:oMath>
              <m:nary>
                <m:naryPr>
                  <m:chr m:val="∑"/>
                  <m:limLoc m:val="undOvr"/>
                  <m:subHide m:val="0"/>
                  <m:supHide m:val="1"/>
                </m:naryPr>
                <m:sub>
                  <m:r>
                    <m:t>s</m:t>
                    <w:rPr>
                      <w:rFonts w:ascii="Cambria Math" w:hAnsi="Cambria Math"/>
                    </w:rPr>
                  </m:r>
                </m:sub>
                <m:sup>
                  <m:r>
                    <m:t>​</m:t>
                    <w:rPr>
                      <w:rFonts w:ascii="Cambria Math" w:hAnsi="Cambria Math"/>
                    </w:rPr>
                  </m:r>
                </m:sup>
                <m:e>
                  <m:sSub>
                    <m:e>
                      <m:r>
                        <m:t>w</m:t>
                        <w:rPr>
                          <w:rFonts w:ascii="Cambria Math" w:hAnsi="Cambria Math"/>
                        </w:rPr>
                      </m:r>
                    </m:e>
                    <m:sub>
                      <m:r>
                        <m:t>s</m:t>
                        <w:rPr>
                          <w:rFonts w:ascii="Cambria Math" w:hAnsi="Cambria Math"/>
                        </w:rPr>
                      </m:r>
                    </m:sub>
                  </m:sSub>
                </m:e>
              </m:nary>
              <m:sSub>
                <m:e>
                  <m:r>
                    <m:t>Δ</m:t>
                    <w:rPr>
                      <w:rFonts w:ascii="Cambria Math" w:hAnsi="Cambria Math"/>
                    </w:rPr>
                  </m:r>
                </m:e>
                <m:sub>
                  <m:r>
                    <m:t>s</m:t>
                    <w:rPr>
                      <w:rFonts w:ascii="Cambria Math" w:hAnsi="Cambria Math"/>
                    </w:rPr>
                  </m:r>
                </m:sub>
              </m:sSub>
            </m:oMath>
          </w:p>
        </w:tc>
        <w:tc>
          <w:tcPr>
            <w:tcW w:type="dxa" w:w="3749"/>
            <w:vAlign w:val="center"/>
            <w:shd w:fill="FFFFFF"/>
          </w:tcPr>
          <w:p>
            <w:pPr>
              <w:pStyle w:val="Compact"/>
              <w:keepNext w:val="0"/>
              <w:spacing w:after="40" w:before="40" w:line="264" w:lineRule="auto"/>
              <w:jc w:val="left"/>
            </w:pPr>
            <w:r>
              <w:rPr>
                <w:color w:val="000000"/>
                <w:sz w:val="19"/>
              </w:rPr>
              <w:t xml:space="preserve">変数別寄与として説明しやすい</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Minkowski</w:t>
            </w:r>
          </w:p>
        </w:tc>
        <w:tc>
          <w:tcPr>
            <w:tcW w:type="dxa" w:w="3946"/>
            <w:vAlign w:val="center"/>
            <w:shd w:fill="F7F8FA"/>
          </w:tcPr>
          <w:p>
            <w:pPr>
              <w:pStyle w:val="Compact"/>
              <w:keepNext w:val="0"/>
              <w:spacing w:after="40" w:before="40" w:line="264" w:lineRule="auto"/>
              <w:jc w:val="left"/>
            </w:pPr>
            <m:oMath>
              <m:r>
                <m:rPr>
                  <m:sty m:val="p"/>
                </m:rPr>
                <m:t>(</m:t>
                <w:rPr>
                  <w:rFonts w:ascii="Cambria Math" w:hAnsi="Cambria Math"/>
                </w:rPr>
              </m:r>
              <m:nary>
                <m:naryPr>
                  <m:chr m:val="∑"/>
                  <m:limLoc m:val="undOvr"/>
                  <m:subHide m:val="0"/>
                  <m:supHide m:val="1"/>
                </m:naryPr>
                <m:sub>
                  <m:r>
                    <m:t>s</m:t>
                    <w:rPr>
                      <w:rFonts w:ascii="Cambria Math" w:hAnsi="Cambria Math"/>
                    </w:rPr>
                  </m:r>
                </m:sub>
                <m:sup>
                  <m:r>
                    <m:t>​</m:t>
                    <w:rPr>
                      <w:rFonts w:ascii="Cambria Math" w:hAnsi="Cambria Math"/>
                    </w:rPr>
                  </m:r>
                </m:sup>
                <m:e>
                  <m:sSub>
                    <m:e>
                      <m:r>
                        <m:t>w</m:t>
                        <w:rPr>
                          <w:rFonts w:ascii="Cambria Math" w:hAnsi="Cambria Math"/>
                        </w:rPr>
                      </m:r>
                    </m:e>
                    <m:sub>
                      <m:r>
                        <m:t>s</m:t>
                        <w:rPr>
                          <w:rFonts w:ascii="Cambria Math" w:hAnsi="Cambria Math"/>
                        </w:rPr>
                      </m:r>
                    </m:sub>
                  </m:sSub>
                </m:e>
              </m:nary>
              <m:sSubSup>
                <m:e>
                  <m:r>
                    <m:t>Δ</m:t>
                    <w:rPr>
                      <w:rFonts w:ascii="Cambria Math" w:hAnsi="Cambria Math"/>
                    </w:rPr>
                  </m:r>
                </m:e>
                <m:sub>
                  <m:r>
                    <m:t>s</m:t>
                    <w:rPr>
                      <w:rFonts w:ascii="Cambria Math" w:hAnsi="Cambria Math"/>
                    </w:rPr>
                  </m:r>
                </m:sub>
                <m:sup>
                  <m:r>
                    <m:t>p</m:t>
                    <w:rPr>
                      <w:rFonts w:ascii="Cambria Math" w:hAnsi="Cambria Math"/>
                    </w:rPr>
                  </m:r>
                </m:sup>
              </m:sSubSup>
              <m:sSup>
                <m:e>
                  <m:r>
                    <m:rPr>
                      <m:sty m:val="p"/>
                    </m:rPr>
                    <m:t>)</m:t>
                    <w:rPr>
                      <w:rFonts w:ascii="Cambria Math" w:hAnsi="Cambria Math"/>
                    </w:rPr>
                  </m:r>
                </m:e>
                <m:sup>
                  <m:r>
                    <m:t>1</m:t>
                    <w:rPr>
                      <w:rFonts w:ascii="Cambria Math" w:hAnsi="Cambria Math"/>
                    </w:rPr>
                  </m:r>
                  <m:r>
                    <m:rPr>
                      <m:sty m:val="p"/>
                    </m:rPr>
                    <m:t>/</m:t>
                    <w:rPr>
                      <w:rFonts w:ascii="Cambria Math" w:hAnsi="Cambria Math"/>
                    </w:rPr>
                  </m:r>
                  <m:r>
                    <m:t>p</m:t>
                    <w:rPr>
                      <w:rFonts w:ascii="Cambria Math" w:hAnsi="Cambria Math"/>
                    </w:rPr>
                  </m:r>
                </m:sup>
              </m:sSup>
            </m:oMath>
            <w:r>
              <w:rPr>
                <w:color w:val="000000"/>
                <w:sz w:val="19"/>
              </w:rPr>
              <w:t xml:space="preserve">、p=4</w:t>
            </w:r>
          </w:p>
        </w:tc>
        <w:tc>
          <w:tcPr>
            <w:tcW w:type="dxa" w:w="3749"/>
            <w:vAlign w:val="center"/>
            <w:shd w:fill="F7F8FA"/>
          </w:tcPr>
          <w:p>
            <w:pPr>
              <w:pStyle w:val="Compact"/>
              <w:keepNext w:val="0"/>
              <w:spacing w:after="40" w:before="40" w:line="264" w:lineRule="auto"/>
              <w:jc w:val="left"/>
            </w:pPr>
            <w:r>
              <w:rPr>
                <w:color w:val="000000"/>
                <w:sz w:val="19"/>
              </w:rPr>
              <w:t xml:space="preserve">欧氏距離より大きい座標差を強調</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Mahalanobis</w:t>
            </w:r>
          </w:p>
        </w:tc>
        <w:tc>
          <w:tcPr>
            <w:tcW w:type="dxa" w:w="3946"/>
            <w:vAlign w:val="center"/>
            <w:shd w:fill="FFFFFF"/>
          </w:tcPr>
          <w:p>
            <w:pPr>
              <w:pStyle w:val="Compact"/>
              <w:keepNext w:val="0"/>
              <w:spacing w:after="40" w:before="40" w:line="264" w:lineRule="auto"/>
              <w:jc w:val="left"/>
            </w:pPr>
            <m:oMath>
              <m:r>
                <m:rPr>
                  <m:sty m:val="p"/>
                </m:rPr>
                <m:t>(</m:t>
                <w:rPr>
                  <w:rFonts w:ascii="Cambria Math" w:hAnsi="Cambria Math"/>
                </w:rPr>
              </m:r>
              <m:sSup>
                <m:e>
                  <m:r>
                    <m:t>Δ</m:t>
                    <w:rPr>
                      <w:rFonts w:ascii="Cambria Math" w:hAnsi="Cambria Math"/>
                    </w:rPr>
                  </m:r>
                </m:e>
                <m:sup>
                  <m:r>
                    <m:t>T</m:t>
                    <w:rPr>
                      <w:rFonts w:ascii="Cambria Math" w:hAnsi="Cambria Math"/>
                    </w:rPr>
                  </m:r>
                </m:sup>
              </m:sSup>
              <m:sSubSup>
                <m:e>
                  <m:r>
                    <m:t>Σ</m:t>
                    <w:rPr>
                      <w:rFonts w:ascii="Cambria Math" w:hAnsi="Cambria Math"/>
                    </w:rPr>
                  </m:r>
                </m:e>
                <m:sub>
                  <m:r>
                    <m:t>S</m:t>
                    <w:rPr>
                      <w:rFonts w:ascii="Cambria Math" w:hAnsi="Cambria Math"/>
                    </w:rPr>
                  </m:r>
                </m:sub>
                <m:sup>
                  <m:r>
                    <m:rPr>
                      <m:sty m:val="p"/>
                    </m:rPr>
                    <m:t>−</m:t>
                    <w:rPr>
                      <w:rFonts w:ascii="Cambria Math" w:hAnsi="Cambria Math"/>
                    </w:rPr>
                  </m:r>
                  <m:r>
                    <m:t>1</m:t>
                    <w:rPr>
                      <w:rFonts w:ascii="Cambria Math" w:hAnsi="Cambria Math"/>
                    </w:rPr>
                  </m:r>
                </m:sup>
              </m:sSubSup>
              <m:r>
                <m:t>Δ</m:t>
                <w:rPr>
                  <w:rFonts w:ascii="Cambria Math" w:hAnsi="Cambria Math"/>
                </w:rPr>
              </m:r>
              <m:sSup>
                <m:e>
                  <m:r>
                    <m:rPr>
                      <m:sty m:val="p"/>
                    </m:rPr>
                    <m:t>)</m:t>
                    <w:rPr>
                      <w:rFonts w:ascii="Cambria Math" w:hAnsi="Cambria Math"/>
                    </w:rPr>
                  </m:r>
                </m:e>
                <m:sup>
                  <m:r>
                    <m:t>1</m:t>
                    <w:rPr>
                      <w:rFonts w:ascii="Cambria Math" w:hAnsi="Cambria Math"/>
                    </w:rPr>
                  </m:r>
                  <m:r>
                    <m:rPr>
                      <m:sty m:val="p"/>
                    </m:rPr>
                    <m:t>/</m:t>
                    <w:rPr>
                      <w:rFonts w:ascii="Cambria Math" w:hAnsi="Cambria Math"/>
                    </w:rPr>
                  </m:r>
                  <m:r>
                    <m:t>2</m:t>
                    <w:rPr>
                      <w:rFonts w:ascii="Cambria Math" w:hAnsi="Cambria Math"/>
                    </w:rPr>
                  </m:r>
                </m:sup>
              </m:sSup>
            </m:oMath>
            <w:r>
              <w:rPr>
                <w:color w:val="000000"/>
                <w:sz w:val="19"/>
              </w:rPr>
              <w:t xml:space="preserve">、この行は符号付き差ベクトル</w:t>
            </w:r>
          </w:p>
        </w:tc>
        <w:tc>
          <w:tcPr>
            <w:tcW w:type="dxa" w:w="3749"/>
            <w:vAlign w:val="center"/>
            <w:shd w:fill="FFFFFF"/>
          </w:tcPr>
          <w:p>
            <w:pPr>
              <w:pStyle w:val="Compact"/>
              <w:keepNext w:val="0"/>
              <w:spacing w:after="40" w:before="40" w:line="264" w:lineRule="auto"/>
              <w:jc w:val="left"/>
            </w:pPr>
            <w:r>
              <w:rPr>
                <w:color w:val="000000"/>
                <w:sz w:val="19"/>
              </w:rPr>
              <w:t xml:space="preserve">学習相関を考慮。表1では追加のVarPro座標重みを使わない。逆行列が必要</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OPTICS</w:t>
            </w:r>
          </w:p>
        </w:tc>
        <w:tc>
          <w:tcPr>
            <w:tcW w:type="dxa" w:w="3946"/>
            <w:vAlign w:val="center"/>
            <w:shd w:fill="F7F8FA"/>
          </w:tcPr>
          <w:p>
            <w:pPr>
              <w:pStyle w:val="Compact"/>
              <w:keepNext w:val="0"/>
              <w:spacing w:after="40" w:before="40" w:line="264" w:lineRule="auto"/>
              <w:jc w:val="left"/>
            </w:pPr>
            <m:oMath>
              <m:r>
                <m:t>R</m:t>
                <w:rPr>
                  <w:rFonts w:ascii="Cambria Math" w:hAnsi="Cambria Math"/>
                </w:rPr>
              </m:r>
              <m:r>
                <m:t>e</m:t>
                <w:rPr>
                  <w:rFonts w:ascii="Cambria Math" w:hAnsi="Cambria Math"/>
                </w:rPr>
              </m:r>
              <m:r>
                <m:t>a</m:t>
                <w:rPr>
                  <w:rFonts w:ascii="Cambria Math" w:hAnsi="Cambria Math"/>
                </w:rPr>
              </m:r>
              <m:r>
                <m:t>c</m:t>
                <w:rPr>
                  <w:rFonts w:ascii="Cambria Math" w:hAnsi="Cambria Math"/>
                </w:rPr>
              </m:r>
              <m:r>
                <m:t>h</m:t>
                <w:rPr>
                  <w:rFonts w:ascii="Cambria Math" w:hAnsi="Cambria Math"/>
                </w:rPr>
              </m:r>
              <m:r>
                <m:t>a</m:t>
                <w:rPr>
                  <w:rFonts w:ascii="Cambria Math" w:hAnsi="Cambria Math"/>
                </w:rPr>
              </m:r>
              <m:r>
                <m:t>b</m:t>
                <w:rPr>
                  <w:rFonts w:ascii="Cambria Math" w:hAnsi="Cambria Math"/>
                </w:rPr>
              </m:r>
              <m:r>
                <m:t>i</m:t>
                <w:rPr>
                  <w:rFonts w:ascii="Cambria Math" w:hAnsi="Cambria Math"/>
                </w:rPr>
              </m:r>
              <m:r>
                <m:t>l</m:t>
                <w:rPr>
                  <w:rFonts w:ascii="Cambria Math" w:hAnsi="Cambria Math"/>
                </w:rPr>
              </m:r>
              <m:r>
                <m:t>i</m:t>
                <w:rPr>
                  <w:rFonts w:ascii="Cambria Math" w:hAnsi="Cambria Math"/>
                </w:rPr>
              </m:r>
              <m:r>
                <m:t>t</m:t>
                <w:rPr>
                  <w:rFonts w:ascii="Cambria Math" w:hAnsi="Cambria Math"/>
                </w:rPr>
              </m:r>
              <m:r>
                <m:t>y</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sSub>
                <m:e>
                  <m:r>
                    <m:t>N</m:t>
                    <w:rPr>
                      <w:rFonts w:ascii="Cambria Math" w:hAnsi="Cambria Math"/>
                    </w:rPr>
                  </m:r>
                </m:e>
                <m:sub>
                  <m:r>
                    <m:t>K</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t>m</m:t>
                <w:rPr>
                  <w:rFonts w:ascii="Cambria Math" w:hAnsi="Cambria Math"/>
                </w:rPr>
              </m:r>
              <m:r>
                <m:t>i</m:t>
                <w:rPr>
                  <w:rFonts w:ascii="Cambria Math" w:hAnsi="Cambria Math"/>
                </w:rPr>
              </m:r>
              <m:r>
                <m:t>n</m:t>
                <w:rPr>
                  <w:rFonts w:ascii="Cambria Math" w:hAnsi="Cambria Math"/>
                </w:rPr>
              </m:r>
              <m:r>
                <m:t>P</m:t>
                <w:rPr>
                  <w:rFonts w:ascii="Cambria Math" w:hAnsi="Cambria Math"/>
                </w:rPr>
              </m:r>
              <m:r>
                <m:t>t</m:t>
                <w:rPr>
                  <w:rFonts w:ascii="Cambria Math" w:hAnsi="Cambria Math"/>
                </w:rPr>
              </m:r>
              <m:r>
                <m:t>s</m:t>
                <w:rPr>
                  <w:rFonts w:ascii="Cambria Math" w:hAnsi="Cambria Math"/>
                </w:rPr>
              </m:r>
              <m:r>
                <m:rPr>
                  <m:sty m:val="p"/>
                </m:rPr>
                <m:t>,</m:t>
                <w:rPr>
                  <w:rFonts w:ascii="Cambria Math" w:hAnsi="Cambria Math"/>
                </w:rPr>
              </m:r>
              <m:r>
                <m:t>w</m:t>
                <w:rPr>
                  <w:rFonts w:ascii="Cambria Math" w:hAnsi="Cambria Math"/>
                </w:rPr>
              </m:r>
              <m:r>
                <m:rPr>
                  <m:sty m:val="p"/>
                </m:rPr>
                <m:t>)</m:t>
                <w:rPr>
                  <w:rFonts w:ascii="Cambria Math" w:hAnsi="Cambria Math"/>
                </w:rPr>
              </m:r>
            </m:oMath>
          </w:p>
        </w:tc>
        <w:tc>
          <w:tcPr>
            <w:tcW w:type="dxa" w:w="3749"/>
            <w:vAlign w:val="center"/>
            <w:shd w:fill="F7F8FA"/>
          </w:tcPr>
          <w:p>
            <w:pPr>
              <w:pStyle w:val="Compact"/>
              <w:keepNext w:val="0"/>
              <w:spacing w:after="40" w:before="40" w:line="264" w:lineRule="auto"/>
              <w:jc w:val="left"/>
            </w:pPr>
            <w:r>
              <w:rPr>
                <w:color w:val="000000"/>
                <w:sz w:val="19"/>
              </w:rPr>
              <w:t xml:space="preserve">選択座標を</w:t>
            </w:r>
            <m:oMath>
              <m:rad>
                <m:radPr>
                  <m:degHide m:val="1"/>
                </m:radPr>
                <m:deg/>
                <m:e>
                  <m:sSub>
                    <m:e>
                      <m:r>
                        <m:t>w</m:t>
                        <w:rPr>
                          <w:rFonts w:ascii="Cambria Math" w:hAnsi="Cambria Math"/>
                        </w:rPr>
                      </m:r>
                    </m:e>
                    <m:sub>
                      <m:r>
                        <m:t>s</m:t>
                        <w:rPr>
                          <w:rFonts w:ascii="Cambria Math" w:hAnsi="Cambria Math"/>
                        </w:rPr>
                      </m:r>
                    </m:sub>
                  </m:sSub>
                </m:e>
              </m:rad>
            </m:oMath>
            <w:r>
              <w:rPr>
                <w:color w:val="000000"/>
                <w:sz w:val="19"/>
              </w:rPr>
              <w:t xml:space="preserve">で尺度変換し、</w:t>
            </w:r>
            <m:oMath>
              <m:sSub>
                <m:e>
                  <m:r>
                    <m:t>N</m:t>
                    <w:rPr>
                      <w:rFonts w:ascii="Cambria Math" w:hAnsi="Cambria Math"/>
                    </w:rPr>
                  </m:r>
                </m:e>
                <m:sub>
                  <m:r>
                    <m:t>K</m:t>
                    <w:rPr>
                      <w:rFonts w:ascii="Cambria Math" w:hAnsi="Cambria Math"/>
                    </w:rPr>
                  </m:r>
                </m:sub>
              </m:sSub>
              <m:r>
                <m:rPr>
                  <m:sty m:val="p"/>
                </m:rPr>
                <m:t>∪</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rPr>
                <w:color w:val="000000"/>
                <w:sz w:val="19"/>
              </w:rPr>
              <w:t xml:space="preserve">上で計算。minPts=5。成対距離の平均とは別</w:t>
            </w:r>
          </w:p>
        </w:tc>
      </w:tr>
    </w:tbl>
    <w:p>
      <w:pPr>
        <w:pStyle w:val="BodyText"/>
        <w:widowControl/>
      </w:pPr>
      <w:r>
        <w:t xml:space="preserve">相関の例：</w:t>
      </w:r>
      <m:oMath>
        <m:r>
          <m:t>Σ</m:t>
          <w:rPr>
            <w:rFonts w:ascii="Cambria Math" w:hAnsi="Cambria Math"/>
          </w:rPr>
        </m:r>
        <m:r>
          <m:rPr>
            <m:sty m:val="p"/>
          </m:rPr>
          <m:t>=</m:t>
          <w:rPr>
            <w:rFonts w:ascii="Cambria Math" w:hAnsi="Cambria Math"/>
          </w:rPr>
        </m:r>
        <m:d>
          <m:dPr>
            <m:begChr m:val="("/>
            <m:endChr m:val=")"/>
            <m:grow/>
          </m:dPr>
          <m:e>
            <m:m>
              <m:mPr>
                <m:baseJc m:val="center"/>
                <m:plcHide m:val="1"/>
                <m:mcs>
                  <m:mc>
                    <m:mcPr>
                      <m:mcJc m:val="center"/>
                      <m:count m:val="1"/>
                    </m:mcPr>
                  </m:mc>
                  <m:mc>
                    <m:mcPr>
                      <m:mcJc m:val="center"/>
                      <m:count m:val="1"/>
                    </m:mcPr>
                  </m:mc>
                </m:mcs>
              </m:mPr>
              <m:mr>
                <m:e>
                  <m:r>
                    <m:t>1</m:t>
                    <w:rPr>
                      <w:rFonts w:ascii="Cambria Math" w:hAnsi="Cambria Math"/>
                    </w:rPr>
                  </m:r>
                </m:e>
                <m:e>
                  <m:r>
                    <m:t>0.9</m:t>
                    <w:rPr>
                      <w:rFonts w:ascii="Cambria Math" w:hAnsi="Cambria Math"/>
                    </w:rPr>
                  </m:r>
                </m:e>
              </m:mr>
              <m:mr>
                <m:e>
                  <m:r>
                    <m:t>0.9</m:t>
                    <w:rPr>
                      <w:rFonts w:ascii="Cambria Math" w:hAnsi="Cambria Math"/>
                    </w:rPr>
                  </m:r>
                </m:e>
                <m:e>
                  <m:r>
                    <m:t>1</m:t>
                    <w:rPr>
                      <w:rFonts w:ascii="Cambria Math" w:hAnsi="Cambria Math"/>
                    </w:rPr>
                  </m:r>
                </m:e>
              </m:mr>
            </m:m>
          </m:e>
        </m:d>
      </m:oMath>
      <w:r>
        <w:t xml:space="preserve">のとき、中心から(1,1)と(1,−1)までの欧氏距離は同じ</w:t>
      </w:r>
      <m:oMath>
        <m:rad>
          <m:radPr>
            <m:degHide m:val="1"/>
          </m:radPr>
          <m:deg/>
          <m:e>
            <m:r>
              <m:t>2</m:t>
              <w:rPr>
                <w:rFonts w:ascii="Cambria Math" w:hAnsi="Cambria Math"/>
              </w:rPr>
            </m:r>
          </m:e>
        </m:rad>
      </m:oMath>
      <w:r>
        <w:t xml:space="preserve">だが、Mahalanobis距離は約1.026と4.472になる。同方向に変わる学習関係に反する後者が遠い。これは直感の例であり、OutProが常に全体平均だけと比較するという意味ではない。</w:t>
      </w:r>
    </w:p>
    <w:p>
      <w:pPr>
        <w:pStyle w:val="BodyText"/>
        <w:widowControl/>
      </w:pPr>
      <w:r>
        <w:rPr>
          <w:bCs/>
          <w:b/>
        </w:rPr>
        <w:t xml:space="preserve">E 結論。</w:t>
      </w:r>
    </w:p>
    <w:p>
      <w:pPr>
        <w:widowControl/>
        <w:numPr>
          <w:ilvl w:val="0"/>
          <w:numId w:val="1005"/>
        </w:numPr>
        <w:pStyle w:val="Compact"/>
      </w:pPr>
      <w:r>
        <w:t xml:space="preserve">最終量は部分空間の距離であり残差ではない。</w:t>
      </w:r>
    </w:p>
    <w:p>
      <w:pPr>
        <w:widowControl/>
        <w:numPr>
          <w:ilvl w:val="0"/>
          <w:numId w:val="1005"/>
        </w:numPr>
        <w:pStyle w:val="Compact"/>
      </w:pPr>
      <w:r>
        <w:t xml:space="preserve">標準化、距離選択、共分散の可逆性が重要である。</w:t>
      </w:r>
    </w:p>
    <w:p>
      <w:pPr>
        <w:widowControl/>
        <w:numPr>
          <w:ilvl w:val="0"/>
          <w:numId w:val="1005"/>
        </w:numPr>
        <w:pStyle w:val="Compact"/>
      </w:pPr>
      <w:r>
        <w:t xml:space="preserve">OPTICSは他の五変種と最終集約が異なる。</w:t>
      </w:r>
    </w:p>
    <w:bookmarkEnd w:id="30"/>
    <w:bookmarkStart w:id="31" w:name="comparison-methods比較対象の実装を読む"/>
    <w:p>
      <w:pPr>
        <w:pStyle w:val="Heading3"/>
        <w:widowControl/>
      </w:pPr>
      <w:r>
        <w:rPr>
          <w:color w:val="000000"/>
        </w:rPr>
        <w:t xml:space="preserve">3.6 Comparison methods：比較対象の実装を読む</w:t>
      </w:r>
    </w:p>
    <w:p>
      <w:pPr>
        <w:pStyle w:val="FirstParagraph"/>
        <w:widowControl/>
      </w:pPr>
      <w:r>
        <w:rPr>
          <w:bCs/>
          <w:b/>
        </w:rPr>
        <w:t xml:space="preserve">A 内容。</w:t>
      </w:r>
      <w:r>
        <w:t xml:space="preserve"> </w:t>
      </w:r>
      <w:r>
        <w:t xml:space="preserve">15種類の基準法を比較する。NNは基本的にReLU隠れ層二層、batch normalization、dropout、単一回帰出力で、MSE学習を共通化する。[§4、表2]</w:t>
      </w:r>
    </w:p>
    <w:p>
      <w:pPr>
        <w:pStyle w:val="BodyText"/>
        <w:widowControl/>
      </w:pPr>
      <w:r>
        <w:rPr>
          <w:bCs/>
          <w:b/>
        </w:rPr>
        <w:t xml:space="preserve">B 役割。</w:t>
      </w:r>
      <w:r>
        <w:t xml:space="preserve"> </w:t>
      </w:r>
      <w:r>
        <w:t xml:space="preserve">どの実装に対して性能差が出たかを特定する。</w:t>
      </w:r>
    </w:p>
    <w:p>
      <w:pPr>
        <w:pStyle w:val="BodyText"/>
        <w:widowControl/>
      </w:pPr>
      <w:r>
        <w:rPr>
          <w:bCs/>
          <w:b/>
        </w:rPr>
        <w:t xml:space="preserve">C 概念。</w:t>
      </w:r>
      <w:r>
        <w:t xml:space="preserve"> </w:t>
      </w:r>
      <w:r>
        <w:t xml:space="preserve">f(x)は予測、h(x)は最後の隠れ表現、入力勾配は局所感度、予測分散や集成分散は不確実性である。どれも真のOODラベルそのものではない。</w:t>
      </w:r>
    </w:p>
    <w:p>
      <w:pPr>
        <w:pStyle w:val="BodyText"/>
        <w:widowControl/>
      </w:pPr>
      <w:r>
        <w:rPr>
          <w:bCs/>
          <w:b/>
        </w:rPr>
        <w:t xml:space="preserve">D 式。</w:t>
      </w:r>
      <w:r>
        <w:t xml:space="preserve"> </w:t>
      </w:r>
      <w:r>
        <w:t xml:space="preserve">§5に全比較スコアを記載する。MSP、ODIN、Energyは回帰向けの適応版で、conformalも予測値の位置を用いる実装である。原分類法や全てのconformal法への一般的結論には拡張できない。</w:t>
      </w:r>
    </w:p>
    <w:p>
      <w:pPr>
        <w:pStyle w:val="BodyText"/>
        <w:widowControl/>
      </w:pPr>
      <w:r>
        <w:rPr>
          <w:bCs/>
          <w:b/>
        </w:rPr>
        <w:t xml:space="preserve">E 結論。</w:t>
      </w:r>
    </w:p>
    <w:p>
      <w:pPr>
        <w:widowControl/>
        <w:numPr>
          <w:ilvl w:val="0"/>
          <w:numId w:val="1006"/>
        </w:numPr>
        <w:pStyle w:val="Compact"/>
      </w:pPr>
      <w:r>
        <w:t xml:space="preserve">名称に加えて回帰適応版と明記する。</w:t>
      </w:r>
    </w:p>
    <w:p>
      <w:pPr>
        <w:widowControl/>
        <w:numPr>
          <w:ilvl w:val="0"/>
          <w:numId w:val="1006"/>
        </w:numPr>
        <w:pStyle w:val="Compact"/>
      </w:pPr>
      <w:r>
        <w:t xml:space="preserve">入力・出力・表現・勾配の必要条件が異なる。</w:t>
      </w:r>
    </w:p>
    <w:p>
      <w:pPr>
        <w:widowControl/>
        <w:numPr>
          <w:ilvl w:val="0"/>
          <w:numId w:val="1006"/>
        </w:numPr>
        <w:pStyle w:val="Compact"/>
      </w:pPr>
      <w:r>
        <w:t xml:space="preserve">調整予算や一部ハイパーパラメータは本文だけでは不明である。</w:t>
      </w:r>
    </w:p>
    <w:bookmarkEnd w:id="31"/>
    <w:bookmarkStart w:id="32" w:name="experiments-5.1摂動した点が必ず異常ではない"/>
    <w:p>
      <w:pPr>
        <w:pStyle w:val="Heading3"/>
        <w:widowControl/>
      </w:pPr>
      <w:r>
        <w:rPr>
          <w:color w:val="000000"/>
        </w:rPr>
        <w:t xml:space="preserve">3.7 Experiments 5.1：摂動した点が必ず異常ではない</w:t>
      </w:r>
    </w:p>
    <w:p>
      <w:pPr>
        <w:pStyle w:val="FirstParagraph"/>
        <w:widowControl/>
      </w:pPr>
      <w:r>
        <w:rPr>
          <w:bCs/>
          <w:b/>
        </w:rPr>
        <w:t xml:space="preserve">A 内容。</w:t>
      </w:r>
      <w:r>
        <w:t xml:space="preserve"> </w:t>
      </w:r>
      <w:r>
        <w:t xml:space="preserve">支持が既知のFriedman回帰データで、重要変数を摂動する。範囲[0,1]を出た点だけに異常ラベルを付ける。[pp.12–13]</w:t>
      </w:r>
    </w:p>
    <w:p>
      <w:pPr>
        <w:pStyle w:val="BodyText"/>
        <w:widowControl/>
      </w:pPr>
      <w:r>
        <w:rPr>
          <w:bCs/>
          <w:b/>
        </w:rPr>
        <w:t xml:space="preserve">B 役割。</w:t>
      </w:r>
      <w:r>
        <w:t xml:space="preserve"> </w:t>
      </w:r>
      <w:r>
        <w:t xml:space="preserve">合法な値を誤って正解異常にする問題を避ける。</w:t>
      </w:r>
    </w:p>
    <w:p>
      <w:pPr>
        <w:pStyle w:val="BodyText"/>
        <w:widowControl/>
      </w:pPr>
      <w:r>
        <w:rPr>
          <w:bCs/>
          <w:b/>
        </w:rPr>
        <w:t xml:space="preserve">C 概念。</w:t>
      </w:r>
      <w:r>
        <w:t xml:space="preserve"> </w:t>
      </w:r>
      <w:r>
        <w:t xml:space="preserve">支持は母集団の取り得る範囲で、有限学習標本の最小・最大とは異なる。OODラベルは生成規則によるもので、予測の正誤ではない。</w:t>
      </w:r>
    </w:p>
    <w:p>
      <w:pPr>
        <w:pStyle w:val="BodyText"/>
        <w:widowControl/>
      </w:pPr>
      <w:r>
        <w:rPr>
          <w:bCs/>
          <w:b/>
        </w:rPr>
        <w:t xml:space="preserve">D 重要式。</w:t>
      </w:r>
    </w:p>
    <w:p>
      <w:pPr>
        <w:pStyle w:val="BodyText"/>
        <w:widowControl/>
      </w:pPr>
      <m:oMathPara>
        <m:oMathParaPr>
          <m:jc m:val="center"/>
        </m:oMathParaPr>
        <m:oMath>
          <m:r>
            <m:t>Y</m:t>
            <w:rPr>
              <w:rFonts w:ascii="Cambria Math" w:hAnsi="Cambria Math"/>
            </w:rPr>
          </m:r>
          <m:r>
            <m:rPr>
              <m:sty m:val="p"/>
            </m:rPr>
            <m:t>=</m:t>
            <w:rPr>
              <w:rFonts w:ascii="Cambria Math" w:hAnsi="Cambria Math"/>
            </w:rPr>
          </m:r>
          <m:r>
            <m:t>10</m:t>
            <w:rPr>
              <w:rFonts w:ascii="Cambria Math" w:hAnsi="Cambria Math"/>
            </w:rPr>
          </m:r>
          <m:r>
            <m:rPr>
              <m:nor/>
              <m:sty m:val="p"/>
            </m:rPr>
            <m:t>sin</m:t>
            <w:rPr>
              <w:rFonts w:ascii="Cambria Math" w:hAnsi="Cambria Math"/>
            </w:rPr>
          </m:r>
          <m:r>
            <m:rPr>
              <m:sty m:val="p"/>
            </m:rPr>
            <m:t>(</m:t>
            <w:rPr>
              <w:rFonts w:ascii="Cambria Math" w:hAnsi="Cambria Math"/>
            </w:rPr>
          </m:r>
          <m:r>
            <m:t>π</m:t>
            <w:rPr>
              <w:rFonts w:ascii="Cambria Math" w:hAnsi="Cambria Math"/>
            </w:rPr>
          </m:r>
          <m:sSub>
            <m:e>
              <m:r>
                <m:t>X</m:t>
                <w:rPr>
                  <w:rFonts w:ascii="Cambria Math" w:hAnsi="Cambria Math"/>
                </w:rPr>
              </m:r>
            </m:e>
            <m:sub>
              <m:r>
                <m:t>1</m:t>
                <w:rPr>
                  <w:rFonts w:ascii="Cambria Math" w:hAnsi="Cambria Math"/>
                </w:rPr>
              </m:r>
            </m:sub>
          </m:sSub>
          <m:sSub>
            <m:e>
              <m:r>
                <m:t>X</m:t>
                <w:rPr>
                  <w:rFonts w:ascii="Cambria Math" w:hAnsi="Cambria Math"/>
                </w:rPr>
              </m:r>
            </m:e>
            <m:sub>
              <m:r>
                <m:t>2</m:t>
                <w:rPr>
                  <w:rFonts w:ascii="Cambria Math" w:hAnsi="Cambria Math"/>
                </w:rPr>
              </m:r>
            </m:sub>
          </m:sSub>
          <m:r>
            <m:rPr>
              <m:sty m:val="p"/>
            </m:rPr>
            <m:t>)</m:t>
            <w:rPr>
              <w:rFonts w:ascii="Cambria Math" w:hAnsi="Cambria Math"/>
            </w:rPr>
          </m:r>
          <m:r>
            <m:rPr>
              <m:sty m:val="p"/>
            </m:rPr>
            <m:t>+</m:t>
            <w:rPr>
              <w:rFonts w:ascii="Cambria Math" w:hAnsi="Cambria Math"/>
            </w:rPr>
          </m:r>
          <m:r>
            <m:t>20</m:t>
            <w:rPr>
              <w:rFonts w:ascii="Cambria Math" w:hAnsi="Cambria Math"/>
            </w:rPr>
          </m:r>
          <m:r>
            <m:rPr>
              <m:sty m:val="p"/>
            </m:rPr>
            <m:t>(</m:t>
            <w:rPr>
              <w:rFonts w:ascii="Cambria Math" w:hAnsi="Cambria Math"/>
            </w:rPr>
          </m:r>
          <m:sSub>
            <m:e>
              <m:r>
                <m:t>X</m:t>
                <w:rPr>
                  <w:rFonts w:ascii="Cambria Math" w:hAnsi="Cambria Math"/>
                </w:rPr>
              </m:r>
            </m:e>
            <m:sub>
              <m:r>
                <m:t>3</m:t>
                <w:rPr>
                  <w:rFonts w:ascii="Cambria Math" w:hAnsi="Cambria Math"/>
                </w:rPr>
              </m:r>
            </m:sub>
          </m:sSub>
          <m:r>
            <m:rPr>
              <m:sty m:val="p"/>
            </m:rPr>
            <m:t>−</m:t>
            <w:rPr>
              <w:rFonts w:ascii="Cambria Math" w:hAnsi="Cambria Math"/>
            </w:rPr>
          </m:r>
          <m:r>
            <m:t>0.5</m:t>
            <w:rPr>
              <w:rFonts w:ascii="Cambria Math" w:hAnsi="Cambria Math"/>
            </w:rPr>
          </m:r>
          <m:sSup>
            <m:e>
              <m:r>
                <m:rPr>
                  <m:sty m:val="p"/>
                </m:rPr>
                <m:t>)</m:t>
                <w:rPr>
                  <w:rFonts w:ascii="Cambria Math" w:hAnsi="Cambria Math"/>
                </w:rPr>
              </m:r>
            </m:e>
            <m:sup>
              <m:r>
                <m:t>2</m:t>
                <w:rPr>
                  <w:rFonts w:ascii="Cambria Math" w:hAnsi="Cambria Math"/>
                </w:rPr>
              </m:r>
            </m:sup>
          </m:sSup>
          <m:r>
            <m:rPr>
              <m:sty m:val="p"/>
            </m:rPr>
            <m:t>+</m:t>
            <w:rPr>
              <w:rFonts w:ascii="Cambria Math" w:hAnsi="Cambria Math"/>
            </w:rPr>
          </m:r>
          <m:r>
            <m:t>10</m:t>
            <w:rPr>
              <w:rFonts w:ascii="Cambria Math" w:hAnsi="Cambria Math"/>
            </w:rPr>
          </m:r>
          <m:sSub>
            <m:e>
              <m:r>
                <m:t>X</m:t>
                <w:rPr>
                  <w:rFonts w:ascii="Cambria Math" w:hAnsi="Cambria Math"/>
                </w:rPr>
              </m:r>
            </m:e>
            <m:sub>
              <m:r>
                <m:t>4</m:t>
                <w:rPr>
                  <w:rFonts w:ascii="Cambria Math" w:hAnsi="Cambria Math"/>
                </w:rPr>
              </m:r>
            </m:sub>
          </m:sSub>
          <m:r>
            <m:rPr>
              <m:sty m:val="p"/>
            </m:rPr>
            <m:t>+</m:t>
            <w:rPr>
              <w:rFonts w:ascii="Cambria Math" w:hAnsi="Cambria Math"/>
            </w:rPr>
          </m:r>
          <m:r>
            <m:t>5</m:t>
            <w:rPr>
              <w:rFonts w:ascii="Cambria Math" w:hAnsi="Cambria Math"/>
            </w:rPr>
          </m:r>
          <m:sSub>
            <m:e>
              <m:r>
                <m:t>X</m:t>
                <w:rPr>
                  <w:rFonts w:ascii="Cambria Math" w:hAnsi="Cambria Math"/>
                </w:rPr>
              </m:r>
            </m:e>
            <m:sub>
              <m:r>
                <m:t>5</m:t>
                <w:rPr>
                  <w:rFonts w:ascii="Cambria Math" w:hAnsi="Cambria Math"/>
                </w:rPr>
              </m:r>
            </m:sub>
          </m:sSub>
          <m:r>
            <m:rPr>
              <m:sty m:val="p"/>
            </m:rPr>
            <m:t>+</m:t>
            <w:rPr>
              <w:rFonts w:ascii="Cambria Math" w:hAnsi="Cambria Math"/>
            </w:rPr>
          </m:r>
          <m:r>
            <m:t>ϵ</m:t>
            <w:rPr>
              <w:rFonts w:ascii="Cambria Math" w:hAnsi="Cambria Math"/>
            </w:rPr>
          </m:r>
          <m:r>
            <m:rPr>
              <m:sty m:val="p"/>
            </m:rPr>
            <m:t>,</m:t>
            <w:rPr>
              <w:rFonts w:ascii="Cambria Math" w:hAnsi="Cambria Math"/>
            </w:rPr>
          </m:r>
          <m:r>
            <m:t> </m:t>
            <w:rPr>
              <w:rFonts w:ascii="Cambria Math" w:hAnsi="Cambria Math"/>
            </w:rPr>
          </m:r>
          <m:sSub>
            <m:e>
              <m:r>
                <m:t>X</m:t>
                <w:rPr>
                  <w:rFonts w:ascii="Cambria Math" w:hAnsi="Cambria Math"/>
                </w:rPr>
              </m:r>
            </m:e>
            <m:sub>
              <m:r>
                <m:t>j</m:t>
                <w:rPr>
                  <w:rFonts w:ascii="Cambria Math" w:hAnsi="Cambria Math"/>
                </w:rPr>
              </m:r>
            </m:sub>
          </m:sSub>
          <m:limUpp>
            <m:e>
              <m:r>
                <m:rPr>
                  <m:sty m:val="p"/>
                </m:rPr>
                <m:t>∼</m:t>
                <w:rPr>
                  <w:rFonts w:ascii="Cambria Math" w:hAnsi="Cambria Math"/>
                </w:rPr>
              </m:r>
            </m:e>
            <m:lim>
              <m:r>
                <m:t>i</m:t>
                <w:rPr>
                  <w:rFonts w:ascii="Cambria Math" w:hAnsi="Cambria Math"/>
                </w:rPr>
              </m:r>
              <m:r>
                <m:t>i</m:t>
                <w:rPr>
                  <w:rFonts w:ascii="Cambria Math" w:hAnsi="Cambria Math"/>
                </w:rPr>
              </m:r>
              <m:r>
                <m:t>d</m:t>
                <w:rPr>
                  <w:rFonts w:ascii="Cambria Math" w:hAnsi="Cambria Math"/>
                </w:rPr>
              </m:r>
            </m:lim>
          </m:limUpp>
          <m:r>
            <m:t>U</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ϵ</m:t>
            <w:rPr>
              <w:rFonts w:ascii="Cambria Math" w:hAnsi="Cambria Math"/>
            </w:rPr>
          </m:r>
          <m:r>
            <m:rPr>
              <m:sty m:val="p"/>
            </m:rPr>
            <m:t>∼</m:t>
            <w:rPr>
              <w:rFonts w:ascii="Cambria Math" w:hAnsi="Cambria Math"/>
            </w:rPr>
          </m:r>
          <m:r>
            <m:t>N</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w:r>
        <w:t xml:space="preserve">20変数のうち前5変数が信号。摂動はboostingで上位10%、すなわち2変数を選ぶ。</w:t>
      </w:r>
    </w:p>
    <w:p>
      <w:pPr>
        <w:pStyle w:val="BodyText"/>
        <w:widowControl/>
      </w:pPr>
      <m:oMathPara>
        <m:oMathParaPr>
          <m:jc m:val="center"/>
        </m:oMathParaPr>
        <m:oMath>
          <m:sSup>
            <m:e>
              <m:r>
                <m:t>X</m:t>
                <w:rPr>
                  <w:rFonts w:ascii="Cambria Math" w:hAnsi="Cambria Math"/>
                </w:rPr>
              </m:r>
            </m:e>
            <m:sup>
              <m:r>
                <m:rPr>
                  <m:sty m:val="p"/>
                </m:rPr>
                <m:t>*</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t>δ</m:t>
            <w:rPr>
              <w:rFonts w:ascii="Cambria Math" w:hAnsi="Cambria Math"/>
            </w:rPr>
          </m:r>
          <m:r>
            <m:rPr>
              <m:sty m:val="p"/>
            </m:rPr>
            <m:t>,</m:t>
            <w:rPr>
              <w:rFonts w:ascii="Cambria Math" w:hAnsi="Cambria Math"/>
            </w:rPr>
          </m:r>
          <m:r>
            <m:t>  </m:t>
            <w:rPr>
              <w:rFonts w:ascii="Cambria Math" w:hAnsi="Cambria Math"/>
            </w:rPr>
          </m:r>
          <m:r>
            <m:t>P</m:t>
            <w:rPr>
              <w:rFonts w:ascii="Cambria Math" w:hAnsi="Cambria Math"/>
            </w:rPr>
          </m:r>
          <m:r>
            <m:rPr>
              <m:sty m:val="p"/>
            </m:rPr>
            <m:t>(</m:t>
            <w:rPr>
              <w:rFonts w:ascii="Cambria Math" w:hAnsi="Cambria Math"/>
            </w:rPr>
          </m:r>
          <m:sSup>
            <m:e>
              <m:r>
                <m:t>X</m:t>
                <w:rPr>
                  <w:rFonts w:ascii="Cambria Math" w:hAnsi="Cambria Math"/>
                </w:rPr>
              </m:r>
            </m:e>
            <m:sup>
              <m:r>
                <m:rPr>
                  <m:sty m:val="p"/>
                </m:rPr>
                <m:t>*</m:t>
                <w:rPr>
                  <w:rFonts w:ascii="Cambria Math" w:hAnsi="Cambria Math"/>
                </w:rPr>
              </m:r>
            </m:sup>
          </m:sSup>
          <m:r>
            <m:rPr>
              <m:sty m:val="p"/>
            </m:rPr>
            <m:t>∉</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1</m:t>
            <w:rPr>
              <w:rFonts w:ascii="Cambria Math" w:hAnsi="Cambria Math"/>
            </w:rPr>
          </m:r>
          <m:sSup>
            <m:e>
              <m:r>
                <m:rPr>
                  <m:sty m:val="p"/>
                </m:rPr>
                <m:t>]</m:t>
                <w:rPr>
                  <w:rFonts w:ascii="Cambria Math" w:hAnsi="Cambria Math"/>
                </w:rPr>
              </m:r>
            </m:e>
            <m:sup>
              <m:r>
                <m:t>d</m:t>
                <w:rPr>
                  <w:rFonts w:ascii="Cambria Math" w:hAnsi="Cambria Math"/>
                </w:rPr>
              </m:r>
            </m:sup>
          </m:sSup>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nary>
            <m:naryPr>
              <m:chr m:val="∏"/>
              <m:limLoc m:val="undOvr"/>
              <m:subHide m:val="0"/>
              <m:supHide m:val="1"/>
            </m:naryPr>
            <m:sub>
              <m:r>
                <m:t>j</m:t>
                <w:rPr>
                  <w:rFonts w:ascii="Cambria Math" w:hAnsi="Cambria Math"/>
                </w:rPr>
              </m:r>
            </m:sub>
            <m:sup>
              <m:r>
                <m:t>​</m:t>
                <w:rPr>
                  <w:rFonts w:ascii="Cambria Math" w:hAnsi="Cambria Math"/>
                </w:rPr>
              </m:r>
            </m:sup>
            <m:e>
              <m:r>
                <m:rPr>
                  <m:sty m:val="p"/>
                </m:rPr>
                <m:t>(</m:t>
                <w:rPr>
                  <w:rFonts w:ascii="Cambria Math" w:hAnsi="Cambria Math"/>
                </w:rPr>
              </m:r>
            </m:e>
          </m:nary>
          <m:r>
            <m:t>1</m:t>
            <w:rPr>
              <w:rFonts w:ascii="Cambria Math" w:hAnsi="Cambria Math"/>
            </w:rPr>
          </m:r>
          <m:r>
            <m:rPr>
              <m:sty m:val="p"/>
            </m:rPr>
            <m:t>−</m:t>
            <w:rPr>
              <w:rFonts w:ascii="Cambria Math" w:hAnsi="Cambria Math"/>
            </w:rPr>
          </m:r>
          <m:r>
            <m:rPr>
              <m:sty m:val="p"/>
            </m:rPr>
            <m:t>|</m:t>
            <w:rPr>
              <w:rFonts w:ascii="Cambria Math" w:hAnsi="Cambria Math"/>
            </w:rPr>
          </m:r>
          <m:sSub>
            <m:e>
              <m:r>
                <m:t>δ</m:t>
                <w:rPr>
                  <w:rFonts w:ascii="Cambria Math" w:hAnsi="Cambria Math"/>
                </w:rPr>
              </m:r>
            </m:e>
            <m:sub>
              <m:r>
                <m:t>j</m:t>
                <w:rPr>
                  <w:rFonts w:ascii="Cambria Math" w:hAnsi="Cambria Math"/>
                </w:rPr>
              </m:r>
            </m:sub>
          </m:sSub>
          <m:r>
            <m:rPr>
              <m:sty m:val="p"/>
            </m:rPr>
            <m:t>|</m:t>
            <w:rPr>
              <w:rFonts w:ascii="Cambria Math" w:hAnsi="Cambria Math"/>
            </w:rPr>
          </m:r>
          <m:sSub>
            <m:e>
              <m:r>
                <m:rPr>
                  <m:sty m:val="p"/>
                </m:rPr>
                <m:t>)</m:t>
                <w:rPr>
                  <w:rFonts w:ascii="Cambria Math" w:hAnsi="Cambria Math"/>
                </w:rPr>
              </m:r>
            </m:e>
            <m:sub>
              <m:r>
                <m:rPr>
                  <m:sty m:val="p"/>
                </m:rPr>
                <m:t>+</m:t>
                <w:rPr>
                  <w:rFonts w:ascii="Cambria Math" w:hAnsi="Cambria Math"/>
                </w:rPr>
              </m:r>
            </m:sub>
          </m:sSub>
          <m:r>
            <m:rPr>
              <m:sty m:val="p"/>
            </m:rPr>
            <m:t>.</m:t>
            <w:rPr>
              <w:rFonts w:ascii="Cambria Math" w:hAnsi="Cambria Math"/>
            </w:rPr>
          </m:r>
        </m:oMath>
      </m:oMathPara>
    </w:p>
    <w:p>
      <w:pPr>
        <w:pStyle w:val="FirstParagraph"/>
        <w:widowControl/>
      </w:pPr>
      <m:oMath>
        <m:sSub>
          <m:e>
            <m:r>
              <m:t>δ</m:t>
              <w:rPr>
                <w:rFonts w:ascii="Cambria Math" w:hAnsi="Cambria Math"/>
              </w:rPr>
            </m:r>
          </m:e>
          <m:sub>
            <m:r>
              <m:t>j</m:t>
              <w:rPr>
                <w:rFonts w:ascii="Cambria Math" w:hAnsi="Cambria Math"/>
              </w:rPr>
            </m:r>
          </m:sub>
        </m:sSub>
      </m:oMath>
      <w:r>
        <w:t xml:space="preserve">は固定した平行移動量、</w:t>
      </w:r>
      <m:oMath>
        <m:r>
          <m:rPr>
            <m:sty m:val="p"/>
          </m:rPr>
          <m:t>(</m:t>
          <w:rPr>
            <w:rFonts w:ascii="Cambria Math" w:hAnsi="Cambria Math"/>
          </w:rPr>
        </m:r>
        <m:r>
          <m:t>a</m:t>
          <w:rPr>
            <w:rFonts w:ascii="Cambria Math" w:hAnsi="Cambria Math"/>
          </w:rPr>
        </m:r>
        <m:sSub>
          <m:e>
            <m:r>
              <m:rPr>
                <m:sty m:val="p"/>
              </m:rPr>
              <m:t>)</m:t>
              <w:rPr>
                <w:rFonts w:ascii="Cambria Math" w:hAnsi="Cambria Math"/>
              </w:rPr>
            </m:r>
          </m:e>
          <m:sub>
            <m:r>
              <m:rPr>
                <m:sty m:val="p"/>
              </m:rPr>
              <m:t>+</m:t>
              <w:rPr>
                <w:rFonts w:ascii="Cambria Math" w:hAnsi="Cambria Math"/>
              </w:rPr>
            </m:r>
          </m:sub>
        </m:sSub>
        <m:r>
          <m:rPr>
            <m:sty m:val="p"/>
          </m:rPr>
          <m:t>=</m:t>
          <w:rPr>
            <w:rFonts w:ascii="Cambria Math" w:hAnsi="Cambria Math"/>
          </w:rPr>
        </m:r>
        <m:r>
          <m:rPr>
            <m:nor/>
            <m:sty m:val="p"/>
          </m:rPr>
          <m:t>max</m:t>
          <w:rPr>
            <w:rFonts w:ascii="Cambria Math" w:hAnsi="Cambria Math"/>
          </w:rPr>
        </m:r>
        <m:r>
          <m:rPr>
            <m:sty m:val="p"/>
          </m:rPr>
          <m:t>(</m:t>
          <w:rPr>
            <w:rFonts w:ascii="Cambria Math" w:hAnsi="Cambria Math"/>
          </w:rPr>
        </m:r>
        <m:r>
          <m:t>a</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oMath>
      <w:r>
        <w:t xml:space="preserve">。二次元で両座標を0.1移動すると真の越境率は</w:t>
      </w:r>
      <m:oMath>
        <m:r>
          <m:t>1</m:t>
          <w:rPr>
            <w:rFonts w:ascii="Cambria Math" w:hAnsi="Cambria Math"/>
          </w:rPr>
        </m:r>
        <m:r>
          <m:rPr>
            <m:sty m:val="p"/>
          </m:rPr>
          <m:t>−</m:t>
          <w:rPr>
            <w:rFonts w:ascii="Cambria Math" w:hAnsi="Cambria Math"/>
          </w:rPr>
        </m:r>
        <m:sSup>
          <m:e>
            <m:r>
              <m:t>0.9</m:t>
              <w:rPr>
                <w:rFonts w:ascii="Cambria Math" w:hAnsi="Cambria Math"/>
              </w:rPr>
            </m:r>
          </m:e>
          <m:sup>
            <m:r>
              <m:t>2</m:t>
              <w:rPr>
                <w:rFonts w:ascii="Cambria Math" w:hAnsi="Cambria Math"/>
              </w:rPr>
            </m:r>
          </m:sup>
        </m:sSup>
        <m:r>
          <m:rPr>
            <m:sty m:val="p"/>
          </m:rPr>
          <m:t>=</m:t>
          <w:rPr>
            <w:rFonts w:ascii="Cambria Math" w:hAnsi="Cambria Math"/>
          </w:rPr>
        </m:r>
        <m:r>
          <m:t>0.19</m:t>
          <w:rPr>
            <w:rFonts w:ascii="Cambria Math" w:hAnsi="Cambria Math"/>
          </w:rPr>
        </m:r>
      </m:oMath>
      <w:r>
        <w:t xml:space="preserve">。例えば(0.4,0.5)→(0.5,0.6)は範囲内、(0.95,0.5)→(1.05,0.6)は範囲外である。</w:t>
      </w:r>
    </w:p>
    <w:p>
      <w:pPr>
        <w:pStyle w:val="BodyText"/>
        <w:widowControl/>
      </w:pPr>
      <w:r>
        <w:rPr>
          <w:bCs/>
          <w:b/>
        </w:rPr>
        <w:t xml:space="preserve">E 結論。</w:t>
      </w:r>
    </w:p>
    <w:p>
      <w:pPr>
        <w:widowControl/>
        <w:numPr>
          <w:ilvl w:val="0"/>
          <w:numId w:val="1007"/>
        </w:numPr>
        <w:pStyle w:val="Compact"/>
      </w:pPr>
      <w:r>
        <w:t xml:space="preserve">摂動の有無とOODラベルは別々に管理する。</w:t>
      </w:r>
    </w:p>
    <w:p>
      <w:pPr>
        <w:widowControl/>
        <w:numPr>
          <w:ilvl w:val="0"/>
          <w:numId w:val="1007"/>
        </w:numPr>
        <w:pStyle w:val="Compact"/>
      </w:pPr>
      <w:r>
        <w:t xml:space="preserve">小さなshiftでは実際の正例率が低い。</w:t>
      </w:r>
    </w:p>
    <w:p>
      <w:pPr>
        <w:widowControl/>
        <w:numPr>
          <w:ilvl w:val="0"/>
          <w:numId w:val="1007"/>
        </w:numPr>
        <w:pStyle w:val="Compact"/>
      </w:pPr>
      <w:r>
        <w:t xml:space="preserve">分布が違うことと全事例が範囲外であることは違う。</w:t>
      </w:r>
    </w:p>
    <w:bookmarkEnd w:id="32"/>
    <w:bookmarkStart w:id="33" w:name="experiments-5.2copulaで周辺分布と依存を分ける"/>
    <w:p>
      <w:pPr>
        <w:pStyle w:val="Heading3"/>
        <w:widowControl/>
      </w:pPr>
      <w:r>
        <w:rPr>
          <w:color w:val="000000"/>
        </w:rPr>
        <w:t xml:space="preserve">3.8 Experiments 5.2：Copulaで周辺分布と依存を分ける</w:t>
      </w:r>
    </w:p>
    <w:p>
      <w:pPr>
        <w:pStyle w:val="FirstParagraph"/>
        <w:widowControl/>
      </w:pPr>
      <w:r>
        <w:rPr>
          <w:bCs/>
          <w:b/>
        </w:rPr>
        <w:t xml:space="preserve">A 内容。</w:t>
      </w:r>
      <w:r>
        <w:t xml:space="preserve"> </w:t>
      </w:r>
      <w:r>
        <w:t xml:space="preserve">分位数と潜在ガウス空間を介して、warp、joint、supportを生成する。[pp.13、16–17]</w:t>
      </w:r>
    </w:p>
    <w:p>
      <w:pPr>
        <w:pStyle w:val="BodyText"/>
        <w:widowControl/>
      </w:pPr>
      <w:r>
        <w:rPr>
          <w:bCs/>
          <w:b/>
        </w:rPr>
        <w:t xml:space="preserve">B 役割。</w:t>
      </w:r>
      <w:r>
        <w:t xml:space="preserve"> </w:t>
      </w:r>
      <w:r>
        <w:t xml:space="preserve">歪み、裾、変数間依存を持つ実データ向けの評価条件を作る。</w:t>
      </w:r>
    </w:p>
    <w:p>
      <w:pPr>
        <w:pStyle w:val="BodyText"/>
        <w:widowControl/>
      </w:pPr>
      <w:r>
        <w:rPr>
          <w:bCs/>
          <w:b/>
        </w:rPr>
        <w:t xml:space="preserve">C 概念。</w:t>
      </w:r>
      <w:r>
        <w:t xml:space="preserve"> </w:t>
      </w:r>
      <m:oMath>
        <m:sSub>
          <m:e>
            <m:r>
              <m:t>F</m:t>
              <w:rPr>
                <w:rFonts w:ascii="Cambria Math" w:hAnsi="Cambria Math"/>
              </w:rPr>
            </m:r>
          </m:e>
          <m:sub>
            <m:r>
              <m:t>j</m:t>
              <w:rPr>
                <w:rFonts w:ascii="Cambria Math" w:hAnsi="Cambria Math"/>
              </w:rPr>
            </m:r>
          </m:sub>
        </m:sSub>
      </m:oMath>
      <w:r>
        <w:t xml:space="preserve">は各変数のCDF、Copulaは分位数間の依存構造、</w:t>
      </w:r>
      <m:oMath>
        <m:r>
          <m:t>Φ</m:t>
          <w:rPr>
            <w:rFonts w:ascii="Cambria Math" w:hAnsi="Cambria Math"/>
          </w:rPr>
        </m:r>
      </m:oMath>
      <w:r>
        <w:t xml:space="preserve">は標準正規CDF、Rは潜在相関行列。異常生成の裾閾値はOutProの警報閾値ではない。</w:t>
      </w:r>
    </w:p>
    <w:p>
      <w:pPr>
        <w:pStyle w:val="BodyText"/>
        <w:widowControl/>
      </w:pPr>
      <w:r>
        <w:rPr>
          <w:bCs/>
          <w:b/>
        </w:rPr>
        <w:t xml:space="preserve">D 重要式。</w:t>
      </w:r>
    </w:p>
    <w:p>
      <w:pPr>
        <w:pStyle w:val="BodyText"/>
        <w:widowControl/>
      </w:pPr>
      <m:oMathPara>
        <m:oMathParaPr>
          <m:jc m:val="center"/>
        </m:oMathParaPr>
        <m:oMath>
          <m:r>
            <m:t>Z</m:t>
            <w:rPr>
              <w:rFonts w:ascii="Cambria Math" w:hAnsi="Cambria Math"/>
            </w:rPr>
          </m:r>
          <m:r>
            <m:rPr>
              <m:sty m:val="p"/>
            </m:rPr>
            <m:t>∼</m:t>
            <w:rPr>
              <w:rFonts w:ascii="Cambria Math" w:hAnsi="Cambria Math"/>
            </w:rPr>
          </m:r>
          <m:r>
            <m:t>N</m:t>
            <w:rPr>
              <w:rFonts w:ascii="Cambria Math" w:hAnsi="Cambria Math"/>
            </w:rPr>
          </m:r>
          <m:r>
            <m:rPr>
              <m:sty m:val="p"/>
            </m:rPr>
            <m:t>(</m:t>
            <w:rPr>
              <w:rFonts w:ascii="Cambria Math" w:hAnsi="Cambria Math"/>
            </w:rPr>
          </m:r>
          <m:r>
            <m:t>0</m:t>
            <w:rPr>
              <w:rFonts w:ascii="Cambria Math" w:hAnsi="Cambria Math"/>
            </w:rPr>
          </m:r>
          <m:r>
            <m:rPr>
              <m:sty m:val="p"/>
            </m:rPr>
            <m:t>,</m:t>
            <w:rPr>
              <w:rFonts w:ascii="Cambria Math" w:hAnsi="Cambria Math"/>
            </w:rPr>
          </m:r>
          <m:r>
            <m:t>R</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sSub>
            <m:e>
              <m:r>
                <m:t>U</m:t>
                <w:rPr>
                  <w:rFonts w:ascii="Cambria Math" w:hAnsi="Cambria Math"/>
                </w:rPr>
              </m:r>
            </m:e>
            <m:sub>
              <m:r>
                <m:t>j</m:t>
                <w:rPr>
                  <w:rFonts w:ascii="Cambria Math" w:hAnsi="Cambria Math"/>
                </w:rPr>
              </m:r>
            </m:sub>
          </m:sSub>
          <m:r>
            <m:rPr>
              <m:sty m:val="p"/>
            </m:rPr>
            <m:t>=</m:t>
            <w:rPr>
              <w:rFonts w:ascii="Cambria Math" w:hAnsi="Cambria Math"/>
            </w:rPr>
          </m:r>
          <m:r>
            <m:t>Φ</m:t>
            <w:rPr>
              <w:rFonts w:ascii="Cambria Math" w:hAnsi="Cambria Math"/>
            </w:rPr>
          </m:r>
          <m:r>
            <m:rPr>
              <m:sty m:val="p"/>
            </m:rPr>
            <m:t>(</m:t>
            <w:rPr>
              <w:rFonts w:ascii="Cambria Math" w:hAnsi="Cambria Math"/>
            </w:rPr>
          </m:r>
          <m:sSub>
            <m:e>
              <m:r>
                <m:t>Z</m:t>
                <w:rPr>
                  <w:rFonts w:ascii="Cambria Math" w:hAnsi="Cambria Math"/>
                </w:rPr>
              </m:r>
            </m:e>
            <m:sub>
              <m:r>
                <m:t>j</m:t>
                <w:rPr>
                  <w:rFonts w:ascii="Cambria Math" w:hAnsi="Cambria Math"/>
                </w:rPr>
              </m:r>
            </m:sub>
          </m:sSub>
          <m:r>
            <m:rPr>
              <m:sty m:val="p"/>
            </m:rPr>
            <m:t>)</m:t>
            <w:rPr>
              <w:rFonts w:ascii="Cambria Math" w:hAnsi="Cambria Math"/>
            </w:rPr>
          </m:r>
          <m:r>
            <m:rPr>
              <m:sty m:val="p"/>
            </m:rPr>
            <m:t>,</m:t>
            <w:rPr>
              <w:rFonts w:ascii="Cambria Math" w:hAnsi="Cambria Math"/>
            </w:rPr>
          </m:r>
          <m:r>
            <m:t> </m:t>
            <w:rPr>
              <w:rFonts w:ascii="Cambria Math" w:hAnsi="Cambria Math"/>
            </w:rPr>
          </m:r>
          <m:sSub>
            <m:e>
              <m:r>
                <m:t>X</m:t>
                <w:rPr>
                  <w:rFonts w:ascii="Cambria Math" w:hAnsi="Cambria Math"/>
                </w:rPr>
              </m:r>
            </m:e>
            <m:sub>
              <m:r>
                <m:t>j</m:t>
                <w:rPr>
                  <w:rFonts w:ascii="Cambria Math" w:hAnsi="Cambria Math"/>
                </w:rPr>
              </m:r>
            </m:sub>
          </m:sSub>
          <m:r>
            <m:rPr>
              <m:sty m:val="p"/>
            </m:rPr>
            <m:t>=</m:t>
            <w:rPr>
              <w:rFonts w:ascii="Cambria Math" w:hAnsi="Cambria Math"/>
            </w:rPr>
          </m:r>
          <m:sSubSup>
            <m:e>
              <m:r>
                <m:t>F</m:t>
                <w:rPr>
                  <w:rFonts w:ascii="Cambria Math" w:hAnsi="Cambria Math"/>
                </w:rPr>
              </m:r>
            </m:e>
            <m:sub>
              <m:r>
                <m:t>j</m:t>
                <w:rPr>
                  <w:rFonts w:ascii="Cambria Math" w:hAnsi="Cambria Math"/>
                </w:rPr>
              </m:r>
            </m:sub>
            <m:sup>
              <m:r>
                <m:rPr>
                  <m:sty m:val="p"/>
                </m:rPr>
                <m:t>−</m:t>
                <w:rPr>
                  <w:rFonts w:ascii="Cambria Math" w:hAnsi="Cambria Math"/>
                </w:rPr>
              </m:r>
              <m:r>
                <m:t>1</m:t>
                <w:rPr>
                  <w:rFonts w:ascii="Cambria Math" w:hAnsi="Cambria Math"/>
                </w:rPr>
              </m:r>
            </m:sup>
          </m:sSubSup>
          <m:r>
            <m:rPr>
              <m:sty m:val="p"/>
            </m:rPr>
            <m:t>(</m:t>
            <w:rPr>
              <w:rFonts w:ascii="Cambria Math" w:hAnsi="Cambria Math"/>
            </w:rPr>
          </m:r>
          <m:sSub>
            <m:e>
              <m:r>
                <m:t>U</m:t>
                <w:rPr>
                  <w:rFonts w:ascii="Cambria Math" w:hAnsi="Cambria Math"/>
                </w:rPr>
              </m:r>
            </m:e>
            <m:sub>
              <m:r>
                <m:t>j</m:t>
                <w:rPr>
                  <w:rFonts w:ascii="Cambria Math" w:hAnsi="Cambria Math"/>
                </w:rPr>
              </m:r>
            </m:sub>
          </m:sSub>
          <m:r>
            <m:rPr>
              <m:sty m:val="p"/>
            </m:rPr>
            <m:t>)</m:t>
            <w:rPr>
              <w:rFonts w:ascii="Cambria Math" w:hAnsi="Cambria Math"/>
            </w:rPr>
          </m:r>
          <m:r>
            <m:rPr>
              <m:sty m:val="p"/>
            </m:rPr>
            <m:t>,</m:t>
            <w:rPr>
              <w:rFonts w:ascii="Cambria Math" w:hAnsi="Cambria Math"/>
            </w:rPr>
          </m:r>
          <m:r>
            <m:t> </m:t>
            <w:rPr>
              <w:rFonts w:ascii="Cambria Math" w:hAnsi="Cambria Math"/>
            </w:rPr>
          </m:r>
          <m:r>
            <m:t>F</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t>C</m:t>
            <w:rPr>
              <w:rFonts w:ascii="Cambria Math" w:hAnsi="Cambria Math"/>
            </w:rPr>
          </m:r>
          <m:r>
            <m:rPr>
              <m:sty m:val="p"/>
            </m:rPr>
            <m:t>(</m:t>
            <w:rPr>
              <w:rFonts w:ascii="Cambria Math" w:hAnsi="Cambria Math"/>
            </w:rPr>
          </m:r>
          <m:sSub>
            <m:e>
              <m:r>
                <m:t>F</m:t>
                <w:rPr>
                  <w:rFonts w:ascii="Cambria Math" w:hAnsi="Cambria Math"/>
                </w:rPr>
              </m:r>
            </m:e>
            <m:sub>
              <m:r>
                <m:t>1</m:t>
                <w:rPr>
                  <w:rFonts w:ascii="Cambria Math" w:hAnsi="Cambria Math"/>
                </w:rPr>
              </m:r>
            </m:sub>
          </m:sSub>
          <m:r>
            <m:rPr>
              <m:sty m:val="p"/>
            </m:rPr>
            <m:t>(</m:t>
            <w:rPr>
              <w:rFonts w:ascii="Cambria Math" w:hAnsi="Cambria Math"/>
            </w:rPr>
          </m:r>
          <m:sSub>
            <m:e>
              <m:r>
                <m:t>x</m:t>
                <w:rPr>
                  <w:rFonts w:ascii="Cambria Math" w:hAnsi="Cambria Math"/>
                </w:rPr>
              </m:r>
            </m:e>
            <m:sub>
              <m:r>
                <m:t>1</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r>
            <m:rPr>
              <m:sty m:val="p"/>
            </m:rPr>
            <m:t>,</m:t>
            <w:rPr>
              <w:rFonts w:ascii="Cambria Math" w:hAnsi="Cambria Math"/>
            </w:rPr>
          </m:r>
          <m:sSub>
            <m:e>
              <m:r>
                <m:t>F</m:t>
                <w:rPr>
                  <w:rFonts w:ascii="Cambria Math" w:hAnsi="Cambria Math"/>
                </w:rPr>
              </m:r>
            </m:e>
            <m:sub>
              <m:r>
                <m:t>d</m:t>
                <w:rPr>
                  <w:rFonts w:ascii="Cambria Math" w:hAnsi="Cambria Math"/>
                </w:rPr>
              </m:r>
            </m:sub>
          </m:sSub>
          <m:r>
            <m:rPr>
              <m:sty m:val="p"/>
            </m:rPr>
            <m:t>(</m:t>
            <w:rPr>
              <w:rFonts w:ascii="Cambria Math" w:hAnsi="Cambria Math"/>
            </w:rPr>
          </m:r>
          <m:sSub>
            <m:e>
              <m:r>
                <m:t>x</m:t>
                <w:rPr>
                  <w:rFonts w:ascii="Cambria Math" w:hAnsi="Cambria Math"/>
                </w:rPr>
              </m:r>
            </m:e>
            <m:sub>
              <m:r>
                <m:t>d</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w:r>
        <w:t xml:space="preserve">直感的には、各変数がどの分位点の組合せを取るかを決めてから元の単位に戻す。通常</w:t>
      </w:r>
      <m:oMath>
        <m:sSub>
          <m:e>
            <m:r>
              <m:t>X</m:t>
              <w:rPr>
                <w:rFonts w:ascii="Cambria Math" w:hAnsi="Cambria Math"/>
              </w:rPr>
            </m:r>
          </m:e>
          <m:sub>
            <m:r>
              <m:t>2</m:t>
              <w:rPr>
                <w:rFonts w:ascii="Cambria Math" w:hAnsi="Cambria Math"/>
              </w:rPr>
            </m:r>
          </m:sub>
        </m:sSub>
        <m:r>
          <m:rPr>
            <m:sty m:val="p"/>
          </m:rPr>
          <m:t>≈</m:t>
          <w:rPr>
            <w:rFonts w:ascii="Cambria Math" w:hAnsi="Cambria Math"/>
          </w:rPr>
        </m:r>
        <m:sSub>
          <m:e>
            <m:r>
              <m:t>X</m:t>
              <w:rPr>
                <w:rFonts w:ascii="Cambria Math" w:hAnsi="Cambria Math"/>
              </w:rPr>
            </m:r>
          </m:e>
          <m:sub>
            <m:r>
              <m:t>1</m:t>
              <w:rPr>
                <w:rFonts w:ascii="Cambria Math" w:hAnsi="Cambria Math"/>
              </w:rPr>
            </m:r>
          </m:sub>
        </m:sSub>
      </m:oMath>
      <w:r>
        <w:t xml:space="preserve">であれば、(0.9,0.1)は各変数が[0,1]内でも不自然になり得る。</w:t>
      </w:r>
    </w:p>
    <w:p>
      <w:pPr>
        <w:pStyle w:val="BodyText"/>
        <w:widowControl/>
      </w:pPr>
      <w:r>
        <w:t xml:space="preserve">warpは</w:t>
      </w:r>
    </w:p>
    <w:p>
      <w:pPr>
        <w:pStyle w:val="BodyText"/>
        <w:widowControl/>
      </w:pPr>
      <m:oMathPara>
        <m:oMathParaPr>
          <m:jc m:val="center"/>
        </m:oMathParaPr>
        <m:oMath>
          <m:sSup>
            <m:e>
              <m:r>
                <m:t>u</m:t>
                <w:rPr>
                  <w:rFonts w:ascii="Cambria Math" w:hAnsi="Cambria Math"/>
                </w:rPr>
              </m:r>
            </m:e>
            <m:sup>
              <m:r>
                <m:rPr>
                  <m:sty m:val="p"/>
                </m:rPr>
                <m:t>*</m:t>
                <w:rPr>
                  <w:rFonts w:ascii="Cambria Math" w:hAnsi="Cambria Math"/>
                </w:rPr>
              </m:r>
            </m:sup>
          </m:sSup>
          <m:r>
            <m:rPr>
              <m:sty m:val="p"/>
            </m:rPr>
            <m:t>=</m:t>
            <w:rPr>
              <w:rFonts w:ascii="Cambria Math" w:hAnsi="Cambria Math"/>
            </w:rPr>
          </m:r>
          <m:f>
            <m:fPr>
              <m:type m:val="bar"/>
            </m:fPr>
            <m:num>
              <m:sSup>
                <m:e>
                  <m:r>
                    <m:t>u</m:t>
                    <w:rPr>
                      <w:rFonts w:ascii="Cambria Math" w:hAnsi="Cambria Math"/>
                    </w:rPr>
                  </m:r>
                </m:e>
                <m:sup>
                  <m:r>
                    <m:t>γ</m:t>
                    <w:rPr>
                      <w:rFonts w:ascii="Cambria Math" w:hAnsi="Cambria Math"/>
                    </w:rPr>
                  </m:r>
                </m:sup>
              </m:sSup>
            </m:num>
            <m:den>
              <m:sSup>
                <m:e>
                  <m:r>
                    <m:t>u</m:t>
                    <w:rPr>
                      <w:rFonts w:ascii="Cambria Math" w:hAnsi="Cambria Math"/>
                    </w:rPr>
                  </m:r>
                </m:e>
                <m:sup>
                  <m:r>
                    <m:t>γ</m:t>
                    <w:rPr>
                      <w:rFonts w:ascii="Cambria Math" w:hAnsi="Cambria Math"/>
                    </w:rPr>
                  </m:r>
                </m:sup>
              </m:sSup>
              <m:r>
                <m:rPr>
                  <m:sty m:val="p"/>
                </m:rPr>
                <m:t>+</m:t>
                <w:rPr>
                  <w:rFonts w:ascii="Cambria Math" w:hAnsi="Cambria Math"/>
                </w:rPr>
              </m:r>
              <m:r>
                <m:rPr>
                  <m:sty m:val="p"/>
                </m:rPr>
                <m:t>(</m:t>
                <w:rPr>
                  <w:rFonts w:ascii="Cambria Math" w:hAnsi="Cambria Math"/>
                </w:rPr>
              </m:r>
              <m:r>
                <m:t>1</m:t>
                <w:rPr>
                  <w:rFonts w:ascii="Cambria Math" w:hAnsi="Cambria Math"/>
                </w:rPr>
              </m:r>
              <m:r>
                <m:rPr>
                  <m:sty m:val="p"/>
                </m:rPr>
                <m:t>−</m:t>
                <w:rPr>
                  <w:rFonts w:ascii="Cambria Math" w:hAnsi="Cambria Math"/>
                </w:rPr>
              </m:r>
              <m:r>
                <m:t>u</m:t>
                <w:rPr>
                  <w:rFonts w:ascii="Cambria Math" w:hAnsi="Cambria Math"/>
                </w:rPr>
              </m:r>
              <m:sSup>
                <m:e>
                  <m:r>
                    <m:rPr>
                      <m:sty m:val="p"/>
                    </m:rPr>
                    <m:t>)</m:t>
                    <w:rPr>
                      <w:rFonts w:ascii="Cambria Math" w:hAnsi="Cambria Math"/>
                    </w:rPr>
                  </m:r>
                </m:e>
                <m:sup>
                  <m:r>
                    <m:t>γ</m:t>
                    <w:rPr>
                      <w:rFonts w:ascii="Cambria Math" w:hAnsi="Cambria Math"/>
                    </w:rPr>
                  </m:r>
                </m:sup>
              </m:sSup>
            </m:den>
          </m:f>
          <m:r>
            <m:rPr>
              <m:sty m:val="p"/>
            </m:rPr>
            <m:t>,</m:t>
            <w:rPr>
              <w:rFonts w:ascii="Cambria Math" w:hAnsi="Cambria Math"/>
            </w:rPr>
          </m:r>
          <m:r>
            <m:t> </m:t>
            <w:rPr>
              <w:rFonts w:ascii="Cambria Math" w:hAnsi="Cambria Math"/>
            </w:rPr>
          </m:r>
          <m:r>
            <m:t>γ</m:t>
            <w:rPr>
              <w:rFonts w:ascii="Cambria Math" w:hAnsi="Cambria Math"/>
            </w:rPr>
          </m:r>
          <m:r>
            <m:rPr>
              <m:sty m:val="p"/>
            </m:rPr>
            <m:t>&gt;</m:t>
            <w:rPr>
              <w:rFonts w:ascii="Cambria Math" w:hAnsi="Cambria Math"/>
            </w:rPr>
          </m:r>
          <m:r>
            <m:t>1</m:t>
            <w:rPr>
              <w:rFonts w:ascii="Cambria Math" w:hAnsi="Cambria Math"/>
            </w:rPr>
          </m:r>
        </m:oMath>
      </m:oMathPara>
    </w:p>
    <w:p>
      <w:pPr>
        <w:pStyle w:val="FirstParagraph"/>
        <w:widowControl/>
      </w:pPr>
      <w:r>
        <w:t xml:space="preserve">で裾に押し出す。u=0.8、γ=2なら約0.9412。変換後の潜在Mahalanobis半径が学習時95%分位を超えた点のみ正例となる。</w:t>
      </w:r>
    </w:p>
    <w:p>
      <w:pPr>
        <w:pStyle w:val="BodyText"/>
        <w:widowControl/>
      </w:pPr>
      <w:r>
        <w:t xml:space="preserve">jointは潜在学習点</w:t>
      </w:r>
      <m:oMath>
        <m:sSub>
          <m:e>
            <m:r>
              <m:t>z</m:t>
              <w:rPr>
                <w:rFonts w:ascii="Cambria Math" w:hAnsi="Cambria Math"/>
              </w:rPr>
            </m:r>
          </m:e>
          <m:sub>
            <m:r>
              <m:t>b</m:t>
              <w:rPr>
                <w:rFonts w:ascii="Cambria Math" w:hAnsi="Cambria Math"/>
              </w:rPr>
            </m:r>
          </m:sub>
        </m:sSub>
      </m:oMath>
      <w:r>
        <w:t xml:space="preserve">にランダム単位方向</w:t>
      </w:r>
      <m:oMath>
        <m:r>
          <m:t>ζ</m:t>
          <w:rPr>
            <w:rFonts w:ascii="Cambria Math" w:hAnsi="Cambria Math"/>
          </w:rPr>
        </m:r>
      </m:oMath>
      <w:r>
        <w:t xml:space="preserve">とカイ二乗上側裾の平方根rを用いて</w:t>
      </w:r>
      <m:oMath>
        <m:sSup>
          <m:e>
            <m:r>
              <m:t>z</m:t>
              <w:rPr>
                <w:rFonts w:ascii="Cambria Math" w:hAnsi="Cambria Math"/>
              </w:rPr>
            </m:r>
          </m:e>
          <m:sup>
            <m:r>
              <m:rPr>
                <m:sty m:val="p"/>
              </m:rPr>
              <m:t>*</m:t>
              <w:rPr>
                <w:rFonts w:ascii="Cambria Math" w:hAnsi="Cambria Math"/>
              </w:rPr>
            </m:r>
          </m:sup>
        </m:sSup>
        <m:r>
          <m:rPr>
            <m:sty m:val="p"/>
          </m:rPr>
          <m:t>=</m:t>
          <w:rPr>
            <w:rFonts w:ascii="Cambria Math" w:hAnsi="Cambria Math"/>
          </w:rPr>
        </m:r>
        <m:sSub>
          <m:e>
            <m:r>
              <m:t>z</m:t>
              <w:rPr>
                <w:rFonts w:ascii="Cambria Math" w:hAnsi="Cambria Math"/>
              </w:rPr>
            </m:r>
          </m:e>
          <m:sub>
            <m:r>
              <m:t>b</m:t>
              <w:rPr>
                <w:rFonts w:ascii="Cambria Math" w:hAnsi="Cambria Math"/>
              </w:rPr>
            </m:r>
          </m:sub>
        </m:sSub>
        <m:r>
          <m:rPr>
            <m:sty m:val="p"/>
          </m:rPr>
          <m:t>+</m:t>
          <w:rPr>
            <w:rFonts w:ascii="Cambria Math" w:hAnsi="Cambria Math"/>
          </w:rPr>
        </m:r>
        <m:r>
          <m:t>r</m:t>
          <w:rPr>
            <w:rFonts w:ascii="Cambria Math" w:hAnsi="Cambria Math"/>
          </w:rPr>
        </m:r>
        <m:r>
          <m:t>ζ</m:t>
          <w:rPr>
            <w:rFonts w:ascii="Cambria Math" w:hAnsi="Cambria Math"/>
          </w:rPr>
        </m:r>
      </m:oMath>
      <w:r>
        <w:t xml:space="preserve">を加え、元の逆CDFで戻し、全生成点を正例とする。supportは</w:t>
      </w:r>
      <m:oMath>
        <m:sSub>
          <m:e>
            <m:r>
              <m:t>z</m:t>
              <w:rPr>
                <w:rFonts w:ascii="Cambria Math" w:hAnsi="Cambria Math"/>
              </w:rPr>
            </m:r>
          </m:e>
          <m:sub>
            <m:r>
              <m:t>b</m:t>
              <w:rPr>
                <w:rFonts w:ascii="Cambria Math" w:hAnsi="Cambria Math"/>
              </w:rPr>
            </m:r>
          </m:sub>
        </m:sSub>
      </m:oMath>
      <w:r>
        <w:t xml:space="preserve">を裾の目標半径へ拡大し、外挿可能な</w:t>
      </w:r>
      <m:oMath>
        <m:sSubSup>
          <m:e>
            <m:acc>
              <m:accPr>
                <m:chr m:val="̃"/>
              </m:accPr>
              <m:e>
                <m:r>
                  <m:t>F</m:t>
                  <w:rPr>
                    <w:rFonts w:ascii="Cambria Math" w:hAnsi="Cambria Math"/>
                  </w:rPr>
                </m:r>
              </m:e>
            </m:acc>
          </m:e>
          <m:sub>
            <m:r>
              <m:t>j</m:t>
              <w:rPr>
                <w:rFonts w:ascii="Cambria Math" w:hAnsi="Cambria Math"/>
              </w:rPr>
            </m:r>
          </m:sub>
          <m:sup>
            <m:r>
              <m:rPr>
                <m:sty m:val="p"/>
              </m:rPr>
              <m:t>−</m:t>
              <w:rPr>
                <w:rFonts w:ascii="Cambria Math" w:hAnsi="Cambria Math"/>
              </w:rPr>
            </m:r>
            <m:r>
              <m:t>1</m:t>
              <w:rPr>
                <w:rFonts w:ascii="Cambria Math" w:hAnsi="Cambria Math"/>
              </w:rPr>
            </m:r>
          </m:sup>
        </m:sSubSup>
      </m:oMath>
      <w:r>
        <w:t xml:space="preserve">で観測範囲外へ写し、全点を正例とする。表3のq=0.05は裾確率で、§3の選択変数数qとは別の意味である。</w:t>
      </w:r>
    </w:p>
    <w:p>
      <w:pPr>
        <w:pStyle w:val="BodyText"/>
        <w:widowControl/>
      </w:pPr>
      <w:r>
        <w:rPr>
          <w:bCs/>
          <w:b/>
        </w:rPr>
        <w:t xml:space="preserve">解釈上の境界。</w:t>
      </w:r>
      <w:r>
        <w:t xml:space="preserve"> </w:t>
      </w:r>
      <w:r>
        <w:t xml:space="preserve">元の逆CDFを保ってもUの周辺分布が一様でなくなればXの周辺分布は変わる。したがってjointは依存異常を意図した代理条件だが、純粋な相関変化の厳密な生成保証ではない。各点が必ず十分遠いことも移動だけでは保証されない。γの具体値、外挿関数、高次元Rの正則化などは本文では十分に展開されていない。</w:t>
      </w:r>
    </w:p>
    <w:p>
      <w:pPr>
        <w:pStyle w:val="BodyText"/>
        <w:widowControl/>
      </w:pPr>
      <w:r>
        <w:rPr>
          <w:bCs/>
          <w:b/>
        </w:rPr>
        <w:t xml:space="preserve">E 結論。</w:t>
      </w:r>
    </w:p>
    <w:p>
      <w:pPr>
        <w:widowControl/>
        <w:numPr>
          <w:ilvl w:val="0"/>
          <w:numId w:val="1008"/>
        </w:numPr>
        <w:pStyle w:val="Compact"/>
      </w:pPr>
      <w:r>
        <w:t xml:space="preserve">warpは裾・低密度、jointは結合関係、supportは範囲外に主に対応する。</w:t>
      </w:r>
    </w:p>
    <w:p>
      <w:pPr>
        <w:widowControl/>
        <w:numPr>
          <w:ilvl w:val="0"/>
          <w:numId w:val="1008"/>
        </w:numPr>
        <w:pStyle w:val="Compact"/>
      </w:pPr>
      <w:r>
        <w:t xml:space="preserve">生成モードごとに正解ラベルの意味が違う。</w:t>
      </w:r>
    </w:p>
    <w:p>
      <w:pPr>
        <w:widowControl/>
        <w:numPr>
          <w:ilvl w:val="0"/>
          <w:numId w:val="1008"/>
        </w:numPr>
        <w:pStyle w:val="Compact"/>
      </w:pPr>
      <w:r>
        <w:t xml:space="preserve">変数間依存異常を時間的文脈異常と同一視しない。</w:t>
      </w:r>
    </w:p>
    <w:bookmarkEnd w:id="33"/>
    <w:bookmarkStart w:id="34" w:name="experiments-5.35.4異常の種類で順位が変わる"/>
    <w:p>
      <w:pPr>
        <w:pStyle w:val="Heading3"/>
        <w:widowControl/>
      </w:pPr>
      <w:r>
        <w:rPr>
          <w:color w:val="000000"/>
        </w:rPr>
        <w:t xml:space="preserve">3.9 Experiments 5.3–5.4：異常の種類で順位が変わる</w:t>
      </w:r>
    </w:p>
    <w:p>
      <w:pPr>
        <w:pStyle w:val="FirstParagraph"/>
        <w:widowControl/>
      </w:pPr>
      <w:r>
        <w:rPr>
          <w:bCs/>
          <w:b/>
        </w:rPr>
        <w:t xml:space="preserve">A 内容。</w:t>
      </w:r>
      <w:r>
        <w:t xml:space="preserve"> </w:t>
      </w:r>
      <w:r>
        <w:t xml:space="preserve">PMLB61課題と高次元マイクロアレイ5課題で、各設定100回のAUC-PRを比較する。[pp.16–21]</w:t>
      </w:r>
    </w:p>
    <w:p>
      <w:pPr>
        <w:pStyle w:val="BodyText"/>
        <w:widowControl/>
      </w:pPr>
      <w:r>
        <w:rPr>
          <w:bCs/>
          <w:b/>
        </w:rPr>
        <w:t xml:space="preserve">B 役割。</w:t>
      </w:r>
      <w:r>
        <w:t xml:space="preserve"> </w:t>
      </w:r>
      <w:r>
        <w:t xml:space="preserve">複数の次元・対象・変化に対する経験的妥当性を調べる。</w:t>
      </w:r>
    </w:p>
    <w:p>
      <w:pPr>
        <w:pStyle w:val="BodyText"/>
        <w:widowControl/>
      </w:pPr>
      <w:r>
        <w:rPr>
          <w:bCs/>
          <w:b/>
        </w:rPr>
        <w:t xml:space="preserve">C 概念。</w:t>
      </w:r>
      <w:r>
        <w:t xml:space="preserve"> </w:t>
      </w:r>
      <w:r>
        <w:t xml:space="preserve">AUC-PRは適合率–再現率曲線の面積、平均順位は相対的な順序。CD図の接続は有意差を検出しなかったことを表し、同一性能の証明ではない。生存OOB死亡リスクは擬似回帰目的変数である。</w:t>
      </w:r>
    </w:p>
    <w:p>
      <w:pPr>
        <w:pStyle w:val="BodyText"/>
        <w:widowControl/>
      </w:pPr>
      <w:r>
        <w:rPr>
          <w:bCs/>
          <w:b/>
        </w:rPr>
        <w:t xml:space="preserve">D 評価式。</w:t>
      </w:r>
    </w:p>
    <w:p>
      <w:pPr>
        <w:pStyle w:val="BodyText"/>
        <w:widowControl/>
      </w:pPr>
      <m:oMathPara>
        <m:oMathParaPr>
          <m:jc m:val="center"/>
        </m:oMathParaPr>
        <m:oMath>
          <m:r>
            <m:t>P</m:t>
            <w:rPr>
              <w:rFonts w:ascii="Cambria Math" w:hAnsi="Cambria Math"/>
            </w:rPr>
          </m:r>
          <m:r>
            <m:t>r</m:t>
            <w:rPr>
              <w:rFonts w:ascii="Cambria Math" w:hAnsi="Cambria Math"/>
            </w:rPr>
          </m:r>
          <m:r>
            <m:t>e</m:t>
            <w:rPr>
              <w:rFonts w:ascii="Cambria Math" w:hAnsi="Cambria Math"/>
            </w:rPr>
          </m:r>
          <m:r>
            <m:t>c</m:t>
            <w:rPr>
              <w:rFonts w:ascii="Cambria Math" w:hAnsi="Cambria Math"/>
            </w:rPr>
          </m:r>
          <m:r>
            <m:t>i</m:t>
            <w:rPr>
              <w:rFonts w:ascii="Cambria Math" w:hAnsi="Cambria Math"/>
            </w:rPr>
          </m:r>
          <m:r>
            <m:t>s</m:t>
            <w:rPr>
              <w:rFonts w:ascii="Cambria Math" w:hAnsi="Cambria Math"/>
            </w:rPr>
          </m:r>
          <m:r>
            <m:t>i</m:t>
            <w:rPr>
              <w:rFonts w:ascii="Cambria Math" w:hAnsi="Cambria Math"/>
            </w:rPr>
          </m:r>
          <m:r>
            <m:t>o</m:t>
            <w:rPr>
              <w:rFonts w:ascii="Cambria Math" w:hAnsi="Cambria Math"/>
            </w:rPr>
          </m:r>
          <m:r>
            <m:t>n</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t>F</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R</m:t>
            <w:rPr>
              <w:rFonts w:ascii="Cambria Math" w:hAnsi="Cambria Math"/>
            </w:rPr>
          </m:r>
          <m:r>
            <m:t>e</m:t>
            <w:rPr>
              <w:rFonts w:ascii="Cambria Math" w:hAnsi="Cambria Math"/>
            </w:rPr>
          </m:r>
          <m:r>
            <m:t>c</m:t>
            <w:rPr>
              <w:rFonts w:ascii="Cambria Math" w:hAnsi="Cambria Math"/>
            </w:rPr>
          </m:r>
          <m:r>
            <m:t>a</m:t>
            <w:rPr>
              <w:rFonts w:ascii="Cambria Math" w:hAnsi="Cambria Math"/>
            </w:rPr>
          </m:r>
          <m:r>
            <m:t>l</m:t>
            <w:rPr>
              <w:rFonts w:ascii="Cambria Math" w:hAnsi="Cambria Math"/>
            </w:rPr>
          </m:r>
          <m:r>
            <m:t>l</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T</m:t>
            <w:rPr>
              <w:rFonts w:ascii="Cambria Math" w:hAnsi="Cambria Math"/>
            </w:rPr>
          </m:r>
          <m:r>
            <m:t>P</m:t>
            <w:rPr>
              <w:rFonts w:ascii="Cambria Math" w:hAnsi="Cambria Math"/>
            </w:rPr>
          </m:r>
          <m:r>
            <m:rPr>
              <m:sty m:val="p"/>
            </m:rPr>
            <m:t>+</m:t>
            <w:rPr>
              <w:rFonts w:ascii="Cambria Math" w:hAnsi="Cambria Math"/>
            </w:rPr>
          </m:r>
          <m:r>
            <m:t>F</m:t>
            <w:rPr>
              <w:rFonts w:ascii="Cambria Math" w:hAnsi="Cambria Math"/>
            </w:rPr>
          </m:r>
          <m:r>
            <m:t>N</m:t>
            <w:rPr>
              <w:rFonts w:ascii="Cambria Math" w:hAnsi="Cambria Math"/>
            </w:rPr>
          </m:r>
          <m:r>
            <m:rPr>
              <m:sty m:val="p"/>
            </m:rPr>
            <m:t>)</m:t>
            <w:rPr>
              <w:rFonts w:ascii="Cambria Math" w:hAnsi="Cambria Math"/>
            </w:rPr>
          </m:r>
          <m:r>
            <m:rPr>
              <m:sty m:val="p"/>
            </m:rPr>
            <m:t>,</m:t>
            <w:rPr>
              <w:rFonts w:ascii="Cambria Math" w:hAnsi="Cambria Math"/>
            </w:rPr>
          </m:r>
          <m:r>
            <m:t> </m:t>
            <w:rPr>
              <w:rFonts w:ascii="Cambria Math" w:hAnsi="Cambria Math"/>
            </w:rPr>
          </m:r>
          <m:r>
            <m:t>F</m:t>
            <w:rPr>
              <w:rFonts w:ascii="Cambria Math" w:hAnsi="Cambria Math"/>
            </w:rPr>
          </m:r>
          <m:r>
            <m:t>P</m:t>
            <w:rPr>
              <w:rFonts w:ascii="Cambria Math" w:hAnsi="Cambria Math"/>
            </w:rPr>
          </m:r>
          <m:r>
            <m:t>R</m:t>
            <w:rPr>
              <w:rFonts w:ascii="Cambria Math" w:hAnsi="Cambria Math"/>
            </w:rPr>
          </m:r>
          <m:r>
            <m:rPr>
              <m:sty m:val="p"/>
            </m:rPr>
            <m:t>=</m:t>
            <w:rPr>
              <w:rFonts w:ascii="Cambria Math" w:hAnsi="Cambria Math"/>
            </w:rPr>
          </m:r>
          <m:r>
            <m:t>F</m:t>
            <w:rPr>
              <w:rFonts w:ascii="Cambria Math" w:hAnsi="Cambria Math"/>
            </w:rPr>
          </m:r>
          <m:r>
            <m:t>P</m:t>
            <w:rPr>
              <w:rFonts w:ascii="Cambria Math" w:hAnsi="Cambria Math"/>
            </w:rPr>
          </m:r>
          <m:r>
            <m:rPr>
              <m:sty m:val="p"/>
            </m:rPr>
            <m:t>/</m:t>
            <w:rPr>
              <w:rFonts w:ascii="Cambria Math" w:hAnsi="Cambria Math"/>
            </w:rPr>
          </m:r>
          <m:r>
            <m:rPr>
              <m:sty m:val="p"/>
            </m:rPr>
            <m:t>(</m:t>
            <w:rPr>
              <w:rFonts w:ascii="Cambria Math" w:hAnsi="Cambria Math"/>
            </w:rPr>
          </m:r>
          <m:r>
            <m:t>F</m:t>
            <w:rPr>
              <w:rFonts w:ascii="Cambria Math" w:hAnsi="Cambria Math"/>
            </w:rPr>
          </m:r>
          <m:r>
            <m:t>P</m:t>
            <w:rPr>
              <w:rFonts w:ascii="Cambria Math" w:hAnsi="Cambria Math"/>
            </w:rPr>
          </m:r>
          <m:r>
            <m:rPr>
              <m:sty m:val="p"/>
            </m:rPr>
            <m:t>+</m:t>
            <w:rPr>
              <w:rFonts w:ascii="Cambria Math" w:hAnsi="Cambria Math"/>
            </w:rPr>
          </m:r>
          <m:r>
            <m:t>T</m:t>
            <w:rPr>
              <w:rFonts w:ascii="Cambria Math" w:hAnsi="Cambria Math"/>
            </w:rPr>
          </m:r>
          <m:r>
            <m:t>N</m:t>
            <w:rPr>
              <w:rFonts w:ascii="Cambria Math" w:hAnsi="Cambria Math"/>
            </w:rPr>
          </m:r>
          <m:r>
            <m:rPr>
              <m:sty m:val="p"/>
            </m:rPr>
            <m:t>)</m:t>
            <w:rPr>
              <w:rFonts w:ascii="Cambria Math" w:hAnsi="Cambria Math"/>
            </w:rPr>
          </m:r>
          <m:r>
            <m:rPr>
              <m:sty m:val="p"/>
            </m:rPr>
            <m:t>.</m:t>
            <w:rPr>
              <w:rFonts w:ascii="Cambria Math" w:hAnsi="Cambria Math"/>
            </w:rPr>
          </m:r>
        </m:oMath>
      </m:oMathPara>
    </w:p>
    <w:p>
      <w:pPr>
        <w:pStyle w:val="FirstParagraph"/>
        <w:widowControl/>
      </w:pPr>
      <w:r>
        <w:t xml:space="preserve">TPはOOD検出、FPはIDの誤警報、FNは見逃し、TNは正しい受入れ。閾値を動かしてPR曲線を得る。ランダム順位の基準は正例率に依存する。論文はNemenyi検定、α=0.05のCD図を使う。全スコア原票や積分実装の詳細は記載されていない。</w:t>
      </w:r>
    </w:p>
    <w:p>
      <w:pPr>
        <w:pStyle w:val="BodyText"/>
        <w:widowControl/>
      </w:pPr>
      <w:r>
        <w:rPr>
          <w:bCs/>
          <w:b/>
        </w:rPr>
        <w:t xml:space="preserve">E 結論。</w:t>
      </w:r>
    </w:p>
    <w:p>
      <w:pPr>
        <w:widowControl/>
        <w:numPr>
          <w:ilvl w:val="0"/>
          <w:numId w:val="1009"/>
        </w:numPr>
        <w:pStyle w:val="Compact"/>
      </w:pPr>
      <w:r>
        <w:t xml:space="preserve">PMLBではjoint/supportでOutPro、warpで従来法が優位。</w:t>
      </w:r>
    </w:p>
    <w:p>
      <w:pPr>
        <w:widowControl/>
        <w:numPr>
          <w:ilvl w:val="0"/>
          <w:numId w:val="1009"/>
        </w:numPr>
        <w:pStyle w:val="Compact"/>
      </w:pPr>
      <w:r>
        <w:t xml:space="preserve">高次元jointではOutPro、高次元supportではrobust kNN densityが首位。</w:t>
      </w:r>
    </w:p>
    <w:p>
      <w:pPr>
        <w:widowControl/>
        <w:numPr>
          <w:ilvl w:val="0"/>
          <w:numId w:val="1009"/>
        </w:numPr>
        <w:pStyle w:val="Compact"/>
      </w:pPr>
      <w:r>
        <w:t xml:space="preserve">順位を正解率や改善率に読み替えない。</w:t>
      </w:r>
    </w:p>
    <w:bookmarkEnd w:id="34"/>
    <w:bookmarkStart w:id="35" w:name="experiments-5.55.6パラメータと構成要素"/>
    <w:p>
      <w:pPr>
        <w:pStyle w:val="Heading3"/>
        <w:widowControl/>
      </w:pPr>
      <w:r>
        <w:rPr>
          <w:color w:val="000000"/>
        </w:rPr>
        <w:t xml:space="preserve">3.10 Experiments 5.5–5.6：パラメータと構成要素</w:t>
      </w:r>
    </w:p>
    <w:p>
      <w:pPr>
        <w:pStyle w:val="FirstParagraph"/>
        <w:widowControl/>
      </w:pPr>
      <w:r>
        <w:rPr>
          <w:bCs/>
          <w:b/>
        </w:rPr>
        <w:t xml:space="preserve">A 内容。</w:t>
      </w:r>
      <w:r>
        <w:t xml:space="preserve"> </w:t>
      </w:r>
      <w:r>
        <w:t xml:space="preserve">K、OPTICSのminPtsを変え、変数選択、重み、フォレスト近傍を除いた場合を比較する。[pp.19、21–23]</w:t>
      </w:r>
    </w:p>
    <w:p>
      <w:pPr>
        <w:pStyle w:val="BodyText"/>
        <w:widowControl/>
      </w:pPr>
      <w:r>
        <w:rPr>
          <w:bCs/>
          <w:b/>
        </w:rPr>
        <w:t xml:space="preserve">B 役割。</w:t>
      </w:r>
      <w:r>
        <w:t xml:space="preserve"> </w:t>
      </w:r>
      <w:r>
        <w:t xml:space="preserve">統合法全体の性能と、各構成要素の必要性を分ける。</w:t>
      </w:r>
    </w:p>
    <w:p>
      <w:pPr>
        <w:pStyle w:val="BodyText"/>
        <w:widowControl/>
      </w:pPr>
      <w:r>
        <w:rPr>
          <w:bCs/>
          <w:b/>
        </w:rPr>
        <w:t xml:space="preserve">C 概念。</w:t>
      </w:r>
      <w:r>
        <w:t xml:space="preserve"> </w:t>
      </w:r>
      <w:r>
        <w:t xml:space="preserve">同じManhattan距離とKで統制したアブレーションである。既定値</w:t>
      </w:r>
      <m:oMath>
        <m:sSub>
          <m:e>
            <m:r>
              <m:t>K</m:t>
              <w:rPr>
                <w:rFonts w:ascii="Cambria Math" w:hAnsi="Cambria Math"/>
              </w:rPr>
            </m:r>
          </m:e>
          <m:sub>
            <m:r>
              <m:t>0</m:t>
              <w:rPr>
                <w:rFonts w:ascii="Cambria Math" w:hAnsi="Cambria Math"/>
              </w:rPr>
            </m:r>
          </m:sub>
        </m:sSub>
        <m:r>
          <m:rPr>
            <m:sty m:val="p"/>
          </m:rPr>
          <m:t>=</m:t>
          <w:rPr>
            <w:rFonts w:ascii="Cambria Math" w:hAnsi="Cambria Math"/>
          </w:rPr>
        </m:r>
        <m:r>
          <m:rPr>
            <m:nor/>
            <m:sty m:val="p"/>
          </m:rPr>
          <m:t>min</m:t>
          <w:rPr>
            <w:rFonts w:ascii="Cambria Math" w:hAnsi="Cambria Math"/>
          </w:rPr>
        </m:r>
        <m:r>
          <m:rPr>
            <m:sty m:val="p"/>
          </m:rPr>
          <m:t>(</m:t>
          <w:rPr>
            <w:rFonts w:ascii="Cambria Math" w:hAnsi="Cambria Math"/>
          </w:rPr>
        </m:r>
        <m:sSub>
          <m:e>
            <m:r>
              <m:t>n</m:t>
              <w:rPr>
                <w:rFonts w:ascii="Cambria Math" w:hAnsi="Cambria Math"/>
              </w:rPr>
            </m:r>
          </m:e>
          <m:sub>
            <m:r>
              <m:t>t</m:t>
              <w:rPr>
                <w:rFonts w:ascii="Cambria Math" w:hAnsi="Cambria Math"/>
              </w:rPr>
            </m:r>
            <m:r>
              <m:t>r</m:t>
              <w:rPr>
                <w:rFonts w:ascii="Cambria Math" w:hAnsi="Cambria Math"/>
              </w:rPr>
            </m:r>
            <m:r>
              <m:t>a</m:t>
              <w:rPr>
                <w:rFonts w:ascii="Cambria Math" w:hAnsi="Cambria Math"/>
              </w:rPr>
            </m:r>
            <m:r>
              <m:t>i</m:t>
              <w:rPr>
                <w:rFonts w:ascii="Cambria Math" w:hAnsi="Cambria Math"/>
              </w:rPr>
            </m:r>
            <m:r>
              <m:t>n</m:t>
              <w:rPr>
                <w:rFonts w:ascii="Cambria Math" w:hAnsi="Cambria Math"/>
              </w:rPr>
            </m:r>
          </m:sub>
        </m:sSub>
        <m:r>
          <m:rPr>
            <m:sty m:val="p"/>
          </m:rPr>
          <m:t>/</m:t>
          <w:rPr>
            <w:rFonts w:ascii="Cambria Math" w:hAnsi="Cambria Math"/>
          </w:rPr>
        </m:r>
        <m:r>
          <m:t>10</m:t>
          <w:rPr>
            <w:rFonts w:ascii="Cambria Math" w:hAnsi="Cambria Math"/>
          </w:rPr>
        </m:r>
        <m:r>
          <m:rPr>
            <m:sty m:val="p"/>
          </m:rPr>
          <m:t>,</m:t>
          <w:rPr>
            <w:rFonts w:ascii="Cambria Math" w:hAnsi="Cambria Math"/>
          </w:rPr>
        </m:r>
        <m:r>
          <m:t>5000</m:t>
          <w:rPr>
            <w:rFonts w:ascii="Cambria Math" w:hAnsi="Cambria Math"/>
          </w:rPr>
        </m:r>
        <m:r>
          <m:rPr>
            <m:sty m:val="p"/>
          </m:rPr>
          <m:t>)</m:t>
          <w:rPr>
            <w:rFonts w:ascii="Cambria Math" w:hAnsi="Cambria Math"/>
          </w:rPr>
        </m:r>
      </m:oMath>
      <w:r>
        <w:t xml:space="preserve">のnは学習行数と解釈する。</w:t>
      </w:r>
    </w:p>
    <w:p>
      <w:pPr>
        <w:pStyle w:val="BodyText"/>
        <w:widowControl/>
      </w:pPr>
      <w:r>
        <w:rPr>
          <w:bCs/>
          <w:b/>
        </w:rPr>
        <w:t xml:space="preserve">D 表5の正確な数値。</w:t>
      </w:r>
      <w:r>
        <w:t xml:space="preserve"> </w:t>
      </w:r>
      <w:r>
        <w:t xml:space="preserve">小さいほどよい平均AUC-PR順位。</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3749"/>
        <w:gridCol w:w="1529"/>
        <w:gridCol w:w="1529"/>
        <w:gridCol w:w="1529"/>
        <w:gridCol w:w="1529"/>
      </w:tblGrid>
      <w:tr>
        <w:trPr>
          <w:cantSplit/>
          <w:tblHeader/>
        </w:trPr>
        <w:tc>
          <w:tcPr>
            <w:tcW w:type="dxa" w:w="3749"/>
            <w:vAlign w:val="center"/>
            <w:shd w:fill="E7EDF3"/>
          </w:tcPr>
          <w:p>
            <w:pPr>
              <w:pStyle w:val="Compact"/>
              <w:keepNext w:val="0"/>
              <w:spacing w:after="40" w:before="40" w:line="264" w:lineRule="auto"/>
              <w:jc w:val="left"/>
            </w:pPr>
            <w:r>
              <w:rPr>
                <w:b/>
                <w:color w:val="000000"/>
                <w:sz w:val="19"/>
              </w:rPr>
              <w:t xml:space="preserve">設定</w:t>
            </w:r>
          </w:p>
        </w:tc>
        <w:tc>
          <w:tcPr>
            <w:tcW w:type="dxa" w:w="1529"/>
            <w:vAlign w:val="center"/>
            <w:shd w:fill="E7EDF3"/>
          </w:tcPr>
          <w:p>
            <w:pPr>
              <w:pStyle w:val="Compact"/>
              <w:keepNext w:val="0"/>
              <w:spacing w:after="40" w:before="40" w:line="264" w:lineRule="auto"/>
              <w:jc w:val="right"/>
            </w:pPr>
            <w:r>
              <w:rPr>
                <w:b/>
                <w:color w:val="000000"/>
                <w:sz w:val="19"/>
              </w:rPr>
              <w:t xml:space="preserve">joint</w:t>
            </w:r>
          </w:p>
        </w:tc>
        <w:tc>
          <w:tcPr>
            <w:tcW w:type="dxa" w:w="1529"/>
            <w:vAlign w:val="center"/>
            <w:shd w:fill="E7EDF3"/>
          </w:tcPr>
          <w:p>
            <w:pPr>
              <w:pStyle w:val="Compact"/>
              <w:keepNext w:val="0"/>
              <w:spacing w:after="40" w:before="40" w:line="264" w:lineRule="auto"/>
              <w:jc w:val="right"/>
            </w:pPr>
            <w:r>
              <w:rPr>
                <w:b/>
                <w:color w:val="000000"/>
                <w:sz w:val="19"/>
              </w:rPr>
              <w:t xml:space="preserve">support</w:t>
            </w:r>
          </w:p>
        </w:tc>
        <w:tc>
          <w:tcPr>
            <w:tcW w:type="dxa" w:w="1529"/>
            <w:vAlign w:val="center"/>
            <w:shd w:fill="E7EDF3"/>
          </w:tcPr>
          <w:p>
            <w:pPr>
              <w:pStyle w:val="Compact"/>
              <w:keepNext w:val="0"/>
              <w:spacing w:after="40" w:before="40" w:line="264" w:lineRule="auto"/>
              <w:jc w:val="right"/>
            </w:pPr>
            <w:r>
              <w:rPr>
                <w:b/>
                <w:color w:val="000000"/>
                <w:sz w:val="19"/>
              </w:rPr>
              <w:t xml:space="preserve">warp</w:t>
            </w:r>
          </w:p>
        </w:tc>
        <w:tc>
          <w:tcPr>
            <w:tcW w:type="dxa" w:w="1529"/>
            <w:vAlign w:val="center"/>
            <w:shd w:fill="E7EDF3"/>
          </w:tcPr>
          <w:p>
            <w:pPr>
              <w:pStyle w:val="Compact"/>
              <w:keepNext w:val="0"/>
              <w:spacing w:after="40" w:before="40" w:line="264" w:lineRule="auto"/>
              <w:jc w:val="right"/>
            </w:pPr>
            <w:r>
              <w:rPr>
                <w:b/>
                <w:color w:val="000000"/>
                <w:sz w:val="19"/>
              </w:rPr>
              <w:t xml:space="preserve">平均</w:t>
            </w:r>
          </w:p>
        </w:tc>
      </w:tr>
      <w:tr>
        <w:trPr>
          <w:cantSplit/>
        </w:trPr>
        <w:tc>
          <w:tcPr>
            <w:tcW w:type="dxa" w:w="3749"/>
            <w:vAlign w:val="center"/>
            <w:shd w:fill="FFFFFF"/>
          </w:tcPr>
          <w:p>
            <w:pPr>
              <w:pStyle w:val="Compact"/>
              <w:keepNext w:val="0"/>
              <w:spacing w:after="40" w:before="40" w:line="264" w:lineRule="auto"/>
              <w:jc w:val="left"/>
            </w:pPr>
            <w:r>
              <w:rPr>
                <w:color w:val="000000"/>
                <w:sz w:val="19"/>
              </w:rPr>
              <w:t xml:space="preserve">Full OutPro</w:t>
            </w:r>
          </w:p>
        </w:tc>
        <w:tc>
          <w:tcPr>
            <w:tcW w:type="dxa" w:w="1529"/>
            <w:vAlign w:val="center"/>
            <w:shd w:fill="FFFFFF"/>
          </w:tcPr>
          <w:p>
            <w:pPr>
              <w:pStyle w:val="Compact"/>
              <w:keepNext w:val="0"/>
              <w:spacing w:after="40" w:before="40" w:line="264" w:lineRule="auto"/>
              <w:jc w:val="center"/>
            </w:pPr>
            <w:r>
              <w:rPr>
                <w:color w:val="000000"/>
                <w:sz w:val="19"/>
              </w:rPr>
              <w:t xml:space="preserve">2.88</w:t>
            </w:r>
          </w:p>
        </w:tc>
        <w:tc>
          <w:tcPr>
            <w:tcW w:type="dxa" w:w="1529"/>
            <w:vAlign w:val="center"/>
            <w:shd w:fill="FFFFFF"/>
          </w:tcPr>
          <w:p>
            <w:pPr>
              <w:pStyle w:val="Compact"/>
              <w:keepNext w:val="0"/>
              <w:spacing w:after="40" w:before="40" w:line="264" w:lineRule="auto"/>
              <w:jc w:val="center"/>
            </w:pPr>
            <w:r>
              <w:rPr>
                <w:color w:val="000000"/>
                <w:sz w:val="19"/>
              </w:rPr>
              <w:t xml:space="preserve">1.40</w:t>
            </w:r>
          </w:p>
        </w:tc>
        <w:tc>
          <w:tcPr>
            <w:tcW w:type="dxa" w:w="1529"/>
            <w:vAlign w:val="center"/>
            <w:shd w:fill="FFFFFF"/>
          </w:tcPr>
          <w:p>
            <w:pPr>
              <w:pStyle w:val="Compact"/>
              <w:keepNext w:val="0"/>
              <w:spacing w:after="40" w:before="40" w:line="264" w:lineRule="auto"/>
              <w:jc w:val="center"/>
            </w:pPr>
            <w:r>
              <w:rPr>
                <w:color w:val="000000"/>
                <w:sz w:val="19"/>
              </w:rPr>
              <w:t xml:space="preserve">1.23</w:t>
            </w:r>
          </w:p>
        </w:tc>
        <w:tc>
          <w:tcPr>
            <w:tcW w:type="dxa" w:w="1529"/>
            <w:vAlign w:val="center"/>
            <w:shd w:fill="FFFFFF"/>
          </w:tcPr>
          <w:p>
            <w:pPr>
              <w:pStyle w:val="Compact"/>
              <w:keepNext w:val="0"/>
              <w:spacing w:after="40" w:before="40" w:line="264" w:lineRule="auto"/>
              <w:jc w:val="center"/>
            </w:pPr>
            <w:r>
              <w:rPr>
                <w:color w:val="000000"/>
                <w:sz w:val="19"/>
              </w:rPr>
              <w:t xml:space="preserve">1.84</w:t>
            </w:r>
          </w:p>
        </w:tc>
      </w:tr>
      <w:tr>
        <w:trPr>
          <w:cantSplit/>
        </w:trPr>
        <w:tc>
          <w:tcPr>
            <w:tcW w:type="dxa" w:w="3749"/>
            <w:vAlign w:val="center"/>
            <w:shd w:fill="F7F8FA"/>
          </w:tcPr>
          <w:p>
            <w:pPr>
              <w:pStyle w:val="Compact"/>
              <w:keepNext w:val="0"/>
              <w:spacing w:after="40" w:before="40" w:line="264" w:lineRule="auto"/>
              <w:jc w:val="left"/>
            </w:pPr>
            <w:r>
              <w:rPr>
                <w:color w:val="000000"/>
                <w:sz w:val="19"/>
              </w:rPr>
              <w:t xml:space="preserve">Unweighted OutPro</w:t>
            </w:r>
          </w:p>
        </w:tc>
        <w:tc>
          <w:tcPr>
            <w:tcW w:type="dxa" w:w="1529"/>
            <w:vAlign w:val="center"/>
            <w:shd w:fill="F7F8FA"/>
          </w:tcPr>
          <w:p>
            <w:pPr>
              <w:pStyle w:val="Compact"/>
              <w:keepNext w:val="0"/>
              <w:spacing w:after="40" w:before="40" w:line="264" w:lineRule="auto"/>
              <w:jc w:val="center"/>
            </w:pPr>
            <w:r>
              <w:rPr>
                <w:color w:val="000000"/>
                <w:sz w:val="19"/>
              </w:rPr>
              <w:t xml:space="preserve">3.38</w:t>
            </w:r>
          </w:p>
        </w:tc>
        <w:tc>
          <w:tcPr>
            <w:tcW w:type="dxa" w:w="1529"/>
            <w:vAlign w:val="center"/>
            <w:shd w:fill="F7F8FA"/>
          </w:tcPr>
          <w:p>
            <w:pPr>
              <w:pStyle w:val="Compact"/>
              <w:keepNext w:val="0"/>
              <w:spacing w:after="40" w:before="40" w:line="264" w:lineRule="auto"/>
              <w:jc w:val="center"/>
            </w:pPr>
            <w:r>
              <w:rPr>
                <w:color w:val="000000"/>
                <w:sz w:val="19"/>
              </w:rPr>
              <w:t xml:space="preserve">3.42</w:t>
            </w:r>
          </w:p>
        </w:tc>
        <w:tc>
          <w:tcPr>
            <w:tcW w:type="dxa" w:w="1529"/>
            <w:vAlign w:val="center"/>
            <w:shd w:fill="F7F8FA"/>
          </w:tcPr>
          <w:p>
            <w:pPr>
              <w:pStyle w:val="Compact"/>
              <w:keepNext w:val="0"/>
              <w:spacing w:after="40" w:before="40" w:line="264" w:lineRule="auto"/>
              <w:jc w:val="center"/>
            </w:pPr>
            <w:r>
              <w:rPr>
                <w:color w:val="000000"/>
                <w:sz w:val="19"/>
              </w:rPr>
              <w:t xml:space="preserve">3.80</w:t>
            </w:r>
          </w:p>
        </w:tc>
        <w:tc>
          <w:tcPr>
            <w:tcW w:type="dxa" w:w="1529"/>
            <w:vAlign w:val="center"/>
            <w:shd w:fill="F7F8FA"/>
          </w:tcPr>
          <w:p>
            <w:pPr>
              <w:pStyle w:val="Compact"/>
              <w:keepNext w:val="0"/>
              <w:spacing w:after="40" w:before="40" w:line="264" w:lineRule="auto"/>
              <w:jc w:val="center"/>
            </w:pPr>
            <w:r>
              <w:rPr>
                <w:color w:val="000000"/>
                <w:sz w:val="19"/>
              </w:rPr>
              <w:t xml:space="preserve">3.53</w:t>
            </w:r>
          </w:p>
        </w:tc>
      </w:tr>
      <w:tr>
        <w:trPr>
          <w:cantSplit/>
        </w:trPr>
        <w:tc>
          <w:tcPr>
            <w:tcW w:type="dxa" w:w="3749"/>
            <w:vAlign w:val="center"/>
            <w:shd w:fill="FFFFFF"/>
          </w:tcPr>
          <w:p>
            <w:pPr>
              <w:pStyle w:val="Compact"/>
              <w:keepNext w:val="0"/>
              <w:spacing w:after="40" w:before="40" w:line="264" w:lineRule="auto"/>
              <w:jc w:val="left"/>
            </w:pPr>
            <w:r>
              <w:rPr>
                <w:color w:val="000000"/>
                <w:sz w:val="19"/>
              </w:rPr>
              <w:t xml:space="preserve">All-coordinate OutPro</w:t>
            </w:r>
          </w:p>
        </w:tc>
        <w:tc>
          <w:tcPr>
            <w:tcW w:type="dxa" w:w="1529"/>
            <w:vAlign w:val="center"/>
            <w:shd w:fill="FFFFFF"/>
          </w:tcPr>
          <w:p>
            <w:pPr>
              <w:pStyle w:val="Compact"/>
              <w:keepNext w:val="0"/>
              <w:spacing w:after="40" w:before="40" w:line="264" w:lineRule="auto"/>
              <w:jc w:val="center"/>
            </w:pPr>
            <w:r>
              <w:rPr>
                <w:color w:val="000000"/>
                <w:sz w:val="19"/>
              </w:rPr>
              <w:t xml:space="preserve">2.91</w:t>
            </w:r>
          </w:p>
        </w:tc>
        <w:tc>
          <w:tcPr>
            <w:tcW w:type="dxa" w:w="1529"/>
            <w:vAlign w:val="center"/>
            <w:shd w:fill="FFFFFF"/>
          </w:tcPr>
          <w:p>
            <w:pPr>
              <w:pStyle w:val="Compact"/>
              <w:keepNext w:val="0"/>
              <w:spacing w:after="40" w:before="40" w:line="264" w:lineRule="auto"/>
              <w:jc w:val="center"/>
            </w:pPr>
            <w:r>
              <w:rPr>
                <w:color w:val="000000"/>
                <w:sz w:val="19"/>
              </w:rPr>
              <w:t xml:space="preserve">2.94</w:t>
            </w:r>
          </w:p>
        </w:tc>
        <w:tc>
          <w:tcPr>
            <w:tcW w:type="dxa" w:w="1529"/>
            <w:vAlign w:val="center"/>
            <w:shd w:fill="FFFFFF"/>
          </w:tcPr>
          <w:p>
            <w:pPr>
              <w:pStyle w:val="Compact"/>
              <w:keepNext w:val="0"/>
              <w:spacing w:after="40" w:before="40" w:line="264" w:lineRule="auto"/>
              <w:jc w:val="center"/>
            </w:pPr>
            <w:r>
              <w:rPr>
                <w:color w:val="000000"/>
                <w:sz w:val="19"/>
              </w:rPr>
              <w:t xml:space="preserve">3.89</w:t>
            </w:r>
          </w:p>
        </w:tc>
        <w:tc>
          <w:tcPr>
            <w:tcW w:type="dxa" w:w="1529"/>
            <w:vAlign w:val="center"/>
            <w:shd w:fill="FFFFFF"/>
          </w:tcPr>
          <w:p>
            <w:pPr>
              <w:pStyle w:val="Compact"/>
              <w:keepNext w:val="0"/>
              <w:spacing w:after="40" w:before="40" w:line="264" w:lineRule="auto"/>
              <w:jc w:val="center"/>
            </w:pPr>
            <w:r>
              <w:rPr>
                <w:color w:val="000000"/>
                <w:sz w:val="19"/>
              </w:rPr>
              <w:t xml:space="preserve">3.25</w:t>
            </w:r>
          </w:p>
        </w:tc>
      </w:tr>
      <w:tr>
        <w:trPr>
          <w:cantSplit/>
        </w:trPr>
        <w:tc>
          <w:tcPr>
            <w:tcW w:type="dxa" w:w="3749"/>
            <w:vAlign w:val="center"/>
            <w:shd w:fill="F7F8FA"/>
          </w:tcPr>
          <w:p>
            <w:pPr>
              <w:pStyle w:val="Compact"/>
              <w:keepNext w:val="0"/>
              <w:spacing w:after="40" w:before="40" w:line="264" w:lineRule="auto"/>
              <w:jc w:val="left"/>
            </w:pPr>
            <w:r>
              <w:rPr>
                <w:color w:val="000000"/>
                <w:sz w:val="19"/>
              </w:rPr>
              <w:t xml:space="preserve">Subspace KNN</w:t>
            </w:r>
          </w:p>
        </w:tc>
        <w:tc>
          <w:tcPr>
            <w:tcW w:type="dxa" w:w="1529"/>
            <w:vAlign w:val="center"/>
            <w:shd w:fill="F7F8FA"/>
          </w:tcPr>
          <w:p>
            <w:pPr>
              <w:pStyle w:val="Compact"/>
              <w:keepNext w:val="0"/>
              <w:spacing w:after="40" w:before="40" w:line="264" w:lineRule="auto"/>
              <w:jc w:val="center"/>
            </w:pPr>
            <w:r>
              <w:rPr>
                <w:bCs/>
                <w:b/>
                <w:color w:val="000000"/>
                <w:sz w:val="19"/>
              </w:rPr>
              <w:t xml:space="preserve">1.47</w:t>
            </w:r>
          </w:p>
        </w:tc>
        <w:tc>
          <w:tcPr>
            <w:tcW w:type="dxa" w:w="1529"/>
            <w:vAlign w:val="center"/>
            <w:shd w:fill="F7F8FA"/>
          </w:tcPr>
          <w:p>
            <w:pPr>
              <w:pStyle w:val="Compact"/>
              <w:keepNext w:val="0"/>
              <w:spacing w:after="40" w:before="40" w:line="264" w:lineRule="auto"/>
              <w:jc w:val="center"/>
            </w:pPr>
            <w:r>
              <w:rPr>
                <w:color w:val="000000"/>
                <w:sz w:val="19"/>
              </w:rPr>
              <w:t xml:space="preserve">2.82</w:t>
            </w:r>
          </w:p>
        </w:tc>
        <w:tc>
          <w:tcPr>
            <w:tcW w:type="dxa" w:w="1529"/>
            <w:vAlign w:val="center"/>
            <w:shd w:fill="F7F8FA"/>
          </w:tcPr>
          <w:p>
            <w:pPr>
              <w:pStyle w:val="Compact"/>
              <w:keepNext w:val="0"/>
              <w:spacing w:after="40" w:before="40" w:line="264" w:lineRule="auto"/>
              <w:jc w:val="center"/>
            </w:pPr>
            <w:r>
              <w:rPr>
                <w:color w:val="000000"/>
                <w:sz w:val="19"/>
              </w:rPr>
              <w:t xml:space="preserve">2.30</w:t>
            </w:r>
          </w:p>
        </w:tc>
        <w:tc>
          <w:tcPr>
            <w:tcW w:type="dxa" w:w="1529"/>
            <w:vAlign w:val="center"/>
            <w:shd w:fill="F7F8FA"/>
          </w:tcPr>
          <w:p>
            <w:pPr>
              <w:pStyle w:val="Compact"/>
              <w:keepNext w:val="0"/>
              <w:spacing w:after="40" w:before="40" w:line="264" w:lineRule="auto"/>
              <w:jc w:val="center"/>
            </w:pPr>
            <w:r>
              <w:rPr>
                <w:color w:val="000000"/>
                <w:sz w:val="19"/>
              </w:rPr>
              <w:t xml:space="preserve">2.33</w:t>
            </w:r>
          </w:p>
        </w:tc>
      </w:tr>
      <w:tr>
        <w:trPr>
          <w:cantSplit/>
        </w:trPr>
        <w:tc>
          <w:tcPr>
            <w:tcW w:type="dxa" w:w="3749"/>
            <w:vAlign w:val="center"/>
            <w:shd w:fill="FFFFFF"/>
          </w:tcPr>
          <w:p>
            <w:pPr>
              <w:pStyle w:val="Compact"/>
              <w:keepNext w:val="0"/>
              <w:spacing w:after="40" w:before="40" w:line="264" w:lineRule="auto"/>
              <w:jc w:val="left"/>
            </w:pPr>
            <w:r>
              <w:rPr>
                <w:color w:val="000000"/>
                <w:sz w:val="19"/>
              </w:rPr>
              <w:t xml:space="preserve">Full-space KNN</w:t>
            </w:r>
          </w:p>
        </w:tc>
        <w:tc>
          <w:tcPr>
            <w:tcW w:type="dxa" w:w="1529"/>
            <w:vAlign w:val="center"/>
            <w:shd w:fill="FFFFFF"/>
          </w:tcPr>
          <w:p>
            <w:pPr>
              <w:pStyle w:val="Compact"/>
              <w:keepNext w:val="0"/>
              <w:spacing w:after="40" w:before="40" w:line="264" w:lineRule="auto"/>
              <w:jc w:val="center"/>
            </w:pPr>
            <w:r>
              <w:rPr>
                <w:color w:val="000000"/>
                <w:sz w:val="19"/>
              </w:rPr>
              <w:t xml:space="preserve">4.37</w:t>
            </w:r>
          </w:p>
        </w:tc>
        <w:tc>
          <w:tcPr>
            <w:tcW w:type="dxa" w:w="1529"/>
            <w:vAlign w:val="center"/>
            <w:shd w:fill="FFFFFF"/>
          </w:tcPr>
          <w:p>
            <w:pPr>
              <w:pStyle w:val="Compact"/>
              <w:keepNext w:val="0"/>
              <w:spacing w:after="40" w:before="40" w:line="264" w:lineRule="auto"/>
              <w:jc w:val="center"/>
            </w:pPr>
            <w:r>
              <w:rPr>
                <w:color w:val="000000"/>
                <w:sz w:val="19"/>
              </w:rPr>
              <w:t xml:space="preserve">4.42</w:t>
            </w:r>
          </w:p>
        </w:tc>
        <w:tc>
          <w:tcPr>
            <w:tcW w:type="dxa" w:w="1529"/>
            <w:vAlign w:val="center"/>
            <w:shd w:fill="FFFFFF"/>
          </w:tcPr>
          <w:p>
            <w:pPr>
              <w:pStyle w:val="Compact"/>
              <w:keepNext w:val="0"/>
              <w:spacing w:after="40" w:before="40" w:line="264" w:lineRule="auto"/>
              <w:jc w:val="center"/>
            </w:pPr>
            <w:r>
              <w:rPr>
                <w:color w:val="000000"/>
                <w:sz w:val="19"/>
              </w:rPr>
              <w:t xml:space="preserve">3.78</w:t>
            </w:r>
          </w:p>
        </w:tc>
        <w:tc>
          <w:tcPr>
            <w:tcW w:type="dxa" w:w="1529"/>
            <w:vAlign w:val="center"/>
            <w:shd w:fill="FFFFFF"/>
          </w:tcPr>
          <w:p>
            <w:pPr>
              <w:pStyle w:val="Compact"/>
              <w:keepNext w:val="0"/>
              <w:spacing w:after="40" w:before="40" w:line="264" w:lineRule="auto"/>
              <w:jc w:val="center"/>
            </w:pPr>
            <w:r>
              <w:rPr>
                <w:color w:val="000000"/>
                <w:sz w:val="19"/>
              </w:rPr>
              <w:t xml:space="preserve">4.19</w:t>
            </w:r>
          </w:p>
        </w:tc>
      </w:tr>
    </w:tbl>
    <w:p>
      <w:pPr>
        <w:pStyle w:val="BodyText"/>
        <w:widowControl/>
      </w:pPr>
      <w:r>
        <w:t xml:space="preserve">感度分析はK/K₀∈{0.5,1,1.5,2}、minPts∈{3,5,10}。評価したsupport条件では大きいKに適度な改善があり、minPtsの影響は小さかった。任意のKや全運用条件の安定性を意味しない。</w:t>
      </w:r>
    </w:p>
    <w:p>
      <w:pPr>
        <w:pStyle w:val="BodyText"/>
        <w:widowControl/>
      </w:pPr>
      <w:r>
        <w:rPr>
          <w:bCs/>
          <w:b/>
        </w:rPr>
        <w:t xml:space="preserve">E 結論。</w:t>
      </w:r>
    </w:p>
    <w:p>
      <w:pPr>
        <w:widowControl/>
        <w:numPr>
          <w:ilvl w:val="0"/>
          <w:numId w:val="1010"/>
        </w:numPr>
        <w:pStyle w:val="Compact"/>
      </w:pPr>
      <w:r>
        <w:t xml:space="preserve">変数選択と重みには実験的根拠がある。</w:t>
      </w:r>
    </w:p>
    <w:p>
      <w:pPr>
        <w:widowControl/>
        <w:numPr>
          <w:ilvl w:val="0"/>
          <w:numId w:val="1010"/>
        </w:numPr>
        <w:pStyle w:val="Compact"/>
      </w:pPr>
      <w:r>
        <w:t xml:space="preserve">jointでは通常の部分空間KNNが上回るため、木近傍の利益は条件付き。</w:t>
      </w:r>
    </w:p>
    <w:p>
      <w:pPr>
        <w:widowControl/>
        <w:numPr>
          <w:ilvl w:val="0"/>
          <w:numId w:val="1010"/>
        </w:numPr>
        <w:pStyle w:val="Compact"/>
      </w:pPr>
      <w:r>
        <w:t xml:space="preserve">この5手法間の順位と、主比較の順位を直接引き算できない。</w:t>
      </w:r>
    </w:p>
    <w:bookmarkEnd w:id="35"/>
    <w:bookmarkStart w:id="36" w:name="case-studyweccで言えることと言えないこと"/>
    <w:p>
      <w:pPr>
        <w:pStyle w:val="Heading3"/>
        <w:widowControl/>
      </w:pPr>
      <w:r>
        <w:rPr>
          <w:color w:val="000000"/>
        </w:rPr>
        <w:t xml:space="preserve">3.11 Case study：WECCで言えることと言えないこと</w:t>
      </w:r>
    </w:p>
    <w:p>
      <w:pPr>
        <w:pStyle w:val="FirstParagraph"/>
        <w:widowControl/>
      </w:pPr>
      <w:r>
        <w:rPr>
          <w:bCs/>
          <w:b/>
        </w:rPr>
        <w:t xml:space="preserve">A 内容。</w:t>
      </w:r>
      <w:r>
        <w:t xml:space="preserve"> </w:t>
      </w:r>
      <w:r>
        <w:t xml:space="preserve">食道腺癌6142例で、郭清リンパ節数の閾値を変えた31場面を作り、pT3–4かつリンパ節陽性患者の平均OOD百分位を調べる。[pp.23–24図9]</w:t>
      </w:r>
    </w:p>
    <w:p>
      <w:pPr>
        <w:pStyle w:val="BodyText"/>
        <w:widowControl/>
      </w:pPr>
      <w:r>
        <w:rPr>
          <w:bCs/>
          <w:b/>
        </w:rPr>
        <w:t xml:space="preserve">B 役割。</w:t>
      </w:r>
      <w:r>
        <w:t xml:space="preserve"> </w:t>
      </w:r>
      <w:r>
        <w:t xml:space="preserve">臨床的参照集団からの違いをスコアで解釈する例を示す。</w:t>
      </w:r>
    </w:p>
    <w:p>
      <w:pPr>
        <w:pStyle w:val="BodyText"/>
        <w:widowControl/>
      </w:pPr>
      <w:r>
        <w:rPr>
          <w:bCs/>
          <w:b/>
        </w:rPr>
        <w:t xml:space="preserve">C 概念。</w:t>
      </w:r>
      <w:r>
        <w:t xml:space="preserve"> </w:t>
      </w:r>
      <w:r>
        <w:t xml:space="preserve">右打切りは少なくとも観察終了まで生存していたことを表す。RSFは生存時間とイベント状態を扱う。OOB予測は当該事例を学習に使用しない木から得る。百分位は参照分布上の位置であり死亡確率やOOD事後確率ではない。</w:t>
      </w:r>
    </w:p>
    <w:p>
      <w:pPr>
        <w:pStyle w:val="BodyText"/>
        <w:widowControl/>
      </w:pPr>
      <w:r>
        <w:rPr>
          <w:bCs/>
          <w:b/>
        </w:rPr>
        <w:t xml:space="preserve">D 操作。</w:t>
      </w:r>
      <w:r>
        <w:t xml:space="preserve"> </w:t>
      </w:r>
      <w:r>
        <w:t xml:space="preserve">c=0,…,30で「pT3–4、リンパ節陽性、切除数≥c」をテスト、残りを学習にする。図はテスト集団の平均百分位。帰無参照分布の推定式は本文で十分説明されていない。</w:t>
      </w:r>
    </w:p>
    <w:p>
      <w:pPr>
        <w:pStyle w:val="BodyText"/>
        <w:widowControl/>
      </w:pPr>
      <w:r>
        <w:t xml:space="preserve">【論文】95百分位では、陽性節1–2個群と3–6個群は約3個、7個以上群は約30個の切除数に対応する。90百分位では前二群が約5個・10個になる。これは著者の集団曲線の記述であり、本報告による治療推奨ではない。</w:t>
      </w:r>
    </w:p>
    <w:p>
      <w:pPr>
        <w:pStyle w:val="BodyText"/>
        <w:widowControl/>
      </w:pPr>
      <w:r>
        <w:t xml:space="preserve">【考察】閾値に伴いテスト患者と学習参照の両方が変わる。スコア低下から同一患者への切除増加の因果効果を推論できない。平均が95未満でも全患者が非OODとは限らない。独立したOOD正解ラベルがなく、真の検出率や臨床的効果の実証ではない。</w:t>
      </w:r>
    </w:p>
    <w:p>
      <w:pPr>
        <w:pStyle w:val="BodyText"/>
        <w:widowControl/>
      </w:pPr>
      <w:r>
        <w:rPr>
          <w:bCs/>
          <w:b/>
        </w:rPr>
        <w:t xml:space="preserve">E 結論。</w:t>
      </w:r>
    </w:p>
    <w:p>
      <w:pPr>
        <w:widowControl/>
        <w:numPr>
          <w:ilvl w:val="0"/>
          <w:numId w:val="1011"/>
        </w:numPr>
        <w:pStyle w:val="Compact"/>
      </w:pPr>
      <w:r>
        <w:t xml:space="preserve">探索的な集団解釈の応用例である。</w:t>
      </w:r>
    </w:p>
    <w:p>
      <w:pPr>
        <w:widowControl/>
        <w:numPr>
          <w:ilvl w:val="0"/>
          <w:numId w:val="1011"/>
        </w:numPr>
        <w:pStyle w:val="Compact"/>
      </w:pPr>
      <w:r>
        <w:t xml:space="preserve">関連性と介入の因果効果を分ける。</w:t>
      </w:r>
    </w:p>
    <w:p>
      <w:pPr>
        <w:widowControl/>
        <w:numPr>
          <w:ilvl w:val="0"/>
          <w:numId w:val="1011"/>
        </w:numPr>
        <w:pStyle w:val="Compact"/>
      </w:pPr>
      <w:r>
        <w:t xml:space="preserve">生存追跡時間は入力時系列窓ではない。</w:t>
      </w:r>
    </w:p>
    <w:bookmarkEnd w:id="36"/>
    <w:bookmarkStart w:id="37" w:name="summary-and-limitations"/>
    <w:p>
      <w:pPr>
        <w:pStyle w:val="Heading3"/>
        <w:widowControl/>
      </w:pPr>
      <w:r>
        <w:rPr>
          <w:color w:val="000000"/>
        </w:rPr>
        <w:t xml:space="preserve">3.12 Summary and limitations</w:t>
      </w:r>
    </w:p>
    <w:p>
      <w:pPr>
        <w:pStyle w:val="FirstParagraph"/>
        <w:widowControl/>
      </w:pPr>
      <w:r>
        <w:rPr>
          <w:bCs/>
          <w:b/>
        </w:rPr>
        <w:t xml:space="preserve">A 内容。</w:t>
      </w:r>
      <w:r>
        <w:t xml:space="preserve"> </w:t>
      </w:r>
      <w:r>
        <w:t xml:space="preserve">手法の統合的利点と、距離依存、選択誤り、人工異常、概念ドリフトの限界を整理する。[pp.24–26]</w:t>
      </w:r>
    </w:p>
    <w:p>
      <w:pPr>
        <w:pStyle w:val="BodyText"/>
        <w:widowControl/>
      </w:pPr>
      <w:r>
        <w:rPr>
          <w:bCs/>
          <w:b/>
        </w:rPr>
        <w:t xml:space="preserve">B 役割。</w:t>
      </w:r>
      <w:r>
        <w:t xml:space="preserve"> </w:t>
      </w:r>
      <w:r>
        <w:t xml:space="preserve">主張できる範囲を明確にする。</w:t>
      </w:r>
    </w:p>
    <w:p>
      <w:pPr>
        <w:pStyle w:val="BodyText"/>
        <w:widowControl/>
      </w:pPr>
      <w:r>
        <w:rPr>
          <w:bCs/>
          <w:b/>
        </w:rPr>
        <w:t xml:space="preserve">C 概念。</w:t>
      </w:r>
      <w:r>
        <w:t xml:space="preserve"> </w:t>
      </w:r>
      <w:r>
        <w:t xml:space="preserve">予測の支持、実際の予測誤差、安全リスクは異なる。計算可能性と最悪応答時間保証も異なる。</w:t>
      </w:r>
    </w:p>
    <w:p>
      <w:pPr>
        <w:pStyle w:val="BodyText"/>
        <w:widowControl/>
      </w:pPr>
      <w:r>
        <w:rPr>
          <w:bCs/>
          <w:b/>
        </w:rPr>
        <w:t xml:space="preserve">D 数式。</w:t>
      </w:r>
      <w:r>
        <w:t xml:space="preserve"> </w:t>
      </w:r>
      <w:r>
        <w:t xml:space="preserve">新しい必須式はない。概念ドリフトの識別不能性は§1.2参照。</w:t>
      </w:r>
    </w:p>
    <w:p>
      <w:pPr>
        <w:pStyle w:val="BodyText"/>
        <w:widowControl/>
      </w:pPr>
      <w:r>
        <w:rPr>
          <w:bCs/>
          <w:b/>
        </w:rPr>
        <w:t xml:space="preserve">E 結論。</w:t>
      </w:r>
    </w:p>
    <w:p>
      <w:pPr>
        <w:widowControl/>
        <w:numPr>
          <w:ilvl w:val="0"/>
          <w:numId w:val="1012"/>
        </w:numPr>
        <w:pStyle w:val="Compact"/>
      </w:pPr>
      <w:r>
        <w:t xml:space="preserve">予測関連入力の監視候補として有用である。</w:t>
      </w:r>
    </w:p>
    <w:p>
      <w:pPr>
        <w:widowControl/>
        <w:numPr>
          <w:ilvl w:val="0"/>
          <w:numId w:val="1012"/>
        </w:numPr>
        <w:pStyle w:val="Compact"/>
      </w:pPr>
      <w:r>
        <w:t xml:space="preserve">スコアと失敗確率の対応は校正されていない。</w:t>
      </w:r>
    </w:p>
    <w:p>
      <w:pPr>
        <w:widowControl/>
        <w:numPr>
          <w:ilvl w:val="0"/>
          <w:numId w:val="1012"/>
        </w:numPr>
        <w:pStyle w:val="Compact"/>
      </w:pPr>
      <w:r>
        <w:t xml:space="preserve">閾値、時系列、実運用の検証が残る。</w:t>
      </w:r>
    </w:p>
    <w:bookmarkEnd w:id="37"/>
    <w:bookmarkEnd w:id="38"/>
    <w:bookmarkStart w:id="43" w:name="正式研究報告分類アルゴリズム必要情報閾値"/>
    <w:p>
      <w:pPr>
        <w:pStyle w:val="Heading2"/>
        <w:widowControl/>
      </w:pPr>
      <w:r>
        <w:rPr>
          <w:color w:val="000000"/>
        </w:rPr>
        <w:t xml:space="preserve">4. 正式研究報告：分類、アルゴリズム、必要情報、閾値</w:t>
      </w:r>
    </w:p>
    <w:bookmarkStart w:id="39" w:name="分類基準と位置づけ"/>
    <w:p>
      <w:pPr>
        <w:pStyle w:val="Heading3"/>
        <w:widowControl/>
      </w:pPr>
      <w:r>
        <w:rPr>
          <w:color w:val="000000"/>
        </w:rPr>
        <w:t xml:space="preserve">4.1 分類基準と位置づけ</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分類軸</w:t>
            </w:r>
          </w:p>
        </w:tc>
        <w:tc>
          <w:tcPr>
            <w:tcW w:type="dxa" w:w="3946"/>
            <w:vAlign w:val="center"/>
            <w:shd w:fill="E7EDF3"/>
          </w:tcPr>
          <w:p>
            <w:pPr>
              <w:pStyle w:val="Compact"/>
              <w:keepNext w:val="0"/>
              <w:spacing w:after="40" w:before="40" w:line="264" w:lineRule="auto"/>
              <w:jc w:val="left"/>
            </w:pPr>
            <w:r>
              <w:rPr>
                <w:b/>
                <w:color w:val="000000"/>
                <w:sz w:val="19"/>
              </w:rPr>
              <w:t xml:space="preserve">選択肢</w:t>
            </w:r>
          </w:p>
        </w:tc>
        <w:tc>
          <w:tcPr>
            <w:tcW w:type="dxa" w:w="3749"/>
            <w:vAlign w:val="center"/>
            <w:shd w:fill="E7EDF3"/>
          </w:tcPr>
          <w:p>
            <w:pPr>
              <w:pStyle w:val="Compact"/>
              <w:keepNext w:val="0"/>
              <w:spacing w:after="40" w:before="40" w:line="264" w:lineRule="auto"/>
              <w:jc w:val="left"/>
            </w:pPr>
            <w:r>
              <w:rPr>
                <w:b/>
                <w:color w:val="000000"/>
                <w:sz w:val="19"/>
              </w:rPr>
              <w:t xml:space="preserve">OutPro</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最終スコア</w:t>
            </w:r>
          </w:p>
        </w:tc>
        <w:tc>
          <w:tcPr>
            <w:tcW w:type="dxa" w:w="3946"/>
            <w:vAlign w:val="center"/>
            <w:shd w:fill="FFFFFF"/>
          </w:tcPr>
          <w:p>
            <w:pPr>
              <w:pStyle w:val="Compact"/>
              <w:keepNext w:val="0"/>
              <w:spacing w:after="40" w:before="40" w:line="264" w:lineRule="auto"/>
              <w:jc w:val="left"/>
            </w:pPr>
            <w:r>
              <w:rPr>
                <w:color w:val="000000"/>
                <w:sz w:val="19"/>
              </w:rPr>
              <w:t xml:space="preserve">範囲・距離／確率密度／予測不確実性／その他</w:t>
            </w:r>
          </w:p>
        </w:tc>
        <w:tc>
          <w:tcPr>
            <w:tcW w:type="dxa" w:w="3749"/>
            <w:vAlign w:val="center"/>
            <w:shd w:fill="FFFFFF"/>
          </w:tcPr>
          <w:p>
            <w:pPr>
              <w:pStyle w:val="Compact"/>
              <w:keepNext w:val="0"/>
              <w:spacing w:after="40" w:before="40" w:line="264" w:lineRule="auto"/>
              <w:jc w:val="left"/>
            </w:pPr>
            <w:r>
              <w:rPr>
                <w:color w:val="000000"/>
                <w:sz w:val="19"/>
              </w:rPr>
              <w:t xml:space="preserve">主に重み付き部分空間距離、OPTICSは到達可能性</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学習時の情報</w:t>
            </w:r>
          </w:p>
        </w:tc>
        <w:tc>
          <w:tcPr>
            <w:tcW w:type="dxa" w:w="3946"/>
            <w:vAlign w:val="center"/>
            <w:shd w:fill="F7F8FA"/>
          </w:tcPr>
          <w:p>
            <w:pPr>
              <w:pStyle w:val="Compact"/>
              <w:keepNext w:val="0"/>
              <w:spacing w:after="40" w:before="40" w:line="264" w:lineRule="auto"/>
              <w:jc w:val="left"/>
            </w:pPr>
            <w:r>
              <w:rPr>
                <w:color w:val="000000"/>
                <w:sz w:val="19"/>
              </w:rPr>
              <w:t xml:space="preserve">Xのみ／XとY／OODラベルも必要</w:t>
            </w:r>
          </w:p>
        </w:tc>
        <w:tc>
          <w:tcPr>
            <w:tcW w:type="dxa" w:w="3749"/>
            <w:vAlign w:val="center"/>
            <w:shd w:fill="F7F8FA"/>
          </w:tcPr>
          <w:p>
            <w:pPr>
              <w:pStyle w:val="Compact"/>
              <w:keepNext w:val="0"/>
              <w:spacing w:after="40" w:before="40" w:line="264" w:lineRule="auto"/>
              <w:jc w:val="left"/>
            </w:pPr>
            <w:r>
              <w:rPr>
                <w:color w:val="000000"/>
                <w:sz w:val="19"/>
              </w:rPr>
              <w:t xml:space="preserve">IDのXとY。OOD学習ラベル不要</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モデル依存</w:t>
            </w:r>
          </w:p>
        </w:tc>
        <w:tc>
          <w:tcPr>
            <w:tcW w:type="dxa" w:w="3946"/>
            <w:vAlign w:val="center"/>
            <w:shd w:fill="FFFFFF"/>
          </w:tcPr>
          <w:p>
            <w:pPr>
              <w:pStyle w:val="Compact"/>
              <w:keepNext w:val="0"/>
              <w:spacing w:after="40" w:before="40" w:line="264" w:lineRule="auto"/>
              <w:jc w:val="left"/>
            </w:pPr>
            <w:r>
              <w:rPr>
                <w:color w:val="000000"/>
                <w:sz w:val="19"/>
              </w:rPr>
              <w:t xml:space="preserve">無し／出力／表現・勾配／内部構造</w:t>
            </w:r>
          </w:p>
        </w:tc>
        <w:tc>
          <w:tcPr>
            <w:tcW w:type="dxa" w:w="3749"/>
            <w:vAlign w:val="center"/>
            <w:shd w:fill="FFFFFF"/>
          </w:tcPr>
          <w:p>
            <w:pPr>
              <w:pStyle w:val="Compact"/>
              <w:keepNext w:val="0"/>
              <w:spacing w:after="40" w:before="40" w:line="264" w:lineRule="auto"/>
              <w:jc w:val="left"/>
            </w:pPr>
            <w:r>
              <w:rPr>
                <w:color w:val="000000"/>
                <w:sz w:val="19"/>
              </w:rPr>
              <w:t xml:space="preserve">フォレストのルールとVarPro</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検出単位</w:t>
            </w:r>
          </w:p>
        </w:tc>
        <w:tc>
          <w:tcPr>
            <w:tcW w:type="dxa" w:w="3946"/>
            <w:vAlign w:val="center"/>
            <w:shd w:fill="F7F8FA"/>
          </w:tcPr>
          <w:p>
            <w:pPr>
              <w:pStyle w:val="Compact"/>
              <w:keepNext w:val="0"/>
              <w:spacing w:after="40" w:before="40" w:line="264" w:lineRule="auto"/>
              <w:jc w:val="left"/>
            </w:pPr>
            <w:r>
              <w:rPr>
                <w:color w:val="000000"/>
                <w:sz w:val="19"/>
              </w:rPr>
              <w:t xml:space="preserve">点／文脈付き点／時系列・集合</w:t>
            </w:r>
          </w:p>
        </w:tc>
        <w:tc>
          <w:tcPr>
            <w:tcW w:type="dxa" w:w="3749"/>
            <w:vAlign w:val="center"/>
            <w:shd w:fill="F7F8FA"/>
          </w:tcPr>
          <w:p>
            <w:pPr>
              <w:pStyle w:val="Compact"/>
              <w:keepNext w:val="0"/>
              <w:spacing w:after="40" w:before="40" w:line="264" w:lineRule="auto"/>
              <w:jc w:val="left"/>
            </w:pPr>
            <w:r>
              <w:rPr>
                <w:color w:val="000000"/>
                <w:sz w:val="19"/>
              </w:rPr>
              <w:t xml:space="preserve">一つの表形式入力ベクトル</w:t>
            </w:r>
          </w:p>
        </w:tc>
      </w:tr>
    </w:tbl>
    <w:p>
      <w:pPr>
        <w:pStyle w:val="BodyText"/>
        <w:widowControl/>
      </w:pPr>
      <w:r>
        <w:t xml:space="preserve">台帳分類は「教師あり課題に導かれる、モデル・部分空間を考慮した参照近傍距離法」。IDだけで学習できるが、Yを使うため完全な教師なし学習ではない。</w:t>
      </w:r>
    </w:p>
    <w:bookmarkEnd w:id="39"/>
    <w:bookmarkStart w:id="40" w:name="具体的な検出手順"/>
    <w:p>
      <w:pPr>
        <w:pStyle w:val="Heading3"/>
        <w:widowControl/>
      </w:pPr>
      <w:r>
        <w:rPr>
          <w:color w:val="000000"/>
        </w:rPr>
        <w:t xml:space="preserve">4.2 具体的な検出手順</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段階</w:t>
            </w:r>
          </w:p>
        </w:tc>
        <w:tc>
          <w:tcPr>
            <w:tcW w:type="dxa" w:w="3946"/>
            <w:vAlign w:val="center"/>
            <w:shd w:fill="E7EDF3"/>
          </w:tcPr>
          <w:p>
            <w:pPr>
              <w:pStyle w:val="Compact"/>
              <w:keepNext w:val="0"/>
              <w:spacing w:after="40" w:before="40" w:line="264" w:lineRule="auto"/>
              <w:jc w:val="left"/>
            </w:pPr>
            <w:r>
              <w:rPr>
                <w:b/>
                <w:color w:val="000000"/>
                <w:sz w:val="19"/>
              </w:rPr>
              <w:t xml:space="preserve">必要情報・処理</w:t>
            </w:r>
          </w:p>
        </w:tc>
        <w:tc>
          <w:tcPr>
            <w:tcW w:type="dxa" w:w="3749"/>
            <w:vAlign w:val="center"/>
            <w:shd w:fill="E7EDF3"/>
          </w:tcPr>
          <w:p>
            <w:pPr>
              <w:pStyle w:val="Compact"/>
              <w:keepNext w:val="0"/>
              <w:spacing w:after="40" w:before="40" w:line="264" w:lineRule="auto"/>
              <w:jc w:val="left"/>
            </w:pPr>
            <w:r>
              <w:rPr>
                <w:b/>
                <w:color w:val="000000"/>
                <w:sz w:val="19"/>
              </w:rPr>
              <w:t xml:space="preserve">生成物</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学習</w:t>
            </w:r>
          </w:p>
        </w:tc>
        <w:tc>
          <w:tcPr>
            <w:tcW w:type="dxa" w:w="3946"/>
            <w:vAlign w:val="center"/>
            <w:shd w:fill="FFFFFF"/>
          </w:tcPr>
          <w:p>
            <w:pPr>
              <w:pStyle w:val="Compact"/>
              <w:keepNext w:val="0"/>
              <w:spacing w:after="40" w:before="40" w:line="264" w:lineRule="auto"/>
              <w:jc w:val="left"/>
            </w:pPr>
            <w:r>
              <w:rPr>
                <w:color w:val="000000"/>
                <w:sz w:val="19"/>
              </w:rPr>
              <w:t xml:space="preserve">IDのX、Y。生存では時間とイベント／打切り。フォレストを構築</w:t>
            </w:r>
          </w:p>
        </w:tc>
        <w:tc>
          <w:tcPr>
            <w:tcW w:type="dxa" w:w="3749"/>
            <w:vAlign w:val="center"/>
            <w:shd w:fill="FFFFFF"/>
          </w:tcPr>
          <w:p>
            <w:pPr>
              <w:pStyle w:val="Compact"/>
              <w:keepNext w:val="0"/>
              <w:spacing w:after="40" w:before="40" w:line="264" w:lineRule="auto"/>
              <w:jc w:val="left"/>
            </w:pPr>
            <w:r>
              <w:rPr>
                <w:color w:val="000000"/>
                <w:sz w:val="19"/>
              </w:rPr>
              <w:t xml:space="preserve">木・ルール</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変数選択</w:t>
            </w:r>
          </w:p>
        </w:tc>
        <w:tc>
          <w:tcPr>
            <w:tcW w:type="dxa" w:w="3946"/>
            <w:vAlign w:val="center"/>
            <w:shd w:fill="F7F8FA"/>
          </w:tcPr>
          <w:p>
            <w:pPr>
              <w:pStyle w:val="Compact"/>
              <w:keepNext w:val="0"/>
              <w:spacing w:after="40" w:before="40" w:line="264" w:lineRule="auto"/>
              <w:jc w:val="left"/>
            </w:pPr>
            <w:r>
              <w:rPr>
                <w:color w:val="000000"/>
                <w:sz w:val="19"/>
              </w:rPr>
              <w:t xml:space="preserve">VarProで出力変化を評価</w:t>
            </w:r>
          </w:p>
        </w:tc>
        <w:tc>
          <w:tcPr>
            <w:tcW w:type="dxa" w:w="3749"/>
            <w:vAlign w:val="center"/>
            <w:shd w:fill="F7F8FA"/>
          </w:tcPr>
          <w:p>
            <w:pPr>
              <w:pStyle w:val="Compact"/>
              <w:keepNext w:val="0"/>
              <w:spacing w:after="40" w:before="40" w:line="264" w:lineRule="auto"/>
              <w:jc w:val="left"/>
            </w:pPr>
            <w:r>
              <w:rPr>
                <w:color w:val="000000"/>
                <w:sz w:val="19"/>
              </w:rPr>
              <w:t xml:space="preserve">S、重要度重み</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尺度推定</w:t>
            </w:r>
          </w:p>
        </w:tc>
        <w:tc>
          <w:tcPr>
            <w:tcW w:type="dxa" w:w="3946"/>
            <w:vAlign w:val="center"/>
            <w:shd w:fill="FFFFFF"/>
          </w:tcPr>
          <w:p>
            <w:pPr>
              <w:pStyle w:val="Compact"/>
              <w:keepNext w:val="0"/>
              <w:spacing w:after="40" w:before="40" w:line="264" w:lineRule="auto"/>
              <w:jc w:val="left"/>
            </w:pPr>
            <w:r>
              <w:rPr>
                <w:color w:val="000000"/>
                <w:sz w:val="19"/>
              </w:rPr>
              <w:t xml:space="preserve">学習平均・標準偏差、必要なら共分散</w:t>
            </w:r>
          </w:p>
        </w:tc>
        <w:tc>
          <w:tcPr>
            <w:tcW w:type="dxa" w:w="3749"/>
            <w:vAlign w:val="center"/>
            <w:shd w:fill="FFFFFF"/>
          </w:tcPr>
          <w:p>
            <w:pPr>
              <w:pStyle w:val="Compact"/>
              <w:keepNext w:val="0"/>
              <w:spacing w:after="40" w:before="40" w:line="264" w:lineRule="auto"/>
              <w:jc w:val="left"/>
            </w:pPr>
            <w:r>
              <w:rPr>
                <w:color w:val="000000"/>
                <w:sz w:val="19"/>
              </w:rPr>
              <w:t xml:space="preserve">固定前処理</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運用時ルール照合</w:t>
            </w:r>
          </w:p>
        </w:tc>
        <w:tc>
          <w:tcPr>
            <w:tcW w:type="dxa" w:w="3946"/>
            <w:vAlign w:val="center"/>
            <w:shd w:fill="F7F8FA"/>
          </w:tcPr>
          <w:p>
            <w:pPr>
              <w:pStyle w:val="Compact"/>
              <w:keepNext w:val="0"/>
              <w:spacing w:after="40" w:before="40" w:line="264" w:lineRule="auto"/>
              <w:jc w:val="left"/>
            </w:pPr>
            <w:r>
              <w:rPr>
                <w:color w:val="000000"/>
                <w:sz w:val="19"/>
              </w:rPr>
              <w:t xml:space="preserve">新しいx、フォレスト内部、学習参照点</w:t>
            </w:r>
          </w:p>
        </w:tc>
        <w:tc>
          <w:tcPr>
            <w:tcW w:type="dxa" w:w="3749"/>
            <w:vAlign w:val="center"/>
            <w:shd w:fill="F7F8FA"/>
          </w:tcPr>
          <w:p>
            <w:pPr>
              <w:pStyle w:val="Compact"/>
              <w:keepNext w:val="0"/>
              <w:spacing w:after="40" w:before="40" w:line="264" w:lineRule="auto"/>
              <w:jc w:val="left"/>
            </w:pPr>
            <w:r>
              <w:rPr>
                <w:color w:val="000000"/>
                <w:sz w:val="19"/>
              </w:rPr>
              <w:t xml:space="preserve">xを含むルール、解除頻度</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近傍選択</w:t>
            </w:r>
          </w:p>
        </w:tc>
        <w:tc>
          <w:tcPr>
            <w:tcW w:type="dxa" w:w="3946"/>
            <w:vAlign w:val="center"/>
            <w:shd w:fill="FFFFFF"/>
          </w:tcPr>
          <w:p>
            <w:pPr>
              <w:pStyle w:val="Compact"/>
              <w:keepNext w:val="0"/>
              <w:spacing w:after="40" w:before="40" w:line="264" w:lineRule="auto"/>
              <w:jc w:val="left"/>
            </w:pPr>
            <w:r>
              <w:rPr>
                <w:color w:val="000000"/>
                <w:sz w:val="19"/>
              </w:rPr>
              <w:t xml:space="preserve">WとK</w:t>
            </w:r>
          </w:p>
        </w:tc>
        <w:tc>
          <w:tcPr>
            <w:tcW w:type="dxa" w:w="3749"/>
            <w:vAlign w:val="center"/>
            <w:shd w:fill="FFFFFF"/>
          </w:tcPr>
          <w:p>
            <w:pPr>
              <w:pStyle w:val="Compact"/>
              <w:keepNext w:val="0"/>
              <w:spacing w:after="40" w:before="40" w:line="264" w:lineRule="auto"/>
              <w:jc w:val="left"/>
            </w:pPr>
            <m:oMath>
              <m:sSub>
                <m:e>
                  <m:r>
                    <m:t>N</m:t>
                    <w:rPr>
                      <w:rFonts w:ascii="Cambria Math" w:hAnsi="Cambria Math"/>
                    </w:rPr>
                  </m:r>
                </m:e>
                <m:sub>
                  <m:r>
                    <m:t>K</m:t>
                    <w:rPr>
                      <w:rFonts w:ascii="Cambria Math" w:hAnsi="Cambria Math"/>
                    </w:rPr>
                  </m:r>
                </m:sub>
              </m:sSub>
              <m:r>
                <m:rPr>
                  <m:sty m:val="p"/>
                </m:rPr>
                <m:t>(</m:t>
                <w:rPr>
                  <w:rFonts w:ascii="Cambria Math" w:hAnsi="Cambria Math"/>
                </w:rPr>
              </m:r>
              <m:r>
                <m:t>x</m:t>
                <w:rPr>
                  <w:rFonts w:ascii="Cambria Math" w:hAnsi="Cambria Math"/>
                </w:rPr>
              </m:r>
              <m:r>
                <m:rPr>
                  <m:sty m:val="p"/>
                </m:rPr>
                <m:t>)</m:t>
                <w:rPr>
                  <w:rFonts w:ascii="Cambria Math" w:hAnsi="Cambria Math"/>
                </w:rPr>
              </m:r>
            </m:oMath>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スコア</w:t>
            </w:r>
          </w:p>
        </w:tc>
        <w:tc>
          <w:tcPr>
            <w:tcW w:type="dxa" w:w="3946"/>
            <w:vAlign w:val="center"/>
            <w:shd w:fill="F7F8FA"/>
          </w:tcPr>
          <w:p>
            <w:pPr>
              <w:pStyle w:val="Compact"/>
              <w:keepNext w:val="0"/>
              <w:spacing w:after="40" w:before="40" w:line="264" w:lineRule="auto"/>
              <w:jc w:val="left"/>
            </w:pPr>
            <w:r>
              <w:rPr>
                <w:color w:val="000000"/>
                <w:sz w:val="19"/>
              </w:rPr>
              <w:t xml:space="preserve">標準化座標、選択集合、重み、距離</w:t>
            </w:r>
          </w:p>
        </w:tc>
        <w:tc>
          <w:tcPr>
            <w:tcW w:type="dxa" w:w="3749"/>
            <w:vAlign w:val="center"/>
            <w:shd w:fill="F7F8FA"/>
          </w:tcPr>
          <w:p>
            <w:pPr>
              <w:pStyle w:val="Compact"/>
              <w:keepNext w:val="0"/>
              <w:spacing w:after="40" w:before="40" w:line="264" w:lineRule="auto"/>
              <w:jc w:val="left"/>
            </w:pPr>
            <w:r>
              <w:rPr>
                <w:color w:val="000000"/>
                <w:sz w:val="19"/>
              </w:rPr>
              <w:t xml:space="preserve">大きいほど逸脱するd</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判定</w:t>
            </w:r>
          </w:p>
        </w:tc>
        <w:tc>
          <w:tcPr>
            <w:tcW w:type="dxa" w:w="3946"/>
            <w:vAlign w:val="center"/>
            <w:shd w:fill="FFFFFF"/>
          </w:tcPr>
          <w:p>
            <w:pPr>
              <w:pStyle w:val="Compact"/>
              <w:keepNext w:val="0"/>
              <w:spacing w:after="40" w:before="40" w:line="264" w:lineRule="auto"/>
              <w:jc w:val="left"/>
            </w:pPr>
            <w:r>
              <w:rPr>
                <w:color w:val="000000"/>
                <w:sz w:val="19"/>
              </w:rPr>
              <w:t xml:space="preserve">校正閾値との比較</w:t>
            </w:r>
          </w:p>
        </w:tc>
        <w:tc>
          <w:tcPr>
            <w:tcW w:type="dxa" w:w="3749"/>
            <w:vAlign w:val="center"/>
            <w:shd w:fill="FFFFFF"/>
          </w:tcPr>
          <w:p>
            <w:pPr>
              <w:pStyle w:val="Compact"/>
              <w:keepNext w:val="0"/>
              <w:spacing w:after="40" w:before="40" w:line="264" w:lineRule="auto"/>
              <w:jc w:val="left"/>
            </w:pPr>
            <w:r>
              <w:rPr>
                <w:color w:val="000000"/>
                <w:sz w:val="19"/>
              </w:rPr>
              <w:t xml:space="preserve">ID／OOD判定。Algorithm 1自体の中心出力は連続d</w:t>
            </w:r>
          </w:p>
        </w:tc>
      </w:tr>
    </w:tbl>
    <w:p>
      <w:pPr>
        <w:pStyle w:val="BodyText"/>
        <w:widowControl/>
      </w:pPr>
      <w:r>
        <w:t xml:space="preserve">新しい事例の真のY、残差、対象AIの予測出力は不要。ただし、学習済み森林、学習参照入力、S、重みなどは必要。「新規データは入力だけでよい」は正しいが、「モデル・履歴情報も一切不要」は誤りである。</w:t>
      </w:r>
    </w:p>
    <w:bookmarkEnd w:id="40"/>
    <w:bookmarkStart w:id="41" w:name="閾値と検出率誤検出率の関係"/>
    <w:p>
      <w:pPr>
        <w:pStyle w:val="Heading3"/>
        <w:widowControl/>
      </w:pPr>
      <w:r>
        <w:rPr>
          <w:color w:val="000000"/>
        </w:rPr>
        <w:t xml:space="preserve">4.3 閾値と検出率・誤検出率の関係</w:t>
      </w:r>
    </w:p>
    <w:p>
      <w:pPr>
        <w:pStyle w:val="FirstParagraph"/>
        <w:widowControl/>
      </w:pPr>
      <w:r>
        <w:t xml:space="preserve">【論文】主評価はAUC-PRで、全課題共通の運用閾値は定めない。WECCでは90／95百分位を使用する。Copulaのq=0.05は生成用裾率、VarPro cutoffは選択閾値、Kは近傍数であり、OOD警報閾値と混同しない。</w:t>
      </w:r>
    </w:p>
    <w:p>
      <w:pPr>
        <w:pStyle w:val="BodyText"/>
        <w:widowControl/>
      </w:pPr>
      <w:r>
        <w:t xml:space="preserve">【提案】学習と独立し、正常運用を代表するID校正集合を用意し、固定スコアの1−α分位をtとする。</w:t>
      </w:r>
      <m:oMath>
        <m:acc>
          <m:accPr>
            <m:chr m:val="̂"/>
          </m:accPr>
          <m:e>
            <m:r>
              <m:t>a</m:t>
              <w:rPr>
                <w:rFonts w:ascii="Cambria Math" w:hAnsi="Cambria Math"/>
              </w:rPr>
            </m:r>
          </m:e>
        </m:acc>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r>
          <m:rPr>
            <m:sty m:val="b"/>
          </m:rPr>
          <m:t>1</m:t>
          <w:rPr>
            <w:rFonts w:ascii="Cambria Math" w:hAnsi="Cambria Math"/>
          </w:rPr>
        </m:r>
        <m:r>
          <m:rPr>
            <m:sty m:val="p"/>
          </m:rPr>
          <m:t>{</m:t>
          <w:rPr>
            <w:rFonts w:ascii="Cambria Math" w:hAnsi="Cambria Math"/>
          </w:rPr>
        </m:r>
        <m:r>
          <m:t>d</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r>
          <m:rPr>
            <m:sty m:val="p"/>
          </m:rPr>
          <m:t>&gt;</m:t>
          <w:rPr>
            <w:rFonts w:ascii="Cambria Math" w:hAnsi="Cambria Math"/>
          </w:rPr>
        </m:r>
        <m:r>
          <m:t>t</m:t>
          <w:rPr>
            <w:rFonts w:ascii="Cambria Math" w:hAnsi="Cambria Math"/>
          </w:rPr>
        </m:r>
        <m:r>
          <m:rPr>
            <m:sty m:val="p"/>
          </m:rPr>
          <m:t>}</m:t>
          <w:rPr>
            <w:rFonts w:ascii="Cambria Math" w:hAnsi="Cambria Math"/>
          </w:rPr>
        </m:r>
      </m:oMath>
      <w:r>
        <w:t xml:space="preserve">。tを下げれば通常は検出も誤報も増える。時間依存があると経験分位点だけでは将来FPR=αを保証できず、工況別・時系列での確認が必要。</w:t>
      </w:r>
    </w:p>
    <w:p>
      <w:pPr>
        <w:pStyle w:val="BodyText"/>
        <w:widowControl/>
      </w:pPr>
      <w:r>
        <w:t xml:space="preserve">数値例：ID1000件、OOD100件、TP80、FP50なら再現率80%、FPR5%、適合率約61.5%。実運用のOOD率が1%なら、同じTPR80%、FPR5%でも適合率は約13.9%。平衡に近い評価集合の結果を低故障率の警報品質に直接移せない。</w:t>
      </w:r>
    </w:p>
    <w:bookmarkEnd w:id="41"/>
    <w:bookmarkStart w:id="42" w:name="正解ラベルがない場合"/>
    <w:p>
      <w:pPr>
        <w:pStyle w:val="Heading3"/>
        <w:widowControl/>
      </w:pPr>
      <w:r>
        <w:rPr>
          <w:color w:val="000000"/>
        </w:rPr>
        <w:t xml:space="preserve">4.4 正解ラベルがない場合</w:t>
      </w:r>
    </w:p>
    <w:p>
      <w:pPr>
        <w:pStyle w:val="FirstParagraph"/>
        <w:widowControl/>
      </w:pPr>
      <w:r>
        <w:t xml:space="preserve">【論文】WECCはスコア傾向と従来の生存解析との整合性を調べる探索的評価である。</w:t>
      </w:r>
    </w:p>
    <w:p>
      <w:pPr>
        <w:pStyle w:val="BodyText"/>
        <w:widowControl/>
      </w:pPr>
      <w:r>
        <w:t xml:space="preserve">【提案】信頼できる正常区間で誤報を測り、専門家が警報を確認し、物理的に妥当な異常を注入し、出力取得後にスコア別の予測誤差を調べる。正例真値がなければ真のRecall、F1、AUC-PRは計算できない。注入実験の性能はその生成条件に限られる。</w:t>
      </w:r>
    </w:p>
    <w:bookmarkEnd w:id="42"/>
    <w:bookmarkEnd w:id="43"/>
    <w:bookmarkStart w:id="44" w:name="比較手法別の内容と情報条件"/>
    <w:p>
      <w:pPr>
        <w:pStyle w:val="Heading2"/>
        <w:widowControl/>
      </w:pPr>
      <w:r>
        <w:rPr>
          <w:color w:val="000000"/>
        </w:rPr>
        <w:t xml:space="preserve">5. 比較手法別の内容と情報条件</w:t>
      </w:r>
    </w:p>
    <w:p>
      <w:pPr>
        <w:pStyle w:val="FirstParagraph"/>
        <w:widowControl/>
      </w:pPr>
      <w:r>
        <w:t xml:space="preserve">以下は表2の実装に対応する。各手法一般の全変種を説明する表ではない。共通の評価プロトコルは§6。本文には全手法の固定FPRにおけるTPR一覧はない。</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手法・分類</w:t>
            </w:r>
          </w:p>
        </w:tc>
        <w:tc>
          <w:tcPr>
            <w:tcW w:type="dxa" w:w="2762"/>
            <w:vAlign w:val="center"/>
            <w:shd w:fill="E7EDF3"/>
          </w:tcPr>
          <w:p>
            <w:pPr>
              <w:pStyle w:val="Compact"/>
              <w:keepNext w:val="0"/>
              <w:spacing w:after="40" w:before="40" w:line="264" w:lineRule="auto"/>
              <w:jc w:val="left"/>
            </w:pPr>
            <w:r>
              <w:rPr>
                <w:b/>
                <w:color w:val="000000"/>
                <w:sz w:val="19"/>
              </w:rPr>
              <w:t xml:space="preserve">本文のスコア・設定</w:t>
            </w:r>
          </w:p>
        </w:tc>
        <w:tc>
          <w:tcPr>
            <w:tcW w:type="dxa" w:w="2466"/>
            <w:vAlign w:val="center"/>
            <w:shd w:fill="E7EDF3"/>
          </w:tcPr>
          <w:p>
            <w:pPr>
              <w:pStyle w:val="Compact"/>
              <w:keepNext w:val="0"/>
              <w:spacing w:after="40" w:before="40" w:line="264" w:lineRule="auto"/>
              <w:jc w:val="left"/>
            </w:pPr>
            <w:r>
              <w:rPr>
                <w:b/>
                <w:color w:val="000000"/>
                <w:sz w:val="19"/>
              </w:rPr>
              <w:t xml:space="preserve">学習／運用情報</w:t>
            </w:r>
          </w:p>
        </w:tc>
        <w:tc>
          <w:tcPr>
            <w:tcW w:type="dxa" w:w="2762"/>
            <w:vAlign w:val="center"/>
            <w:shd w:fill="E7EDF3"/>
          </w:tcPr>
          <w:p>
            <w:pPr>
              <w:pStyle w:val="Compact"/>
              <w:keepNext w:val="0"/>
              <w:spacing w:after="40" w:before="40" w:line="264" w:lineRule="auto"/>
              <w:jc w:val="left"/>
            </w:pPr>
            <w:r>
              <w:rPr>
                <w:b/>
                <w:color w:val="000000"/>
                <w:sz w:val="19"/>
              </w:rPr>
              <w:t xml:space="preserve">利点と制約</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MSP回帰適応、予測位置</w:t>
            </w:r>
          </w:p>
        </w:tc>
        <w:tc>
          <w:tcPr>
            <w:tcW w:type="dxa" w:w="2762"/>
            <w:vAlign w:val="center"/>
            <w:shd w:fill="FFFFFF"/>
          </w:tcPr>
          <w:p>
            <w:pPr>
              <w:pStyle w:val="Compact"/>
              <w:keepNext w:val="0"/>
              <w:spacing w:after="40" w:before="40" w:line="264" w:lineRule="auto"/>
              <w:jc w:val="left"/>
            </w:pPr>
            <w:r>
              <w:rPr>
                <w:color w:val="000000"/>
                <w:sz w:val="19"/>
              </w:rPr>
              <w:t xml:space="preserve">$</w:t>
            </w:r>
            <w:r>
              <w:rPr>
                <w:color w:val="000000"/>
                <w:sz w:val="19"/>
              </w:rPr>
              <w:t xml:space="preserve">f(x)-</w:t>
            </w:r>
            <w:r>
              <w:rPr>
                <w:color w:val="000000"/>
                <w:sz w:val="19"/>
              </w:rPr>
              <w:t xml:space="preserve">y_{train}</w:t>
            </w:r>
            <w:r>
              <w:rPr>
                <w:color w:val="000000"/>
                <w:sz w:val="19"/>
              </w:rPr>
              <w:t xml:space="preserve">$</w:t>
            </w:r>
          </w:p>
        </w:tc>
        <w:tc>
          <w:tcPr>
            <w:tcW w:type="dxa" w:w="2466"/>
            <w:vAlign w:val="center"/>
            <w:shd w:fill="FFFFFF"/>
          </w:tcPr>
          <w:p>
            <w:pPr>
              <w:pStyle w:val="Compact"/>
              <w:keepNext w:val="0"/>
              <w:spacing w:after="40" w:before="40" w:line="264" w:lineRule="auto"/>
              <w:jc w:val="left"/>
            </w:pPr>
            <w:r>
              <w:rPr>
                <w:color w:val="000000"/>
                <w:sz w:val="19"/>
              </w:rPr>
              <w:t xml:space="preserve">X,Y、NN／f(x)、学習平均</w:t>
            </w:r>
          </w:p>
        </w:tc>
        <w:tc>
          <w:tcPr>
            <w:tcW w:type="dxa" w:w="2762"/>
            <w:vAlign w:val="center"/>
            <w:shd w:fill="FFFFFF"/>
          </w:tcPr>
          <w:p>
            <w:pPr>
              <w:pStyle w:val="Compact"/>
              <w:keepNext w:val="0"/>
              <w:spacing w:after="40" w:before="40" w:line="264" w:lineRule="auto"/>
              <w:jc w:val="left"/>
            </w:pPr>
            <w:r>
              <w:rPr>
                <w:color w:val="000000"/>
                <w:sz w:val="19"/>
              </w:rPr>
              <w:t xml:space="preserve">簡単だが合法な極端予測も高い。softmax原法ではない</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ODIN回帰適応、摂動出力</w:t>
            </w:r>
          </w:p>
        </w:tc>
        <w:tc>
          <w:tcPr>
            <w:tcW w:type="dxa" w:w="2762"/>
            <w:vAlign w:val="center"/>
            <w:shd w:fill="F7F8FA"/>
          </w:tcPr>
          <w:p>
            <w:pPr>
              <w:pStyle w:val="Compact"/>
              <w:keepNext w:val="0"/>
              <w:spacing w:after="40" w:before="40" w:line="264" w:lineRule="auto"/>
              <w:jc w:val="left"/>
            </w:pPr>
            <m:oMath>
              <m:acc>
                <m:accPr>
                  <m:chr m:val="̃"/>
                </m:accPr>
                <m:e>
                  <m:r>
                    <m:t>x</m:t>
                    <w:rPr>
                      <w:rFonts w:ascii="Cambria Math" w:hAnsi="Cambria Math"/>
                    </w:rPr>
                  </m:r>
                </m:e>
              </m:acc>
              <m:r>
                <m:rPr>
                  <m:sty m:val="p"/>
                </m:rPr>
                <m:t>=</m:t>
                <w:rPr>
                  <w:rFonts w:ascii="Cambria Math" w:hAnsi="Cambria Math"/>
                </w:rPr>
              </m:r>
              <m:r>
                <m:t>x</m:t>
                <w:rPr>
                  <w:rFonts w:ascii="Cambria Math" w:hAnsi="Cambria Math"/>
                </w:rPr>
              </m:r>
              <m:r>
                <m:rPr>
                  <m:sty m:val="p"/>
                </m:rPr>
                <m:t>+</m:t>
                <w:rPr>
                  <w:rFonts w:ascii="Cambria Math" w:hAnsi="Cambria Math"/>
                </w:rPr>
              </m:r>
              <m:r>
                <m:t>0.01</m:t>
                <w:rPr>
                  <w:rFonts w:ascii="Cambria Math" w:hAnsi="Cambria Math"/>
                </w:rPr>
              </m:r>
              <m:r>
                <m:t>s</m:t>
                <w:rPr>
                  <w:rFonts w:ascii="Cambria Math" w:hAnsi="Cambria Math"/>
                </w:rPr>
              </m:r>
              <m:r>
                <m:t>i</m:t>
                <w:rPr>
                  <w:rFonts w:ascii="Cambria Math" w:hAnsi="Cambria Math"/>
                </w:rPr>
              </m:r>
              <m:r>
                <m:t>g</m:t>
                <w:rPr>
                  <w:rFonts w:ascii="Cambria Math" w:hAnsi="Cambria Math"/>
                </w:rPr>
              </m:r>
              <m:r>
                <m:t>n</m:t>
                <w:rPr>
                  <w:rFonts w:ascii="Cambria Math" w:hAnsi="Cambria Math"/>
                </w:rPr>
              </m:r>
              <m:r>
                <m:rPr>
                  <m:sty m:val="p"/>
                </m:rPr>
                <m:t>(</m:t>
                <w:rPr>
                  <w:rFonts w:ascii="Cambria Math" w:hAnsi="Cambria Math"/>
                </w:rPr>
              </m:r>
              <m:r>
                <m:t>x</m:t>
                <w:rPr>
                  <w:rFonts w:ascii="Cambria Math" w:hAnsi="Cambria Math"/>
                </w:rPr>
              </m:r>
              <m:r>
                <m:rPr>
                  <m:sty m:val="p"/>
                </m:rPr>
                <m:t>)</m:t>
                <w:rPr>
                  <w:rFonts w:ascii="Cambria Math" w:hAnsi="Cambria Math"/>
                </w:rPr>
              </m:r>
            </m:oMath>
            <w:r>
              <w:rPr>
                <w:color w:val="000000"/>
                <w:sz w:val="19"/>
              </w:rPr>
              <w:t xml:space="preserve">、$</w:t>
            </w:r>
            <w:r>
              <w:rPr>
                <w:color w:val="000000"/>
                <w:sz w:val="19"/>
              </w:rPr>
              <w:t xml:space="preserve">f(</w:t>
            </w:r>
            <w:r>
              <w:rPr>
                <w:color w:val="000000"/>
                <w:sz w:val="19"/>
              </w:rPr>
              <w:t xml:space="preserve">x)-</w:t>
            </w:r>
            <w:r>
              <w:rPr>
                <w:color w:val="000000"/>
                <w:sz w:val="19"/>
              </w:rPr>
              <w:t xml:space="preserve">y</w:t>
            </w:r>
            <w:r>
              <w:rPr>
                <w:color w:val="000000"/>
                <w:sz w:val="19"/>
              </w:rPr>
              <w:t xml:space="preserve">$</w:t>
            </w:r>
          </w:p>
        </w:tc>
        <w:tc>
          <w:tcPr>
            <w:tcW w:type="dxa" w:w="2466"/>
            <w:vAlign w:val="center"/>
            <w:shd w:fill="F7F8FA"/>
          </w:tcPr>
          <w:p>
            <w:pPr>
              <w:pStyle w:val="Compact"/>
              <w:keepNext w:val="0"/>
              <w:spacing w:after="40" w:before="40" w:line="264" w:lineRule="auto"/>
              <w:jc w:val="left"/>
            </w:pPr>
            <w:r>
              <w:rPr>
                <w:color w:val="000000"/>
                <w:sz w:val="19"/>
              </w:rPr>
              <w:t xml:space="preserve">X,Y、NN／摂動予測</w:t>
            </w:r>
          </w:p>
        </w:tc>
        <w:tc>
          <w:tcPr>
            <w:tcW w:type="dxa" w:w="2762"/>
            <w:vAlign w:val="center"/>
            <w:shd w:fill="F7F8FA"/>
          </w:tcPr>
          <w:p>
            <w:pPr>
              <w:pStyle w:val="Compact"/>
              <w:keepNext w:val="0"/>
              <w:spacing w:after="40" w:before="40" w:line="264" w:lineRule="auto"/>
              <w:jc w:val="left"/>
            </w:pPr>
            <w:r>
              <w:rPr>
                <w:color w:val="000000"/>
                <w:sz w:val="19"/>
              </w:rPr>
              <w:t xml:space="preserve">容易だが分類版の全設定ではない</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Energy適応、潜在表現</w:t>
            </w:r>
          </w:p>
        </w:tc>
        <w:tc>
          <w:tcPr>
            <w:tcW w:type="dxa" w:w="2762"/>
            <w:vAlign w:val="center"/>
            <w:shd w:fill="FFFFFF"/>
          </w:tcPr>
          <w:p>
            <w:pPr>
              <w:pStyle w:val="Compact"/>
              <w:keepNext w:val="0"/>
              <w:spacing w:after="40" w:before="40" w:line="264" w:lineRule="auto"/>
              <w:jc w:val="left"/>
            </w:pPr>
            <m:oMath>
              <m:r>
                <m:rPr>
                  <m:sty m:val="p"/>
                </m:rPr>
                <m:t>‖</m:t>
                <w:rPr>
                  <w:rFonts w:ascii="Cambria Math" w:hAnsi="Cambria Math"/>
                </w:rPr>
              </m:r>
              <m:r>
                <m:t>h</m:t>
                <w:rPr>
                  <w:rFonts w:ascii="Cambria Math" w:hAnsi="Cambria Math"/>
                </w:rPr>
              </m:r>
              <m:r>
                <m:rPr>
                  <m:sty m:val="p"/>
                </m:rPr>
                <m:t>(</m:t>
                <w:rPr>
                  <w:rFonts w:ascii="Cambria Math" w:hAnsi="Cambria Math"/>
                </w:rPr>
              </m:r>
              <m:acc>
                <m:accPr>
                  <m:chr m:val="̃"/>
                </m:accPr>
                <m:e>
                  <m:r>
                    <m:t>x</m:t>
                    <w:rPr>
                      <w:rFonts w:ascii="Cambria Math" w:hAnsi="Cambria Math"/>
                    </w:rPr>
                  </m:r>
                </m:e>
              </m:acc>
              <m:r>
                <m:rPr>
                  <m:sty m:val="p"/>
                </m:rPr>
                <m:t>)</m:t>
                <w:rPr>
                  <w:rFonts w:ascii="Cambria Math" w:hAnsi="Cambria Math"/>
                </w:rPr>
              </m:r>
              <m:sSubSup>
                <m:e>
                  <m:r>
                    <m:rPr>
                      <m:sty m:val="p"/>
                    </m:rPr>
                    <m:t>‖</m:t>
                    <w:rPr>
                      <w:rFonts w:ascii="Cambria Math" w:hAnsi="Cambria Math"/>
                    </w:rPr>
                  </m:r>
                </m:e>
                <m:sub>
                  <m:r>
                    <m:t>2</m:t>
                    <w:rPr>
                      <w:rFonts w:ascii="Cambria Math" w:hAnsi="Cambria Math"/>
                    </w:rPr>
                  </m:r>
                </m:sub>
                <m:sup>
                  <m:r>
                    <m:t>2</m:t>
                    <w:rPr>
                      <w:rFonts w:ascii="Cambria Math" w:hAnsi="Cambria Math"/>
                    </w:rPr>
                  </m:r>
                </m:sup>
              </m:sSubSup>
            </m:oMath>
          </w:p>
        </w:tc>
        <w:tc>
          <w:tcPr>
            <w:tcW w:type="dxa" w:w="2466"/>
            <w:vAlign w:val="center"/>
            <w:shd w:fill="FFFFFF"/>
          </w:tcPr>
          <w:p>
            <w:pPr>
              <w:pStyle w:val="Compact"/>
              <w:keepNext w:val="0"/>
              <w:spacing w:after="40" w:before="40" w:line="264" w:lineRule="auto"/>
              <w:jc w:val="left"/>
            </w:pPr>
            <w:r>
              <w:rPr>
                <w:color w:val="000000"/>
                <w:sz w:val="19"/>
              </w:rPr>
              <w:t xml:space="preserve">X,Y、NN／隠れ表現</w:t>
            </w:r>
          </w:p>
        </w:tc>
        <w:tc>
          <w:tcPr>
            <w:tcW w:type="dxa" w:w="2762"/>
            <w:vAlign w:val="center"/>
            <w:shd w:fill="FFFFFF"/>
          </w:tcPr>
          <w:p>
            <w:pPr>
              <w:pStyle w:val="Compact"/>
              <w:keepNext w:val="0"/>
              <w:spacing w:after="40" w:before="40" w:line="264" w:lineRule="auto"/>
              <w:jc w:val="left"/>
            </w:pPr>
            <w:r>
              <w:rPr>
                <w:color w:val="000000"/>
                <w:sz w:val="19"/>
              </w:rPr>
              <w:t xml:space="preserve">学習表現を使うが分類log-sum-expとは異なる</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全空間Mahalanobis、距離</w:t>
            </w:r>
          </w:p>
        </w:tc>
        <w:tc>
          <w:tcPr>
            <w:tcW w:type="dxa" w:w="2762"/>
            <w:vAlign w:val="center"/>
            <w:shd w:fill="F7F8FA"/>
          </w:tcPr>
          <w:p>
            <w:pPr>
              <w:pStyle w:val="Compact"/>
              <w:keepNext w:val="0"/>
              <w:spacing w:after="40" w:before="40" w:line="264" w:lineRule="auto"/>
              <w:jc w:val="left"/>
            </w:pPr>
            <m:oMath>
              <m:rad>
                <m:radPr>
                  <m:degHide m:val="1"/>
                </m:radPr>
                <m:deg/>
                <m:e>
                  <m:r>
                    <m:rPr>
                      <m:sty m:val="p"/>
                    </m:rPr>
                    <m:t>(</m:t>
                    <w:rPr>
                      <w:rFonts w:ascii="Cambria Math" w:hAnsi="Cambria Math"/>
                    </w:rPr>
                  </m:r>
                  <m:r>
                    <m:t>x</m:t>
                    <w:rPr>
                      <w:rFonts w:ascii="Cambria Math" w:hAnsi="Cambria Math"/>
                    </w:rPr>
                  </m:r>
                  <m:r>
                    <m:rPr>
                      <m:sty m:val="p"/>
                    </m:rPr>
                    <m:t>−</m:t>
                    <w:rPr>
                      <w:rFonts w:ascii="Cambria Math" w:hAnsi="Cambria Math"/>
                    </w:rPr>
                  </m:r>
                  <m:r>
                    <m:t>μ</m:t>
                    <w:rPr>
                      <w:rFonts w:ascii="Cambria Math" w:hAnsi="Cambria Math"/>
                    </w:rPr>
                  </m:r>
                  <m:sSup>
                    <m:e>
                      <m:r>
                        <m:rPr>
                          <m:sty m:val="p"/>
                        </m:rPr>
                        <m:t>)</m:t>
                        <w:rPr>
                          <w:rFonts w:ascii="Cambria Math" w:hAnsi="Cambria Math"/>
                        </w:rPr>
                      </m:r>
                    </m:e>
                    <m:sup>
                      <m:r>
                        <m:t>T</m:t>
                        <w:rPr>
                          <w:rFonts w:ascii="Cambria Math" w:hAnsi="Cambria Math"/>
                        </w:rPr>
                      </m:r>
                    </m:sup>
                  </m:sSup>
                  <m:sSup>
                    <m:e>
                      <m:r>
                        <m:t>Σ</m:t>
                        <w:rPr>
                          <w:rFonts w:ascii="Cambria Math" w:hAnsi="Cambria Math"/>
                        </w:rPr>
                      </m:r>
                    </m:e>
                    <m:sup>
                      <m:r>
                        <m:rPr>
                          <m:sty m:val="p"/>
                        </m:rPr>
                        <m:t>−</m:t>
                        <w:rPr>
                          <w:rFonts w:ascii="Cambria Math" w:hAnsi="Cambria Math"/>
                        </w:rPr>
                      </m:r>
                      <m:r>
                        <m:t>1</m:t>
                        <w:rPr>
                          <w:rFonts w:ascii="Cambria Math" w:hAnsi="Cambria Math"/>
                        </w:rPr>
                      </m:r>
                    </m:sup>
                  </m:sSup>
                  <m:r>
                    <m:rPr>
                      <m:sty m:val="p"/>
                    </m:rPr>
                    <m:t>(</m:t>
                    <w:rPr>
                      <w:rFonts w:ascii="Cambria Math" w:hAnsi="Cambria Math"/>
                    </w:rPr>
                  </m:r>
                  <m:r>
                    <m:t>x</m:t>
                    <w:rPr>
                      <w:rFonts w:ascii="Cambria Math" w:hAnsi="Cambria Math"/>
                    </w:rPr>
                  </m:r>
                  <m:r>
                    <m:rPr>
                      <m:sty m:val="p"/>
                    </m:rPr>
                    <m:t>−</m:t>
                    <w:rPr>
                      <w:rFonts w:ascii="Cambria Math" w:hAnsi="Cambria Math"/>
                    </w:rPr>
                  </m:r>
                  <m:r>
                    <m:t>μ</m:t>
                    <w:rPr>
                      <w:rFonts w:ascii="Cambria Math" w:hAnsi="Cambria Math"/>
                    </w:rPr>
                  </m:r>
                  <m:r>
                    <m:rPr>
                      <m:sty m:val="p"/>
                    </m:rPr>
                    <m:t>)</m:t>
                    <w:rPr>
                      <w:rFonts w:ascii="Cambria Math" w:hAnsi="Cambria Math"/>
                    </w:rPr>
                  </m:r>
                </m:e>
              </m:rad>
            </m:oMath>
          </w:p>
        </w:tc>
        <w:tc>
          <w:tcPr>
            <w:tcW w:type="dxa" w:w="2466"/>
            <w:vAlign w:val="center"/>
            <w:shd w:fill="F7F8FA"/>
          </w:tcPr>
          <w:p>
            <w:pPr>
              <w:pStyle w:val="Compact"/>
              <w:keepNext w:val="0"/>
              <w:spacing w:after="40" w:before="40" w:line="264" w:lineRule="auto"/>
              <w:jc w:val="left"/>
            </w:pPr>
            <w:r>
              <w:rPr>
                <w:color w:val="000000"/>
                <w:sz w:val="19"/>
              </w:rPr>
              <w:t xml:space="preserve">Xの平均・共分散／x</w:t>
            </w:r>
          </w:p>
        </w:tc>
        <w:tc>
          <w:tcPr>
            <w:tcW w:type="dxa" w:w="2762"/>
            <w:vAlign w:val="center"/>
            <w:shd w:fill="F7F8FA"/>
          </w:tcPr>
          <w:p>
            <w:pPr>
              <w:pStyle w:val="Compact"/>
              <w:keepNext w:val="0"/>
              <w:spacing w:after="40" w:before="40" w:line="264" w:lineRule="auto"/>
              <w:jc w:val="left"/>
            </w:pPr>
            <w:r>
              <w:rPr>
                <w:color w:val="000000"/>
                <w:sz w:val="19"/>
              </w:rPr>
              <w:t xml:space="preserve">相関考慮、ただし全体の楕円形状、高次元で特異</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LOF、局所密度</w:t>
            </w:r>
          </w:p>
        </w:tc>
        <w:tc>
          <w:tcPr>
            <w:tcW w:type="dxa" w:w="2762"/>
            <w:vAlign w:val="center"/>
            <w:shd w:fill="FFFFFF"/>
          </w:tcPr>
          <w:p>
            <w:pPr>
              <w:pStyle w:val="Compact"/>
              <w:keepNext w:val="0"/>
              <w:spacing w:after="40" w:before="40" w:line="264" w:lineRule="auto"/>
              <w:jc w:val="left"/>
            </w:pPr>
            <w:r>
              <w:rPr>
                <w:color w:val="000000"/>
                <w:sz w:val="19"/>
              </w:rPr>
              <w:t xml:space="preserve">標準化、k=min(20,n−1)</w:t>
            </w:r>
          </w:p>
        </w:tc>
        <w:tc>
          <w:tcPr>
            <w:tcW w:type="dxa" w:w="2466"/>
            <w:vAlign w:val="center"/>
            <w:shd w:fill="FFFFFF"/>
          </w:tcPr>
          <w:p>
            <w:pPr>
              <w:pStyle w:val="Compact"/>
              <w:keepNext w:val="0"/>
              <w:spacing w:after="40" w:before="40" w:line="264" w:lineRule="auto"/>
              <w:jc w:val="left"/>
            </w:pPr>
            <w:r>
              <w:rPr>
                <w:color w:val="000000"/>
                <w:sz w:val="19"/>
              </w:rPr>
              <w:t xml:space="preserve">Xと近傍／x</w:t>
            </w:r>
          </w:p>
        </w:tc>
        <w:tc>
          <w:tcPr>
            <w:tcW w:type="dxa" w:w="2762"/>
            <w:vAlign w:val="center"/>
            <w:shd w:fill="FFFFFF"/>
          </w:tcPr>
          <w:p>
            <w:pPr>
              <w:pStyle w:val="Compact"/>
              <w:keepNext w:val="0"/>
              <w:spacing w:after="40" w:before="40" w:line="264" w:lineRule="auto"/>
              <w:jc w:val="left"/>
            </w:pPr>
            <w:r>
              <w:rPr>
                <w:color w:val="000000"/>
                <w:sz w:val="19"/>
              </w:rPr>
              <w:t xml:space="preserve">局所疎密を扱うが次元とkに依存、課題非依存</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Isolation Forest、孤立</w:t>
            </w:r>
          </w:p>
        </w:tc>
        <w:tc>
          <w:tcPr>
            <w:tcW w:type="dxa" w:w="2762"/>
            <w:vAlign w:val="center"/>
            <w:shd w:fill="F7F8FA"/>
          </w:tcPr>
          <w:p>
            <w:pPr>
              <w:pStyle w:val="Compact"/>
              <w:keepNext w:val="0"/>
              <w:spacing w:after="40" w:before="40" w:line="264" w:lineRule="auto"/>
              <w:jc w:val="left"/>
            </w:pPr>
            <w:r>
              <w:rPr>
                <w:color w:val="000000"/>
                <w:sz w:val="19"/>
              </w:rPr>
              <w:t xml:space="preserve">200木、標本min(256,n)</w:t>
            </w:r>
          </w:p>
        </w:tc>
        <w:tc>
          <w:tcPr>
            <w:tcW w:type="dxa" w:w="2466"/>
            <w:vAlign w:val="center"/>
            <w:shd w:fill="F7F8FA"/>
          </w:tcPr>
          <w:p>
            <w:pPr>
              <w:pStyle w:val="Compact"/>
              <w:keepNext w:val="0"/>
              <w:spacing w:after="40" w:before="40" w:line="264" w:lineRule="auto"/>
              <w:jc w:val="left"/>
            </w:pPr>
            <w:r>
              <w:rPr>
                <w:color w:val="000000"/>
                <w:sz w:val="19"/>
              </w:rPr>
              <w:t xml:space="preserve">X／木の経路</w:t>
            </w:r>
          </w:p>
        </w:tc>
        <w:tc>
          <w:tcPr>
            <w:tcW w:type="dxa" w:w="2762"/>
            <w:vAlign w:val="center"/>
            <w:shd w:fill="F7F8FA"/>
          </w:tcPr>
          <w:p>
            <w:pPr>
              <w:pStyle w:val="Compact"/>
              <w:keepNext w:val="0"/>
              <w:spacing w:after="40" w:before="40" w:line="264" w:lineRule="auto"/>
              <w:jc w:val="left"/>
            </w:pPr>
            <w:r>
              <w:rPr>
                <w:color w:val="000000"/>
                <w:sz w:val="19"/>
              </w:rPr>
              <w:t xml:space="preserve">Y不要、無関係な変化も拾う</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OCSVM、一クラス境界</w:t>
            </w:r>
          </w:p>
        </w:tc>
        <w:tc>
          <w:tcPr>
            <w:tcW w:type="dxa" w:w="2762"/>
            <w:vAlign w:val="center"/>
            <w:shd w:fill="FFFFFF"/>
          </w:tcPr>
          <w:p>
            <w:pPr>
              <w:pStyle w:val="Compact"/>
              <w:keepNext w:val="0"/>
              <w:spacing w:after="40" w:before="40" w:line="264" w:lineRule="auto"/>
              <w:jc w:val="left"/>
            </w:pPr>
            <w:r>
              <w:rPr>
                <w:color w:val="000000"/>
                <w:sz w:val="19"/>
              </w:rPr>
              <w:t xml:space="preserve">RBF γ=1/d、負の決定関数。νはbenchmark cutoffから制限</w:t>
            </w:r>
          </w:p>
        </w:tc>
        <w:tc>
          <w:tcPr>
            <w:tcW w:type="dxa" w:w="2466"/>
            <w:vAlign w:val="center"/>
            <w:shd w:fill="FFFFFF"/>
          </w:tcPr>
          <w:p>
            <w:pPr>
              <w:pStyle w:val="Compact"/>
              <w:keepNext w:val="0"/>
              <w:spacing w:after="40" w:before="40" w:line="264" w:lineRule="auto"/>
              <w:jc w:val="left"/>
            </w:pPr>
            <w:r>
              <w:rPr>
                <w:color w:val="000000"/>
                <w:sz w:val="19"/>
              </w:rPr>
              <w:t xml:space="preserve">X、支持ベクトルモデル／x</w:t>
            </w:r>
          </w:p>
        </w:tc>
        <w:tc>
          <w:tcPr>
            <w:tcW w:type="dxa" w:w="2762"/>
            <w:vAlign w:val="center"/>
            <w:shd w:fill="FFFFFF"/>
          </w:tcPr>
          <w:p>
            <w:pPr>
              <w:pStyle w:val="Compact"/>
              <w:keepNext w:val="0"/>
              <w:spacing w:after="40" w:before="40" w:line="264" w:lineRule="auto"/>
              <w:jc w:val="left"/>
            </w:pPr>
            <w:r>
              <w:rPr>
                <w:color w:val="000000"/>
                <w:sz w:val="19"/>
              </w:rPr>
              <w:t xml:space="preserve">非線形境界、核とνに敏感、大標本で負担</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robust kNN density、局所疎密</w:t>
            </w:r>
          </w:p>
        </w:tc>
        <w:tc>
          <w:tcPr>
            <w:tcW w:type="dxa" w:w="2762"/>
            <w:vAlign w:val="center"/>
            <w:shd w:fill="F7F8FA"/>
          </w:tcPr>
          <w:p>
            <w:pPr>
              <w:pStyle w:val="Compact"/>
              <w:keepNext w:val="0"/>
              <w:spacing w:after="40" w:before="40" w:line="264" w:lineRule="auto"/>
              <w:jc w:val="left"/>
            </w:pPr>
            <w:r>
              <w:rPr>
                <w:color w:val="000000"/>
                <w:sz w:val="19"/>
              </w:rPr>
              <w:t xml:space="preserve">median/MAD、k=min(20,n−1)、近傍半径中央値のlog</w:t>
            </w:r>
          </w:p>
        </w:tc>
        <w:tc>
          <w:tcPr>
            <w:tcW w:type="dxa" w:w="2466"/>
            <w:vAlign w:val="center"/>
            <w:shd w:fill="F7F8FA"/>
          </w:tcPr>
          <w:p>
            <w:pPr>
              <w:pStyle w:val="Compact"/>
              <w:keepNext w:val="0"/>
              <w:spacing w:after="40" w:before="40" w:line="264" w:lineRule="auto"/>
              <w:jc w:val="left"/>
            </w:pPr>
            <w:r>
              <w:rPr>
                <w:color w:val="000000"/>
                <w:sz w:val="19"/>
              </w:rPr>
              <w:t xml:space="preserve">Xと尺度／近傍探索</w:t>
            </w:r>
          </w:p>
        </w:tc>
        <w:tc>
          <w:tcPr>
            <w:tcW w:type="dxa" w:w="2762"/>
            <w:vAlign w:val="center"/>
            <w:shd w:fill="F7F8FA"/>
          </w:tcPr>
          <w:p>
            <w:pPr>
              <w:pStyle w:val="Compact"/>
              <w:keepNext w:val="0"/>
              <w:spacing w:after="40" w:before="40" w:line="264" w:lineRule="auto"/>
              <w:jc w:val="left"/>
            </w:pPr>
            <w:r>
              <w:rPr>
                <w:color w:val="000000"/>
                <w:sz w:val="19"/>
              </w:rPr>
              <w:t xml:space="preserve">単純・頑健だが課題を考慮せず高次元に弱い</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Conformal基線、予測位置校正</w:t>
            </w:r>
          </w:p>
        </w:tc>
        <w:tc>
          <w:tcPr>
            <w:tcW w:type="dxa" w:w="2762"/>
            <w:vAlign w:val="center"/>
            <w:shd w:fill="FFFFFF"/>
          </w:tcPr>
          <w:p>
            <w:pPr>
              <w:pStyle w:val="Compact"/>
              <w:keepNext w:val="0"/>
              <w:spacing w:after="40" w:before="40" w:line="264" w:lineRule="auto"/>
              <w:jc w:val="left"/>
            </w:pPr>
            <w:r>
              <w:rPr>
                <w:color w:val="000000"/>
                <w:sz w:val="19"/>
              </w:rPr>
              <w:t xml:space="preserve">75%学習・25%校正、$</w:t>
            </w:r>
            <w:r>
              <w:rPr>
                <w:color w:val="000000"/>
                <w:sz w:val="19"/>
              </w:rPr>
              <w:t xml:space="preserve">f(x)-median(f_{cal})</w:t>
            </w:r>
            <w:r>
              <w:rPr>
                <w:color w:val="000000"/>
                <w:sz w:val="19"/>
              </w:rPr>
              <w:t xml:space="preserve">$、校正分位点</w:t>
            </w:r>
          </w:p>
        </w:tc>
        <w:tc>
          <w:tcPr>
            <w:tcW w:type="dxa" w:w="2466"/>
            <w:vAlign w:val="center"/>
            <w:shd w:fill="FFFFFF"/>
          </w:tcPr>
          <w:p>
            <w:pPr>
              <w:pStyle w:val="Compact"/>
              <w:keepNext w:val="0"/>
              <w:spacing w:after="40" w:before="40" w:line="264" w:lineRule="auto"/>
              <w:jc w:val="left"/>
            </w:pPr>
            <w:r>
              <w:rPr>
                <w:color w:val="000000"/>
                <w:sz w:val="19"/>
              </w:rPr>
              <w:t xml:space="preserve">X,Y、校正予測／f(x)</w:t>
            </w:r>
          </w:p>
        </w:tc>
        <w:tc>
          <w:tcPr>
            <w:tcW w:type="dxa" w:w="2762"/>
            <w:vAlign w:val="center"/>
            <w:shd w:fill="FFFFFF"/>
          </w:tcPr>
          <w:p>
            <w:pPr>
              <w:pStyle w:val="Compact"/>
              <w:keepNext w:val="0"/>
              <w:spacing w:after="40" w:before="40" w:line="264" w:lineRule="auto"/>
              <w:jc w:val="left"/>
            </w:pPr>
            <w:r>
              <w:rPr>
                <w:color w:val="000000"/>
                <w:sz w:val="19"/>
              </w:rPr>
              <w:t xml:space="preserve">校正工程あり。ただし標準残差区間や全conformal OODの代表ではない</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GP、不確実性</w:t>
            </w:r>
          </w:p>
        </w:tc>
        <w:tc>
          <w:tcPr>
            <w:tcW w:type="dxa" w:w="2762"/>
            <w:vAlign w:val="center"/>
            <w:shd w:fill="F7F8FA"/>
          </w:tcPr>
          <w:p>
            <w:pPr>
              <w:pStyle w:val="Compact"/>
              <w:keepNext w:val="0"/>
              <w:spacing w:after="40" w:before="40" w:line="264" w:lineRule="auto"/>
              <w:jc w:val="left"/>
            </w:pPr>
            <w:r>
              <w:rPr>
                <w:color w:val="000000"/>
                <w:sz w:val="19"/>
              </w:rPr>
              <w:t xml:space="preserve">laGP局所近似GPの事後予測分散</w:t>
            </w:r>
          </w:p>
        </w:tc>
        <w:tc>
          <w:tcPr>
            <w:tcW w:type="dxa" w:w="2466"/>
            <w:vAlign w:val="center"/>
            <w:shd w:fill="F7F8FA"/>
          </w:tcPr>
          <w:p>
            <w:pPr>
              <w:pStyle w:val="Compact"/>
              <w:keepNext w:val="0"/>
              <w:spacing w:after="40" w:before="40" w:line="264" w:lineRule="auto"/>
              <w:jc w:val="left"/>
            </w:pPr>
            <w:r>
              <w:rPr>
                <w:color w:val="000000"/>
                <w:sz w:val="19"/>
              </w:rPr>
              <w:t xml:space="preserve">X,Y、GP／分散</w:t>
            </w:r>
          </w:p>
        </w:tc>
        <w:tc>
          <w:tcPr>
            <w:tcW w:type="dxa" w:w="2762"/>
            <w:vAlign w:val="center"/>
            <w:shd w:fill="F7F8FA"/>
          </w:tcPr>
          <w:p>
            <w:pPr>
              <w:pStyle w:val="Compact"/>
              <w:keepNext w:val="0"/>
              <w:spacing w:after="40" w:before="40" w:line="264" w:lineRule="auto"/>
              <w:jc w:val="left"/>
            </w:pPr>
            <w:r>
              <w:rPr>
                <w:color w:val="000000"/>
                <w:sz w:val="19"/>
              </w:rPr>
              <w:t xml:space="preserve">確率モデルだが核・超母数の仮定に依存</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Sensitivity、勾配</w:t>
            </w:r>
          </w:p>
        </w:tc>
        <w:tc>
          <w:tcPr>
            <w:tcW w:type="dxa" w:w="2762"/>
            <w:vAlign w:val="center"/>
            <w:shd w:fill="FFFFFF"/>
          </w:tcPr>
          <w:p>
            <w:pPr>
              <w:pStyle w:val="Compact"/>
              <w:keepNext w:val="0"/>
              <w:spacing w:after="40" w:before="40" w:line="264" w:lineRule="auto"/>
              <w:jc w:val="left"/>
            </w:pPr>
            <w:r>
              <w:rPr>
                <w:color w:val="000000"/>
                <w:sz w:val="19"/>
              </w:rPr>
              <w:t xml:space="preserve">$d^{-1}</w:t>
            </w:r>
            <w:r>
              <w:rPr>
                <w:color w:val="000000"/>
                <w:sz w:val="19"/>
              </w:rPr>
              <w:t xml:space="preserve">_j</w:t>
            </w:r>
            <w:r>
              <w:rPr>
                <w:color w:val="000000"/>
                <w:sz w:val="19"/>
              </w:rPr>
              <w:t xml:space="preserve">f/</w:t>
            </w:r>
            <w:r>
              <w:rPr>
                <w:color w:val="000000"/>
                <w:sz w:val="19"/>
              </w:rPr>
              <w:t xml:space="preserve">x_j</w:t>
            </w:r>
            <w:r>
              <w:rPr>
                <w:color w:val="000000"/>
                <w:sz w:val="19"/>
              </w:rPr>
              <w:t xml:space="preserve">$</w:t>
            </w:r>
          </w:p>
        </w:tc>
        <w:tc>
          <w:tcPr>
            <w:tcW w:type="dxa" w:w="2466"/>
            <w:vAlign w:val="center"/>
            <w:shd w:fill="FFFFFF"/>
          </w:tcPr>
          <w:p>
            <w:pPr>
              <w:pStyle w:val="Compact"/>
              <w:keepNext w:val="0"/>
              <w:spacing w:after="40" w:before="40" w:line="264" w:lineRule="auto"/>
              <w:jc w:val="left"/>
            </w:pPr>
            <w:r>
              <w:rPr>
                <w:color w:val="000000"/>
                <w:sz w:val="19"/>
              </w:rPr>
              <w:t xml:space="preserve">X,Y、微分可能NN／勾配</w:t>
            </w:r>
          </w:p>
        </w:tc>
        <w:tc>
          <w:tcPr>
            <w:tcW w:type="dxa" w:w="2762"/>
            <w:vAlign w:val="center"/>
            <w:shd w:fill="FFFFFF"/>
          </w:tcPr>
          <w:p>
            <w:pPr>
              <w:pStyle w:val="Compact"/>
              <w:keepNext w:val="0"/>
              <w:spacing w:after="40" w:before="40" w:line="264" w:lineRule="auto"/>
              <w:jc w:val="left"/>
            </w:pPr>
            <w:r>
              <w:rPr>
                <w:color w:val="000000"/>
                <w:sz w:val="19"/>
              </w:rPr>
              <w:t xml:space="preserve">局所応答を表すが高感度とOODは違い、飽和で見逃し得る</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DKL、表現＋不確実性</w:t>
            </w:r>
          </w:p>
        </w:tc>
        <w:tc>
          <w:tcPr>
            <w:tcW w:type="dxa" w:w="2762"/>
            <w:vAlign w:val="center"/>
            <w:shd w:fill="F7F8FA"/>
          </w:tcPr>
          <w:p>
            <w:pPr>
              <w:pStyle w:val="Compact"/>
              <w:keepNext w:val="0"/>
              <w:spacing w:after="40" w:before="40" w:line="264" w:lineRule="auto"/>
              <w:jc w:val="left"/>
            </w:pPr>
            <w:r>
              <w:rPr>
                <w:color w:val="000000"/>
                <w:sz w:val="19"/>
              </w:rPr>
              <w:t xml:space="preserve">h上にlaGP、予測分散</w:t>
            </w:r>
          </w:p>
        </w:tc>
        <w:tc>
          <w:tcPr>
            <w:tcW w:type="dxa" w:w="2466"/>
            <w:vAlign w:val="center"/>
            <w:shd w:fill="F7F8FA"/>
          </w:tcPr>
          <w:p>
            <w:pPr>
              <w:pStyle w:val="Compact"/>
              <w:keepNext w:val="0"/>
              <w:spacing w:after="40" w:before="40" w:line="264" w:lineRule="auto"/>
              <w:jc w:val="left"/>
            </w:pPr>
            <w:r>
              <w:rPr>
                <w:color w:val="000000"/>
                <w:sz w:val="19"/>
              </w:rPr>
              <w:t xml:space="preserve">NN、GP、X,Y／表現と分散</w:t>
            </w:r>
          </w:p>
        </w:tc>
        <w:tc>
          <w:tcPr>
            <w:tcW w:type="dxa" w:w="2762"/>
            <w:vAlign w:val="center"/>
            <w:shd w:fill="F7F8FA"/>
          </w:tcPr>
          <w:p>
            <w:pPr>
              <w:pStyle w:val="Compact"/>
              <w:keepNext w:val="0"/>
              <w:spacing w:after="40" w:before="40" w:line="264" w:lineRule="auto"/>
              <w:jc w:val="left"/>
            </w:pPr>
            <w:r>
              <w:rPr>
                <w:color w:val="000000"/>
                <w:sz w:val="19"/>
              </w:rPr>
              <w:t xml:space="preserve">課題表現を使うが表現品質と核に依存</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Deep ensembles、不確実性</w:t>
            </w:r>
          </w:p>
        </w:tc>
        <w:tc>
          <w:tcPr>
            <w:tcW w:type="dxa" w:w="2762"/>
            <w:vAlign w:val="center"/>
            <w:shd w:fill="FFFFFF"/>
          </w:tcPr>
          <w:p>
            <w:pPr>
              <w:pStyle w:val="Compact"/>
              <w:keepNext w:val="0"/>
              <w:spacing w:after="40" w:before="40" w:line="264" w:lineRule="auto"/>
              <w:jc w:val="left"/>
            </w:pPr>
            <w:r>
              <w:rPr>
                <w:color w:val="000000"/>
                <w:sz w:val="19"/>
              </w:rPr>
              <w:t xml:space="preserve">独立初期化したモデル間の予測分散</w:t>
            </w:r>
          </w:p>
        </w:tc>
        <w:tc>
          <w:tcPr>
            <w:tcW w:type="dxa" w:w="2466"/>
            <w:vAlign w:val="center"/>
            <w:shd w:fill="FFFFFF"/>
          </w:tcPr>
          <w:p>
            <w:pPr>
              <w:pStyle w:val="Compact"/>
              <w:keepNext w:val="0"/>
              <w:spacing w:after="40" w:before="40" w:line="264" w:lineRule="auto"/>
              <w:jc w:val="left"/>
            </w:pPr>
            <w:r>
              <w:rPr>
                <w:color w:val="000000"/>
                <w:sz w:val="19"/>
              </w:rPr>
              <w:t xml:space="preserve">X,Y、複数NN／複数予測</w:t>
            </w:r>
          </w:p>
        </w:tc>
        <w:tc>
          <w:tcPr>
            <w:tcW w:type="dxa" w:w="2762"/>
            <w:vAlign w:val="center"/>
            <w:shd w:fill="FFFFFF"/>
          </w:tcPr>
          <w:p>
            <w:pPr>
              <w:pStyle w:val="Compact"/>
              <w:keepNext w:val="0"/>
              <w:spacing w:after="40" w:before="40" w:line="264" w:lineRule="auto"/>
              <w:jc w:val="left"/>
            </w:pPr>
            <w:r>
              <w:rPr>
                <w:color w:val="000000"/>
                <w:sz w:val="19"/>
              </w:rPr>
              <w:t xml:space="preserve">不一致を測るが負担増、全モデルが一致して誤ることもある</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GMM、潜在密度</w:t>
            </w:r>
          </w:p>
        </w:tc>
        <w:tc>
          <w:tcPr>
            <w:tcW w:type="dxa" w:w="2762"/>
            <w:vAlign w:val="center"/>
            <w:shd w:fill="F7F8FA"/>
          </w:tcPr>
          <w:p>
            <w:pPr>
              <w:pStyle w:val="Compact"/>
              <w:keepNext w:val="0"/>
              <w:spacing w:after="40" w:before="40" w:line="264" w:lineRule="auto"/>
              <w:jc w:val="left"/>
            </w:pPr>
            <w:r>
              <w:rPr>
                <w:color w:val="000000"/>
                <w:sz w:val="19"/>
              </w:rPr>
              <w:t xml:space="preserve">hをPCA縮約し</w:t>
            </w:r>
            <m:oMath>
              <m:r>
                <m:rPr>
                  <m:sty m:val="p"/>
                </m:rPr>
                <m:t>−</m:t>
                <w:rPr>
                  <w:rFonts w:ascii="Cambria Math" w:hAnsi="Cambria Math"/>
                </w:rPr>
              </m:r>
              <m:r>
                <m:rPr>
                  <m:nor/>
                  <m:sty m:val="p"/>
                </m:rPr>
                <m:t>log</m:t>
                <w:rPr>
                  <w:rFonts w:ascii="Cambria Math" w:hAnsi="Cambria Math"/>
                </w:rPr>
              </m:r>
              <m:r>
                <m:t>p</m:t>
                <w:rPr>
                  <w:rFonts w:ascii="Cambria Math" w:hAnsi="Cambria Math"/>
                </w:rPr>
              </m:r>
              <m:r>
                <m:rPr>
                  <m:sty m:val="p"/>
                </m:rPr>
                <m:t>(</m:t>
                <w:rPr>
                  <w:rFonts w:ascii="Cambria Math" w:hAnsi="Cambria Math"/>
                </w:rPr>
              </m:r>
              <m:acc>
                <m:accPr>
                  <m:chr m:val="̃"/>
                </m:accPr>
                <m:e>
                  <m:r>
                    <m:t>h</m:t>
                    <w:rPr>
                      <w:rFonts w:ascii="Cambria Math" w:hAnsi="Cambria Math"/>
                    </w:rPr>
                  </m:r>
                </m:e>
              </m:acc>
              <m:r>
                <m:rPr>
                  <m:sty m:val="p"/>
                </m:rPr>
                <m:t>(</m:t>
                <w:rPr>
                  <w:rFonts w:ascii="Cambria Math" w:hAnsi="Cambria Math"/>
                </w:rPr>
              </m:r>
              <m:r>
                <m:t>x</m:t>
                <w:rPr>
                  <w:rFonts w:ascii="Cambria Math" w:hAnsi="Cambria Math"/>
                </w:rPr>
              </m:r>
              <m:r>
                <m:rPr>
                  <m:sty m:val="p"/>
                </m:rPr>
                <m:t>)</m:t>
                <w:rPr>
                  <w:rFonts w:ascii="Cambria Math" w:hAnsi="Cambria Math"/>
                </w:rPr>
              </m:r>
              <m:r>
                <m:rPr>
                  <m:sty m:val="p"/>
                </m:rPr>
                <m:t>)</m:t>
                <w:rPr>
                  <w:rFonts w:ascii="Cambria Math" w:hAnsi="Cambria Math"/>
                </w:rPr>
              </m:r>
            </m:oMath>
          </w:p>
        </w:tc>
        <w:tc>
          <w:tcPr>
            <w:tcW w:type="dxa" w:w="2466"/>
            <w:vAlign w:val="center"/>
            <w:shd w:fill="F7F8FA"/>
          </w:tcPr>
          <w:p>
            <w:pPr>
              <w:pStyle w:val="Compact"/>
              <w:keepNext w:val="0"/>
              <w:spacing w:after="40" w:before="40" w:line="264" w:lineRule="auto"/>
              <w:jc w:val="left"/>
            </w:pPr>
            <w:r>
              <w:rPr>
                <w:color w:val="000000"/>
                <w:sz w:val="19"/>
              </w:rPr>
              <w:t xml:space="preserve">NN、PCA、GMM／表現密度</w:t>
            </w:r>
          </w:p>
        </w:tc>
        <w:tc>
          <w:tcPr>
            <w:tcW w:type="dxa" w:w="2762"/>
            <w:vAlign w:val="center"/>
            <w:shd w:fill="F7F8FA"/>
          </w:tcPr>
          <w:p>
            <w:pPr>
              <w:pStyle w:val="Compact"/>
              <w:keepNext w:val="0"/>
              <w:spacing w:after="40" w:before="40" w:line="264" w:lineRule="auto"/>
              <w:jc w:val="left"/>
            </w:pPr>
            <w:r>
              <w:rPr>
                <w:color w:val="000000"/>
                <w:sz w:val="19"/>
              </w:rPr>
              <w:t xml:space="preserve">多峰性を扱うが次元・成分数に依存</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DkNN、潜在距離</w:t>
            </w:r>
          </w:p>
        </w:tc>
        <w:tc>
          <w:tcPr>
            <w:tcW w:type="dxa" w:w="2762"/>
            <w:vAlign w:val="center"/>
            <w:shd w:fill="FFFFFF"/>
          </w:tcPr>
          <w:p>
            <w:pPr>
              <w:pStyle w:val="Compact"/>
              <w:keepNext w:val="0"/>
              <w:spacing w:after="40" w:before="40" w:line="264" w:lineRule="auto"/>
              <w:jc w:val="left"/>
            </w:pPr>
            <w:r>
              <w:rPr>
                <w:color w:val="000000"/>
                <w:sz w:val="19"/>
              </w:rPr>
              <w:t xml:space="preserve">隠れ表現の近傍欧氏距離平均</w:t>
            </w:r>
          </w:p>
        </w:tc>
        <w:tc>
          <w:tcPr>
            <w:tcW w:type="dxa" w:w="2466"/>
            <w:vAlign w:val="center"/>
            <w:shd w:fill="FFFFFF"/>
          </w:tcPr>
          <w:p>
            <w:pPr>
              <w:pStyle w:val="Compact"/>
              <w:keepNext w:val="0"/>
              <w:spacing w:after="40" w:before="40" w:line="264" w:lineRule="auto"/>
              <w:jc w:val="left"/>
            </w:pPr>
            <w:r>
              <w:rPr>
                <w:color w:val="000000"/>
                <w:sz w:val="19"/>
              </w:rPr>
              <w:t xml:space="preserve">NN、学習表現／表現と近傍</w:t>
            </w:r>
          </w:p>
        </w:tc>
        <w:tc>
          <w:tcPr>
            <w:tcW w:type="dxa" w:w="2762"/>
            <w:vAlign w:val="center"/>
            <w:shd w:fill="FFFFFF"/>
          </w:tcPr>
          <w:p>
            <w:pPr>
              <w:pStyle w:val="Compact"/>
              <w:keepNext w:val="0"/>
              <w:spacing w:after="40" w:before="40" w:line="264" w:lineRule="auto"/>
              <w:jc w:val="left"/>
            </w:pPr>
            <w:r>
              <w:rPr>
                <w:color w:val="000000"/>
                <w:sz w:val="19"/>
              </w:rPr>
              <w:t xml:space="preserve">学習空間を使うが表現・K・参照保存に依存</w:t>
            </w:r>
          </w:p>
        </w:tc>
      </w:tr>
    </w:tbl>
    <w:p>
      <w:pPr>
        <w:pStyle w:val="BodyText"/>
        <w:widowControl/>
      </w:pPr>
      <w:r>
        <w:t xml:space="preserve">ネットワーク幅、学習率、epoch、集成数、GMM成分、手法別調整予算などの全設定は本文で確認できない。上表の一般的な長短のうち実験結果を超えるものは、本報告のアルゴリズム上の考察である。</w:t>
      </w:r>
    </w:p>
    <w:bookmarkEnd w:id="44"/>
    <w:bookmarkStart w:id="58" w:name="評価結果とデータセット台帳"/>
    <w:p>
      <w:pPr>
        <w:pStyle w:val="Heading2"/>
        <w:widowControl/>
      </w:pPr>
      <w:r>
        <w:rPr>
          <w:color w:val="000000"/>
        </w:rPr>
        <w:t xml:space="preserve">6. 評価結果とデータセット台帳</w:t>
      </w:r>
    </w:p>
    <w:bookmarkStart w:id="45" w:name="実験結果一覧"/>
    <w:p>
      <w:pPr>
        <w:pStyle w:val="Heading3"/>
        <w:widowControl/>
      </w:pPr>
      <w:r>
        <w:rPr>
          <w:color w:val="000000"/>
        </w:rPr>
        <w:t xml:space="preserve">6.1 実験結果一覧</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874"/>
        <w:gridCol w:w="2762"/>
        <w:gridCol w:w="2466"/>
        <w:gridCol w:w="2762"/>
      </w:tblGrid>
      <w:tr>
        <w:trPr>
          <w:cantSplit/>
          <w:tblHeader/>
        </w:trPr>
        <w:tc>
          <w:tcPr>
            <w:tcW w:type="dxa" w:w="1874"/>
            <w:vAlign w:val="center"/>
            <w:shd w:fill="E7EDF3"/>
          </w:tcPr>
          <w:p>
            <w:pPr>
              <w:pStyle w:val="Compact"/>
              <w:keepNext w:val="0"/>
              <w:spacing w:after="40" w:before="40" w:line="264" w:lineRule="auto"/>
              <w:jc w:val="left"/>
            </w:pPr>
            <w:r>
              <w:rPr>
                <w:b/>
                <w:color w:val="000000"/>
                <w:sz w:val="19"/>
              </w:rPr>
              <w:t xml:space="preserve">実験</w:t>
            </w:r>
          </w:p>
        </w:tc>
        <w:tc>
          <w:tcPr>
            <w:tcW w:type="dxa" w:w="2762"/>
            <w:vAlign w:val="center"/>
            <w:shd w:fill="E7EDF3"/>
          </w:tcPr>
          <w:p>
            <w:pPr>
              <w:pStyle w:val="Compact"/>
              <w:keepNext w:val="0"/>
              <w:spacing w:after="40" w:before="40" w:line="264" w:lineRule="auto"/>
              <w:jc w:val="left"/>
            </w:pPr>
            <w:r>
              <w:rPr>
                <w:b/>
                <w:color w:val="000000"/>
                <w:sz w:val="19"/>
              </w:rPr>
              <w:t xml:space="preserve">条件</w:t>
            </w:r>
          </w:p>
        </w:tc>
        <w:tc>
          <w:tcPr>
            <w:tcW w:type="dxa" w:w="2466"/>
            <w:vAlign w:val="center"/>
            <w:shd w:fill="E7EDF3"/>
          </w:tcPr>
          <w:p>
            <w:pPr>
              <w:pStyle w:val="Compact"/>
              <w:keepNext w:val="0"/>
              <w:spacing w:after="40" w:before="40" w:line="264" w:lineRule="auto"/>
              <w:jc w:val="left"/>
            </w:pPr>
            <w:r>
              <w:rPr>
                <w:b/>
                <w:color w:val="000000"/>
                <w:sz w:val="19"/>
              </w:rPr>
              <w:t xml:space="preserve">原文が支持する結果</w:t>
            </w:r>
          </w:p>
        </w:tc>
        <w:tc>
          <w:tcPr>
            <w:tcW w:type="dxa" w:w="2762"/>
            <w:vAlign w:val="center"/>
            <w:shd w:fill="E7EDF3"/>
          </w:tcPr>
          <w:p>
            <w:pPr>
              <w:pStyle w:val="Compact"/>
              <w:keepNext w:val="0"/>
              <w:spacing w:after="40" w:before="40" w:line="264" w:lineRule="auto"/>
              <w:jc w:val="left"/>
            </w:pPr>
            <w:r>
              <w:rPr>
                <w:b/>
                <w:color w:val="000000"/>
                <w:sz w:val="19"/>
              </w:rPr>
              <w:t xml:space="preserve">根拠</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Friedman</w:t>
            </w:r>
          </w:p>
        </w:tc>
        <w:tc>
          <w:tcPr>
            <w:tcW w:type="dxa" w:w="2762"/>
            <w:vAlign w:val="center"/>
            <w:shd w:fill="FFFFFF"/>
          </w:tcPr>
          <w:p>
            <w:pPr>
              <w:pStyle w:val="Compact"/>
              <w:keepNext w:val="0"/>
              <w:spacing w:after="40" w:before="40" w:line="264" w:lineRule="auto"/>
              <w:jc w:val="left"/>
            </w:pPr>
            <w:r>
              <w:rPr>
                <w:color w:val="000000"/>
                <w:sz w:val="19"/>
              </w:rPr>
              <w:t xml:space="preserve">shift 0.05、0.25、0.5、1、2、各100回</w:t>
            </w:r>
          </w:p>
        </w:tc>
        <w:tc>
          <w:tcPr>
            <w:tcW w:type="dxa" w:w="2466"/>
            <w:vAlign w:val="center"/>
            <w:shd w:fill="FFFFFF"/>
          </w:tcPr>
          <w:p>
            <w:pPr>
              <w:pStyle w:val="Compact"/>
              <w:keepNext w:val="0"/>
              <w:spacing w:after="40" w:before="40" w:line="264" w:lineRule="auto"/>
              <w:jc w:val="left"/>
            </w:pPr>
            <w:r>
              <w:rPr>
                <w:color w:val="000000"/>
                <w:sz w:val="19"/>
              </w:rPr>
              <w:t xml:space="preserve">Productが全shiftで最良平均順位、Manhattanも上位。小shiftで強み、大shiftではGP/DKL/DkNNが競争的</w:t>
            </w:r>
          </w:p>
        </w:tc>
        <w:tc>
          <w:tcPr>
            <w:tcW w:type="dxa" w:w="2762"/>
            <w:vAlign w:val="center"/>
            <w:shd w:fill="FFFFFF"/>
          </w:tcPr>
          <w:p>
            <w:pPr>
              <w:pStyle w:val="Compact"/>
              <w:keepNext w:val="0"/>
              <w:spacing w:after="40" w:before="40" w:line="264" w:lineRule="auto"/>
              <w:jc w:val="left"/>
            </w:pPr>
            <w:r>
              <w:rPr>
                <w:color w:val="000000"/>
                <w:sz w:val="19"/>
              </w:rPr>
              <w:t xml:space="preserve">pp.13–15図2–3</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PMLB61</w:t>
            </w:r>
          </w:p>
        </w:tc>
        <w:tc>
          <w:tcPr>
            <w:tcW w:type="dxa" w:w="2762"/>
            <w:vAlign w:val="center"/>
            <w:shd w:fill="F7F8FA"/>
          </w:tcPr>
          <w:p>
            <w:pPr>
              <w:pStyle w:val="Compact"/>
              <w:keepNext w:val="0"/>
              <w:spacing w:after="40" w:before="40" w:line="264" w:lineRule="auto"/>
              <w:jc w:val="left"/>
            </w:pPr>
            <w:r>
              <w:rPr>
                <w:color w:val="000000"/>
                <w:sz w:val="19"/>
              </w:rPr>
              <w:t xml:space="preserve">warp</w:t>
            </w:r>
          </w:p>
        </w:tc>
        <w:tc>
          <w:tcPr>
            <w:tcW w:type="dxa" w:w="2466"/>
            <w:vAlign w:val="center"/>
            <w:shd w:fill="F7F8FA"/>
          </w:tcPr>
          <w:p>
            <w:pPr>
              <w:pStyle w:val="Compact"/>
              <w:keepNext w:val="0"/>
              <w:spacing w:after="40" w:before="40" w:line="264" w:lineRule="auto"/>
              <w:jc w:val="left"/>
            </w:pPr>
            <w:r>
              <w:rPr>
                <w:color w:val="000000"/>
                <w:sz w:val="19"/>
              </w:rPr>
              <w:t xml:space="preserve">OCSVM、Isolation Forest、LOF、全体Mahalanobis、robust kNN density、DkNNが先行</w:t>
            </w:r>
          </w:p>
        </w:tc>
        <w:tc>
          <w:tcPr>
            <w:tcW w:type="dxa" w:w="2762"/>
            <w:vAlign w:val="center"/>
            <w:shd w:fill="F7F8FA"/>
          </w:tcPr>
          <w:p>
            <w:pPr>
              <w:pStyle w:val="Compact"/>
              <w:keepNext w:val="0"/>
              <w:spacing w:after="40" w:before="40" w:line="264" w:lineRule="auto"/>
              <w:jc w:val="left"/>
            </w:pPr>
            <w:r>
              <w:rPr>
                <w:color w:val="000000"/>
                <w:sz w:val="19"/>
              </w:rPr>
              <w:t xml:space="preserve">pp.17–18図5</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PMLB61</w:t>
            </w:r>
          </w:p>
        </w:tc>
        <w:tc>
          <w:tcPr>
            <w:tcW w:type="dxa" w:w="2762"/>
            <w:vAlign w:val="center"/>
            <w:shd w:fill="FFFFFF"/>
          </w:tcPr>
          <w:p>
            <w:pPr>
              <w:pStyle w:val="Compact"/>
              <w:keepNext w:val="0"/>
              <w:spacing w:after="40" w:before="40" w:line="264" w:lineRule="auto"/>
              <w:jc w:val="left"/>
            </w:pPr>
            <w:r>
              <w:rPr>
                <w:color w:val="000000"/>
                <w:sz w:val="19"/>
              </w:rPr>
              <w:t xml:space="preserve">joint</w:t>
            </w:r>
          </w:p>
        </w:tc>
        <w:tc>
          <w:tcPr>
            <w:tcW w:type="dxa" w:w="2466"/>
            <w:vAlign w:val="center"/>
            <w:shd w:fill="FFFFFF"/>
          </w:tcPr>
          <w:p>
            <w:pPr>
              <w:pStyle w:val="Compact"/>
              <w:keepNext w:val="0"/>
              <w:spacing w:after="40" w:before="40" w:line="264" w:lineRule="auto"/>
              <w:jc w:val="left"/>
            </w:pPr>
            <w:r>
              <w:rPr>
                <w:color w:val="000000"/>
                <w:sz w:val="19"/>
              </w:rPr>
              <w:t xml:space="preserve">OutPro Manhattan、Euclideanなどが主比較で先行</w:t>
            </w:r>
          </w:p>
        </w:tc>
        <w:tc>
          <w:tcPr>
            <w:tcW w:type="dxa" w:w="2762"/>
            <w:vAlign w:val="center"/>
            <w:shd w:fill="FFFFFF"/>
          </w:tcPr>
          <w:p>
            <w:pPr>
              <w:pStyle w:val="Compact"/>
              <w:keepNext w:val="0"/>
              <w:spacing w:after="40" w:before="40" w:line="264" w:lineRule="auto"/>
              <w:jc w:val="left"/>
            </w:pPr>
            <w:r>
              <w:rPr>
                <w:color w:val="000000"/>
                <w:sz w:val="19"/>
              </w:rPr>
              <w:t xml:space="preserve">同上</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PMLB61</w:t>
            </w:r>
          </w:p>
        </w:tc>
        <w:tc>
          <w:tcPr>
            <w:tcW w:type="dxa" w:w="2762"/>
            <w:vAlign w:val="center"/>
            <w:shd w:fill="F7F8FA"/>
          </w:tcPr>
          <w:p>
            <w:pPr>
              <w:pStyle w:val="Compact"/>
              <w:keepNext w:val="0"/>
              <w:spacing w:after="40" w:before="40" w:line="264" w:lineRule="auto"/>
              <w:jc w:val="left"/>
            </w:pPr>
            <w:r>
              <w:rPr>
                <w:color w:val="000000"/>
                <w:sz w:val="19"/>
              </w:rPr>
              <w:t xml:space="preserve">support</w:t>
            </w:r>
          </w:p>
        </w:tc>
        <w:tc>
          <w:tcPr>
            <w:tcW w:type="dxa" w:w="2466"/>
            <w:vAlign w:val="center"/>
            <w:shd w:fill="F7F8FA"/>
          </w:tcPr>
          <w:p>
            <w:pPr>
              <w:pStyle w:val="Compact"/>
              <w:keepNext w:val="0"/>
              <w:spacing w:after="40" w:before="40" w:line="264" w:lineRule="auto"/>
              <w:jc w:val="left"/>
            </w:pPr>
            <w:r>
              <w:rPr>
                <w:color w:val="000000"/>
                <w:sz w:val="19"/>
              </w:rPr>
              <w:t xml:space="preserve">OutPro群が先行</w:t>
            </w:r>
          </w:p>
        </w:tc>
        <w:tc>
          <w:tcPr>
            <w:tcW w:type="dxa" w:w="2762"/>
            <w:vAlign w:val="center"/>
            <w:shd w:fill="F7F8FA"/>
          </w:tcPr>
          <w:p>
            <w:pPr>
              <w:pStyle w:val="Compact"/>
              <w:keepNext w:val="0"/>
              <w:spacing w:after="40" w:before="40" w:line="264" w:lineRule="auto"/>
              <w:jc w:val="left"/>
            </w:pPr>
            <w:r>
              <w:rPr>
                <w:color w:val="000000"/>
                <w:sz w:val="19"/>
              </w:rPr>
              <w:t xml:space="preserve">同上</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マイクロアレイ5</w:t>
            </w:r>
          </w:p>
        </w:tc>
        <w:tc>
          <w:tcPr>
            <w:tcW w:type="dxa" w:w="2762"/>
            <w:vAlign w:val="center"/>
            <w:shd w:fill="FFFFFF"/>
          </w:tcPr>
          <w:p>
            <w:pPr>
              <w:pStyle w:val="Compact"/>
              <w:keepNext w:val="0"/>
              <w:spacing w:after="40" w:before="40" w:line="264" w:lineRule="auto"/>
              <w:jc w:val="left"/>
            </w:pPr>
            <w:r>
              <w:rPr>
                <w:color w:val="000000"/>
                <w:sz w:val="19"/>
              </w:rPr>
              <w:t xml:space="preserve">warp</w:t>
            </w:r>
          </w:p>
        </w:tc>
        <w:tc>
          <w:tcPr>
            <w:tcW w:type="dxa" w:w="2466"/>
            <w:vAlign w:val="center"/>
            <w:shd w:fill="FFFFFF"/>
          </w:tcPr>
          <w:p>
            <w:pPr>
              <w:pStyle w:val="Compact"/>
              <w:keepNext w:val="0"/>
              <w:spacing w:after="40" w:before="40" w:line="264" w:lineRule="auto"/>
              <w:jc w:val="left"/>
            </w:pPr>
            <w:r>
              <w:rPr>
                <w:color w:val="000000"/>
                <w:sz w:val="19"/>
              </w:rPr>
              <w:t xml:space="preserve">Isolation Forest、robust kNN density、OCSVMが先行</w:t>
            </w:r>
          </w:p>
        </w:tc>
        <w:tc>
          <w:tcPr>
            <w:tcW w:type="dxa" w:w="2762"/>
            <w:vAlign w:val="center"/>
            <w:shd w:fill="FFFFFF"/>
          </w:tcPr>
          <w:p>
            <w:pPr>
              <w:pStyle w:val="Compact"/>
              <w:keepNext w:val="0"/>
              <w:spacing w:after="40" w:before="40" w:line="264" w:lineRule="auto"/>
              <w:jc w:val="left"/>
            </w:pPr>
            <w:r>
              <w:rPr>
                <w:color w:val="000000"/>
                <w:sz w:val="19"/>
              </w:rPr>
              <w:t xml:space="preserve">pp.19–21図6–7</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マイクロアレイ5</w:t>
            </w:r>
          </w:p>
        </w:tc>
        <w:tc>
          <w:tcPr>
            <w:tcW w:type="dxa" w:w="2762"/>
            <w:vAlign w:val="center"/>
            <w:shd w:fill="F7F8FA"/>
          </w:tcPr>
          <w:p>
            <w:pPr>
              <w:pStyle w:val="Compact"/>
              <w:keepNext w:val="0"/>
              <w:spacing w:after="40" w:before="40" w:line="264" w:lineRule="auto"/>
              <w:jc w:val="left"/>
            </w:pPr>
            <w:r>
              <w:rPr>
                <w:color w:val="000000"/>
                <w:sz w:val="19"/>
              </w:rPr>
              <w:t xml:space="preserve">joint</w:t>
            </w:r>
          </w:p>
        </w:tc>
        <w:tc>
          <w:tcPr>
            <w:tcW w:type="dxa" w:w="2466"/>
            <w:vAlign w:val="center"/>
            <w:shd w:fill="F7F8FA"/>
          </w:tcPr>
          <w:p>
            <w:pPr>
              <w:pStyle w:val="Compact"/>
              <w:keepNext w:val="0"/>
              <w:spacing w:after="40" w:before="40" w:line="264" w:lineRule="auto"/>
              <w:jc w:val="left"/>
            </w:pPr>
            <w:r>
              <w:rPr>
                <w:color w:val="000000"/>
                <w:sz w:val="19"/>
              </w:rPr>
              <w:t xml:space="preserve">OutPro変種が上位</w:t>
            </w:r>
          </w:p>
        </w:tc>
        <w:tc>
          <w:tcPr>
            <w:tcW w:type="dxa" w:w="2762"/>
            <w:vAlign w:val="center"/>
            <w:shd w:fill="F7F8FA"/>
          </w:tcPr>
          <w:p>
            <w:pPr>
              <w:pStyle w:val="Compact"/>
              <w:keepNext w:val="0"/>
              <w:spacing w:after="40" w:before="40" w:line="264" w:lineRule="auto"/>
              <w:jc w:val="left"/>
            </w:pPr>
            <w:r>
              <w:rPr>
                <w:color w:val="000000"/>
                <w:sz w:val="19"/>
              </w:rPr>
              <w:t xml:space="preserve">同上</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マイクロアレイ5</w:t>
            </w:r>
          </w:p>
        </w:tc>
        <w:tc>
          <w:tcPr>
            <w:tcW w:type="dxa" w:w="2762"/>
            <w:vAlign w:val="center"/>
            <w:shd w:fill="FFFFFF"/>
          </w:tcPr>
          <w:p>
            <w:pPr>
              <w:pStyle w:val="Compact"/>
              <w:keepNext w:val="0"/>
              <w:spacing w:after="40" w:before="40" w:line="264" w:lineRule="auto"/>
              <w:jc w:val="left"/>
            </w:pPr>
            <w:r>
              <w:rPr>
                <w:color w:val="000000"/>
                <w:sz w:val="19"/>
              </w:rPr>
              <w:t xml:space="preserve">support</w:t>
            </w:r>
          </w:p>
        </w:tc>
        <w:tc>
          <w:tcPr>
            <w:tcW w:type="dxa" w:w="2466"/>
            <w:vAlign w:val="center"/>
            <w:shd w:fill="FFFFFF"/>
          </w:tcPr>
          <w:p>
            <w:pPr>
              <w:pStyle w:val="Compact"/>
              <w:keepNext w:val="0"/>
              <w:spacing w:after="40" w:before="40" w:line="264" w:lineRule="auto"/>
              <w:jc w:val="left"/>
            </w:pPr>
            <w:r>
              <w:rPr>
                <w:color w:val="000000"/>
                <w:sz w:val="19"/>
              </w:rPr>
              <w:t xml:space="preserve">robust kNN densityが首位、複数OutProが上位、Productは弱い</w:t>
            </w:r>
          </w:p>
        </w:tc>
        <w:tc>
          <w:tcPr>
            <w:tcW w:type="dxa" w:w="2762"/>
            <w:vAlign w:val="center"/>
            <w:shd w:fill="FFFFFF"/>
          </w:tcPr>
          <w:p>
            <w:pPr>
              <w:pStyle w:val="Compact"/>
              <w:keepNext w:val="0"/>
              <w:spacing w:after="40" w:before="40" w:line="264" w:lineRule="auto"/>
              <w:jc w:val="left"/>
            </w:pPr>
            <w:r>
              <w:rPr>
                <w:color w:val="000000"/>
                <w:sz w:val="19"/>
              </w:rPr>
              <w:t xml:space="preserve">同上</w:t>
            </w:r>
          </w:p>
        </w:tc>
      </w:tr>
      <w:tr>
        <w:trPr>
          <w:cantSplit/>
        </w:trPr>
        <w:tc>
          <w:tcPr>
            <w:tcW w:type="dxa" w:w="1874"/>
            <w:vAlign w:val="center"/>
            <w:shd w:fill="F7F8FA"/>
          </w:tcPr>
          <w:p>
            <w:pPr>
              <w:pStyle w:val="Compact"/>
              <w:keepNext w:val="0"/>
              <w:spacing w:after="40" w:before="40" w:line="264" w:lineRule="auto"/>
              <w:jc w:val="left"/>
            </w:pPr>
            <w:r>
              <w:rPr>
                <w:color w:val="000000"/>
                <w:sz w:val="19"/>
              </w:rPr>
              <w:t xml:space="preserve">アブレーション</w:t>
            </w:r>
          </w:p>
        </w:tc>
        <w:tc>
          <w:tcPr>
            <w:tcW w:type="dxa" w:w="2762"/>
            <w:vAlign w:val="center"/>
            <w:shd w:fill="F7F8FA"/>
          </w:tcPr>
          <w:p>
            <w:pPr>
              <w:pStyle w:val="Compact"/>
              <w:keepNext w:val="0"/>
              <w:spacing w:after="40" w:before="40" w:line="264" w:lineRule="auto"/>
              <w:jc w:val="left"/>
            </w:pPr>
            <w:r>
              <w:rPr>
                <w:color w:val="000000"/>
                <w:sz w:val="19"/>
              </w:rPr>
              <w:t xml:space="preserve">Manhattan固定</w:t>
            </w:r>
          </w:p>
        </w:tc>
        <w:tc>
          <w:tcPr>
            <w:tcW w:type="dxa" w:w="2466"/>
            <w:vAlign w:val="center"/>
            <w:shd w:fill="F7F8FA"/>
          </w:tcPr>
          <w:p>
            <w:pPr>
              <w:pStyle w:val="Compact"/>
              <w:keepNext w:val="0"/>
              <w:spacing w:after="40" w:before="40" w:line="264" w:lineRule="auto"/>
              <w:jc w:val="left"/>
            </w:pPr>
            <w:r>
              <w:rPr>
                <w:color w:val="000000"/>
                <w:sz w:val="19"/>
              </w:rPr>
              <w:t xml:space="preserve">Full平均1.84、jointではSubspace KNN 1.47が先行</w:t>
            </w:r>
          </w:p>
        </w:tc>
        <w:tc>
          <w:tcPr>
            <w:tcW w:type="dxa" w:w="2762"/>
            <w:vAlign w:val="center"/>
            <w:shd w:fill="F7F8FA"/>
          </w:tcPr>
          <w:p>
            <w:pPr>
              <w:pStyle w:val="Compact"/>
              <w:keepNext w:val="0"/>
              <w:spacing w:after="40" w:before="40" w:line="264" w:lineRule="auto"/>
              <w:jc w:val="left"/>
            </w:pPr>
            <w:r>
              <w:rPr>
                <w:color w:val="000000"/>
                <w:sz w:val="19"/>
              </w:rPr>
              <w:t xml:space="preserve">p.22表5</w:t>
            </w:r>
          </w:p>
        </w:tc>
      </w:tr>
      <w:tr>
        <w:trPr>
          <w:cantSplit/>
        </w:trPr>
        <w:tc>
          <w:tcPr>
            <w:tcW w:type="dxa" w:w="1874"/>
            <w:vAlign w:val="center"/>
            <w:shd w:fill="FFFFFF"/>
          </w:tcPr>
          <w:p>
            <w:pPr>
              <w:pStyle w:val="Compact"/>
              <w:keepNext w:val="0"/>
              <w:spacing w:after="40" w:before="40" w:line="264" w:lineRule="auto"/>
              <w:jc w:val="left"/>
            </w:pPr>
            <w:r>
              <w:rPr>
                <w:color w:val="000000"/>
                <w:sz w:val="19"/>
              </w:rPr>
              <w:t xml:space="preserve">WECC</w:t>
            </w:r>
          </w:p>
        </w:tc>
        <w:tc>
          <w:tcPr>
            <w:tcW w:type="dxa" w:w="2762"/>
            <w:vAlign w:val="center"/>
            <w:shd w:fill="FFFFFF"/>
          </w:tcPr>
          <w:p>
            <w:pPr>
              <w:pStyle w:val="Compact"/>
              <w:keepNext w:val="0"/>
              <w:spacing w:after="40" w:before="40" w:line="264" w:lineRule="auto"/>
              <w:jc w:val="left"/>
            </w:pPr>
            <w:r>
              <w:rPr>
                <w:color w:val="000000"/>
                <w:sz w:val="19"/>
              </w:rPr>
              <w:t xml:space="preserve">31場面</w:t>
            </w:r>
          </w:p>
        </w:tc>
        <w:tc>
          <w:tcPr>
            <w:tcW w:type="dxa" w:w="2466"/>
            <w:vAlign w:val="center"/>
            <w:shd w:fill="FFFFFF"/>
          </w:tcPr>
          <w:p>
            <w:pPr>
              <w:pStyle w:val="Compact"/>
              <w:keepNext w:val="0"/>
              <w:spacing w:after="40" w:before="40" w:line="264" w:lineRule="auto"/>
              <w:jc w:val="left"/>
            </w:pPr>
            <w:r>
              <w:rPr>
                <w:color w:val="000000"/>
                <w:sz w:val="19"/>
              </w:rPr>
              <w:t xml:space="preserve">郭清閾値と集団平均スコアの傾向。独立OOD性能真値なし</w:t>
            </w:r>
          </w:p>
        </w:tc>
        <w:tc>
          <w:tcPr>
            <w:tcW w:type="dxa" w:w="2762"/>
            <w:vAlign w:val="center"/>
            <w:shd w:fill="FFFFFF"/>
          </w:tcPr>
          <w:p>
            <w:pPr>
              <w:pStyle w:val="Compact"/>
              <w:keepNext w:val="0"/>
              <w:spacing w:after="40" w:before="40" w:line="264" w:lineRule="auto"/>
              <w:jc w:val="left"/>
            </w:pPr>
            <w:r>
              <w:rPr>
                <w:color w:val="000000"/>
                <w:sz w:val="19"/>
              </w:rPr>
              <w:t xml:space="preserve">pp.23–24図9</w:t>
            </w:r>
          </w:p>
        </w:tc>
      </w:tr>
    </w:tbl>
    <w:p>
      <w:pPr>
        <w:pStyle w:val="BodyText"/>
        <w:widowControl/>
      </w:pPr>
      <w:r>
        <w:t xml:space="preserve">主要結果は箱ひげ図・CD図で、全方法の正確なAUC-PR表はない。目視読取りを正確な数値として報告しない。首位の平均順位は、他の全手法に統計的に有意に勝つことを意味しない。</w:t>
      </w:r>
    </w:p>
    <w:bookmarkEnd w:id="45"/>
    <w:bookmarkStart w:id="46" w:name="データカードafriedmanシミュレーション"/>
    <w:p>
      <w:pPr>
        <w:pStyle w:val="Heading3"/>
        <w:widowControl/>
      </w:pPr>
      <w:r>
        <w:rPr>
          <w:color w:val="000000"/>
        </w:rPr>
        <w:t xml:space="preserve">6.2 データカードA：Friedmanシミュレーション</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内容</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入力・出力</w:t>
            </w:r>
          </w:p>
        </w:tc>
        <w:tc>
          <w:tcPr>
            <w:tcW w:type="dxa" w:w="7497"/>
            <w:vAlign w:val="center"/>
            <w:shd w:fill="FFFFFF"/>
          </w:tcPr>
          <w:p>
            <w:pPr>
              <w:pStyle w:val="Compact"/>
              <w:keepNext w:val="0"/>
              <w:spacing w:after="40" w:before="40" w:line="264" w:lineRule="auto"/>
              <w:jc w:val="left"/>
            </w:pPr>
            <w:r>
              <w:rPr>
                <w:color w:val="000000"/>
                <w:sz w:val="19"/>
              </w:rPr>
              <w:t xml:space="preserve">独立な20個のU[0,1]入力、連続Y。前5信号、後15ノイズ</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データ量</w:t>
            </w:r>
          </w:p>
        </w:tc>
        <w:tc>
          <w:tcPr>
            <w:tcW w:type="dxa" w:w="7497"/>
            <w:vAlign w:val="center"/>
            <w:shd w:fill="F7F8FA"/>
          </w:tcPr>
          <w:p>
            <w:pPr>
              <w:pStyle w:val="Compact"/>
              <w:keepNext w:val="0"/>
              <w:spacing w:after="40" w:before="40" w:line="264" w:lineRule="auto"/>
              <w:jc w:val="left"/>
            </w:pPr>
            <w:r>
              <w:rPr>
                <w:color w:val="000000"/>
                <w:sz w:val="19"/>
              </w:rPr>
              <w:t xml:space="preserve">各2000行×20入力、100個の独立データセット。20万行を一括学習する設計ではない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分割</w:t>
            </w:r>
          </w:p>
        </w:tc>
        <w:tc>
          <w:tcPr>
            <w:tcW w:type="dxa" w:w="7497"/>
            <w:vAlign w:val="center"/>
            <w:shd w:fill="FFFFFF"/>
          </w:tcPr>
          <w:p>
            <w:pPr>
              <w:pStyle w:val="Compact"/>
              <w:keepNext w:val="0"/>
              <w:spacing w:after="40" w:before="40" w:line="264" w:lineRule="auto"/>
              <w:jc w:val="left"/>
            </w:pPr>
            <w:r>
              <w:rPr>
                <w:color w:val="000000"/>
                <w:sz w:val="19"/>
              </w:rPr>
              <w:t xml:space="preserve">各回ランダム80%／20%、1600学習・400テスト</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異常構成</w:t>
            </w:r>
          </w:p>
        </w:tc>
        <w:tc>
          <w:tcPr>
            <w:tcW w:type="dxa" w:w="7497"/>
            <w:vAlign w:val="center"/>
            <w:shd w:fill="F7F8FA"/>
          </w:tcPr>
          <w:p>
            <w:pPr>
              <w:pStyle w:val="Compact"/>
              <w:keepNext w:val="0"/>
              <w:spacing w:after="40" w:before="40" w:line="264" w:lineRule="auto"/>
              <w:jc w:val="left"/>
            </w:pPr>
            <w:r>
              <w:rPr>
                <w:color w:val="000000"/>
                <w:sz w:val="19"/>
              </w:rPr>
              <w:t xml:space="preserve">boosting上位10%、経験標準偏差で尺度化、テスト事例ごとのランダム方向、五段階幅</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正解ラベル</w:t>
            </w:r>
          </w:p>
        </w:tc>
        <w:tc>
          <w:tcPr>
            <w:tcW w:type="dxa" w:w="7497"/>
            <w:vAlign w:val="center"/>
            <w:shd w:fill="FFFFFF"/>
          </w:tcPr>
          <w:p>
            <w:pPr>
              <w:pStyle w:val="Compact"/>
              <w:keepNext w:val="0"/>
              <w:spacing w:after="40" w:before="40" w:line="264" w:lineRule="auto"/>
              <w:jc w:val="left"/>
            </w:pPr>
            <w:r>
              <w:rPr>
                <w:color w:val="000000"/>
                <w:sz w:val="19"/>
              </w:rPr>
              <w:t xml:space="preserve">いずれかの座標が[0,1]を超えた場合のみa=1。範囲内の摂動点はID</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OOD率</w:t>
            </w:r>
          </w:p>
        </w:tc>
        <w:tc>
          <w:tcPr>
            <w:tcW w:type="dxa" w:w="7497"/>
            <w:vAlign w:val="center"/>
            <w:shd w:fill="F7F8FA"/>
          </w:tcPr>
          <w:p>
            <w:pPr>
              <w:pStyle w:val="Compact"/>
              <w:keepNext w:val="0"/>
              <w:spacing w:after="40" w:before="40" w:line="264" w:lineRule="auto"/>
              <w:jc w:val="left"/>
            </w:pPr>
            <w:r>
              <w:rPr>
                <w:color w:val="000000"/>
                <w:sz w:val="19"/>
              </w:rPr>
              <w:t xml:space="preserve">shiftによって変わる。50%固定ではない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学習不足②</w:t>
            </w:r>
          </w:p>
        </w:tc>
        <w:tc>
          <w:tcPr>
            <w:tcW w:type="dxa" w:w="7497"/>
            <w:vAlign w:val="center"/>
            <w:shd w:fill="FFFFFF"/>
          </w:tcPr>
          <w:p>
            <w:pPr>
              <w:pStyle w:val="Compact"/>
              <w:keepNext w:val="0"/>
              <w:spacing w:after="40" w:before="40" w:line="264" w:lineRule="auto"/>
              <w:jc w:val="left"/>
            </w:pPr>
            <w:r>
              <w:rPr>
                <w:color w:val="000000"/>
                <w:sz w:val="19"/>
              </w:rPr>
              <w:t xml:space="preserve">支持内でモデルが学習不十分というラベルは別途作っていない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①②③</w:t>
            </w:r>
          </w:p>
        </w:tc>
        <w:tc>
          <w:tcPr>
            <w:tcW w:type="dxa" w:w="7497"/>
            <w:vAlign w:val="center"/>
            <w:shd w:fill="F7F8FA"/>
          </w:tcPr>
          <w:p>
            <w:pPr>
              <w:pStyle w:val="Compact"/>
              <w:keepNext w:val="0"/>
              <w:spacing w:after="40" w:before="40" w:line="264" w:lineRule="auto"/>
              <w:jc w:val="left"/>
            </w:pPr>
            <w:r>
              <w:rPr>
                <w:color w:val="000000"/>
                <w:sz w:val="19"/>
              </w:rPr>
              <w:t xml:space="preserve">①の支持外を直接評価。③の相関変化は扱わない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一般異常分類</w:t>
            </w:r>
          </w:p>
        </w:tc>
        <w:tc>
          <w:tcPr>
            <w:tcW w:type="dxa" w:w="7497"/>
            <w:vAlign w:val="center"/>
            <w:shd w:fill="FFFFFF"/>
          </w:tcPr>
          <w:p>
            <w:pPr>
              <w:pStyle w:val="Compact"/>
              <w:keepNext w:val="0"/>
              <w:spacing w:after="40" w:before="40" w:line="264" w:lineRule="auto"/>
              <w:jc w:val="left"/>
            </w:pPr>
            <w:r>
              <w:rPr>
                <w:color w:val="000000"/>
                <w:sz w:val="19"/>
              </w:rPr>
              <w:t xml:space="preserve">多変量ベクトル単位のPoint Anomaly</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作成者の分類</w:t>
            </w:r>
          </w:p>
        </w:tc>
        <w:tc>
          <w:tcPr>
            <w:tcW w:type="dxa" w:w="7497"/>
            <w:vAlign w:val="center"/>
            <w:shd w:fill="F7F8FA"/>
          </w:tcPr>
          <w:p>
            <w:pPr>
              <w:pStyle w:val="Compact"/>
              <w:keepNext w:val="0"/>
              <w:spacing w:after="40" w:before="40" w:line="264" w:lineRule="auto"/>
              <w:jc w:val="left"/>
            </w:pPr>
            <w:r>
              <w:rPr>
                <w:color w:val="000000"/>
                <w:sz w:val="19"/>
              </w:rPr>
              <w:t xml:space="preserve">5信号／15ノイズの生成区分。分類予測タスクではない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時間特性</w:t>
            </w:r>
          </w:p>
        </w:tc>
        <w:tc>
          <w:tcPr>
            <w:tcW w:type="dxa" w:w="7497"/>
            <w:vAlign w:val="center"/>
            <w:shd w:fill="FFFFFF"/>
          </w:tcPr>
          <w:p>
            <w:pPr>
              <w:pStyle w:val="Compact"/>
              <w:keepNext w:val="0"/>
              <w:spacing w:after="40" w:before="40" w:line="264" w:lineRule="auto"/>
              <w:jc w:val="left"/>
            </w:pPr>
            <w:r>
              <w:rPr>
                <w:color w:val="000000"/>
                <w:sz w:val="19"/>
              </w:rPr>
              <w:t xml:space="preserve">i.i.d.表データ。時間粒度、採取期間、入力窓は非該当</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公開・取得</w:t>
            </w:r>
          </w:p>
        </w:tc>
        <w:tc>
          <w:tcPr>
            <w:tcW w:type="dxa" w:w="7497"/>
            <w:vAlign w:val="center"/>
            <w:shd w:fill="F7F8FA"/>
          </w:tcPr>
          <w:p>
            <w:pPr>
              <w:pStyle w:val="Compact"/>
              <w:keepNext w:val="0"/>
              <w:spacing w:after="40" w:before="40" w:line="264" w:lineRule="auto"/>
              <w:jc w:val="left"/>
            </w:pPr>
            <w:r>
              <w:rPr>
                <w:color w:val="000000"/>
                <w:sz w:val="19"/>
              </w:rPr>
              <w:t xml:space="preserve">数式で生成可能。著者はコードで再生成できると記載。固定公開ファイルは本文未指定</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ライセンス</w:t>
            </w:r>
          </w:p>
        </w:tc>
        <w:tc>
          <w:tcPr>
            <w:tcW w:type="dxa" w:w="7497"/>
            <w:vAlign w:val="center"/>
            <w:shd w:fill="FFFFFF"/>
          </w:tcPr>
          <w:p>
            <w:pPr>
              <w:pStyle w:val="Compact"/>
              <w:keepNext w:val="0"/>
              <w:spacing w:after="40" w:before="40" w:line="264" w:lineRule="auto"/>
              <w:jc w:val="left"/>
            </w:pPr>
            <w:r>
              <w:rPr>
                <w:color w:val="000000"/>
                <w:sz w:val="19"/>
              </w:rPr>
              <w:t xml:space="preserve">生成データ単独は未記載。ソフトGPL≥3と論文CC BY4.0を分ける</w:t>
            </w:r>
          </w:p>
        </w:tc>
      </w:tr>
    </w:tbl>
    <w:bookmarkEnd w:id="46"/>
    <w:bookmarkStart w:id="50" w:name="データカードbpmlb回帰61課題"/>
    <w:p>
      <w:pPr>
        <w:pStyle w:val="Heading3"/>
        <w:widowControl/>
      </w:pPr>
      <w:r>
        <w:rPr>
          <w:color w:val="000000"/>
        </w:rPr>
        <w:t xml:space="preserve">6.3 データカードB：PMLB回帰61課題</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内容</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入出力</w:t>
            </w:r>
          </w:p>
        </w:tc>
        <w:tc>
          <w:tcPr>
            <w:tcW w:type="dxa" w:w="7497"/>
            <w:vAlign w:val="center"/>
            <w:shd w:fill="FFFFFF"/>
          </w:tcPr>
          <w:p>
            <w:pPr>
              <w:pStyle w:val="Compact"/>
              <w:keepNext w:val="0"/>
              <w:spacing w:after="40" w:before="40" w:line="264" w:lineRule="auto"/>
              <w:jc w:val="left"/>
            </w:pPr>
            <w:r>
              <w:rPr>
                <w:color w:val="000000"/>
                <w:sz w:val="19"/>
              </w:rPr>
              <w:t xml:space="preserve">10特徴以上、連続目的変数の課題。61件の正確な名称、各変数名・単位・目的は本文未掲載</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規模</w:t>
            </w:r>
          </w:p>
        </w:tc>
        <w:tc>
          <w:tcPr>
            <w:tcW w:type="dxa" w:w="7497"/>
            <w:vAlign w:val="center"/>
            <w:shd w:fill="F7F8FA"/>
          </w:tcPr>
          <w:p>
            <w:pPr>
              <w:pStyle w:val="Compact"/>
              <w:keepNext w:val="0"/>
              <w:spacing w:after="40" w:before="40" w:line="264" w:lineRule="auto"/>
              <w:jc w:val="left"/>
            </w:pPr>
            <w:r>
              <w:rPr>
                <w:color w:val="000000"/>
                <w:sz w:val="19"/>
              </w:rPr>
              <w:t xml:space="preserve">n=47–1066、d=10–124。上下限を組み合わせた単一最大行列とは限らない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分割</w:t>
            </w:r>
          </w:p>
        </w:tc>
        <w:tc>
          <w:tcPr>
            <w:tcW w:type="dxa" w:w="7497"/>
            <w:vAlign w:val="center"/>
            <w:shd w:fill="FFFFFF"/>
          </w:tcPr>
          <w:p>
            <w:pPr>
              <w:pStyle w:val="Compact"/>
              <w:keepNext w:val="0"/>
              <w:spacing w:after="40" w:before="40" w:line="264" w:lineRule="auto"/>
              <w:jc w:val="left"/>
            </w:pPr>
            <w:r>
              <w:rPr>
                <w:color w:val="000000"/>
                <w:sz w:val="19"/>
              </w:rPr>
              <w:t xml:space="preserve">ランダム80%学習・20%テスト。各モードでテストと等数の候補異常を作り100回反復</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ID基準</w:t>
            </w:r>
          </w:p>
        </w:tc>
        <w:tc>
          <w:tcPr>
            <w:tcW w:type="dxa" w:w="7497"/>
            <w:vAlign w:val="center"/>
            <w:shd w:fill="F7F8FA"/>
          </w:tcPr>
          <w:p>
            <w:pPr>
              <w:pStyle w:val="Compact"/>
              <w:keepNext w:val="0"/>
              <w:spacing w:after="40" w:before="40" w:line="264" w:lineRule="auto"/>
              <w:jc w:val="left"/>
            </w:pPr>
            <w:r>
              <w:rPr>
                <w:color w:val="000000"/>
                <w:sz w:val="19"/>
              </w:rPr>
              <w:t xml:space="preserve">元データの保留事例をIDとする。専門家による完全正常認証とは異なる</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OOD真値</w:t>
            </w:r>
          </w:p>
        </w:tc>
        <w:tc>
          <w:tcPr>
            <w:tcW w:type="dxa" w:w="7497"/>
            <w:vAlign w:val="center"/>
            <w:shd w:fill="FFFFFF"/>
          </w:tcPr>
          <w:p>
            <w:pPr>
              <w:pStyle w:val="Compact"/>
              <w:keepNext w:val="0"/>
              <w:spacing w:after="40" w:before="40" w:line="264" w:lineRule="auto"/>
              <w:jc w:val="left"/>
            </w:pPr>
            <w:r>
              <w:rPr>
                <w:color w:val="000000"/>
                <w:sz w:val="19"/>
              </w:rPr>
              <w:t xml:space="preserve">warpは潜在半径閾値、joint/supportは全生成点1。元PMLBのOODラベルではない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割合</w:t>
            </w:r>
          </w:p>
        </w:tc>
        <w:tc>
          <w:tcPr>
            <w:tcW w:type="dxa" w:w="7497"/>
            <w:vAlign w:val="center"/>
            <w:shd w:fill="F7F8FA"/>
          </w:tcPr>
          <w:p>
            <w:pPr>
              <w:pStyle w:val="Compact"/>
              <w:keepNext w:val="0"/>
              <w:spacing w:after="40" w:before="40" w:line="264" w:lineRule="auto"/>
              <w:jc w:val="left"/>
            </w:pPr>
            <w:r>
              <w:rPr>
                <w:color w:val="000000"/>
                <w:sz w:val="19"/>
              </w:rPr>
              <w:t xml:space="preserve">joint/supportを未変更テスト全件と混合すれば概ね1:1。warpでは候補数と正例数が違い、実際の正例率未報告</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①②③</w:t>
            </w:r>
          </w:p>
        </w:tc>
        <w:tc>
          <w:tcPr>
            <w:tcW w:type="dxa" w:w="7497"/>
            <w:vAlign w:val="center"/>
            <w:shd w:fill="FFFFFF"/>
          </w:tcPr>
          <w:p>
            <w:pPr>
              <w:pStyle w:val="Compact"/>
              <w:keepNext w:val="0"/>
              <w:spacing w:after="40" w:before="40" w:line="264" w:lineRule="auto"/>
              <w:jc w:val="left"/>
            </w:pPr>
            <w:r>
              <w:rPr>
                <w:color w:val="000000"/>
                <w:sz w:val="19"/>
              </w:rPr>
              <w:t xml:space="preserve">support→①、warp→低密度・裾で②に関連するが学習不足そのものは未証明、joint→③中心</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一般異常</w:t>
            </w:r>
          </w:p>
        </w:tc>
        <w:tc>
          <w:tcPr>
            <w:tcW w:type="dxa" w:w="7497"/>
            <w:vAlign w:val="center"/>
            <w:shd w:fill="F7F8FA"/>
          </w:tcPr>
          <w:p>
            <w:pPr>
              <w:pStyle w:val="Compact"/>
              <w:keepNext w:val="0"/>
              <w:spacing w:after="40" w:before="40" w:line="264" w:lineRule="auto"/>
              <w:jc w:val="left"/>
            </w:pPr>
            <w:r>
              <w:rPr>
                <w:color w:val="000000"/>
                <w:sz w:val="19"/>
              </w:rPr>
              <w:t xml:space="preserve">本実験は逐ベクトルのPoint Anomaly。時間文脈・異常区間の評価なし</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作成者の分類</w:t>
            </w:r>
          </w:p>
        </w:tc>
        <w:tc>
          <w:tcPr>
            <w:tcW w:type="dxa" w:w="7497"/>
            <w:vAlign w:val="center"/>
            <w:shd w:fill="FFFFFF"/>
          </w:tcPr>
          <w:p>
            <w:pPr>
              <w:pStyle w:val="Compact"/>
              <w:keepNext w:val="0"/>
              <w:spacing w:after="40" w:before="40" w:line="264" w:lineRule="auto"/>
              <w:jc w:val="left"/>
            </w:pPr>
            <w:r>
              <w:rPr>
                <w:color w:val="000000"/>
                <w:sz w:val="19"/>
              </w:rPr>
              <w:t xml:space="preserve">PMLBはclassification／regressionと特徴型などで分類。三種のOOD生成モードとは別</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時間特性</w:t>
            </w:r>
          </w:p>
        </w:tc>
        <w:tc>
          <w:tcPr>
            <w:tcW w:type="dxa" w:w="7497"/>
            <w:vAlign w:val="center"/>
            <w:shd w:fill="F7F8FA"/>
          </w:tcPr>
          <w:p>
            <w:pPr>
              <w:pStyle w:val="Compact"/>
              <w:keepNext w:val="0"/>
              <w:spacing w:after="40" w:before="40" w:line="264" w:lineRule="auto"/>
              <w:jc w:val="left"/>
            </w:pPr>
            <w:r>
              <w:rPr>
                <w:color w:val="000000"/>
                <w:sz w:val="19"/>
              </w:rPr>
              <w:t xml:space="preserve">本論文は静的表ベクトルとして処理。原データごとの採取期間・頻度・窓は未報告。全ての原データに時間的由来がないとは断定しない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公開・取得</w:t>
            </w:r>
          </w:p>
        </w:tc>
        <w:tc>
          <w:tcPr>
            <w:tcW w:type="dxa" w:w="7497"/>
            <w:vAlign w:val="center"/>
            <w:shd w:fill="FFFFFF"/>
          </w:tcPr>
          <w:p>
            <w:pPr>
              <w:pStyle w:val="Compact"/>
              <w:keepNext w:val="0"/>
              <w:spacing w:after="40" w:before="40" w:line="264" w:lineRule="auto"/>
              <w:jc w:val="left"/>
            </w:pPr>
            <w:r>
              <w:rPr>
                <w:color w:val="000000"/>
                <w:sz w:val="19"/>
              </w:rPr>
              <w:t xml:space="preserve">公開PMLB、Python fetch_dataやリポジトリから取得。著者の61件を完全一致させるリストが不足</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使用条件</w:t>
            </w:r>
          </w:p>
        </w:tc>
        <w:tc>
          <w:tcPr>
            <w:tcW w:type="dxa" w:w="7497"/>
            <w:vAlign w:val="center"/>
            <w:shd w:fill="F7F8FA"/>
          </w:tcPr>
          <w:p>
            <w:pPr>
              <w:pStyle w:val="Compact"/>
              <w:keepNext w:val="0"/>
              <w:spacing w:after="40" w:before="40" w:line="264" w:lineRule="auto"/>
              <w:jc w:val="left"/>
            </w:pPr>
            <w:r>
              <w:rPr>
                <w:color w:val="000000"/>
                <w:sz w:val="19"/>
              </w:rPr>
              <w:t xml:space="preserve">リポジトリMITはソフトウェア・関連文書の表示。個別原データの条件は原出典で確認が必要</w:t>
            </w:r>
          </w:p>
        </w:tc>
      </w:tr>
    </w:tbl>
    <w:p>
      <w:pPr>
        <w:pStyle w:val="BodyText"/>
        <w:widowControl/>
      </w:pPr>
      <w:r>
        <w:t xml:space="preserve">【外部確認】PMLBはtarget列、圧縮TSV、課題・特徴型metadataを用いる。</w:t>
      </w:r>
      <w:hyperlink r:id="rId47">
        <w:r>
          <w:rPr>
            <w:rStyle w:val="Hyperlink"/>
          </w:rPr>
          <w:t xml:space="preserve">公式説明</w:t>
        </w:r>
      </w:hyperlink>
      <w:r>
        <w:t xml:space="preserve">、</w:t>
      </w:r>
      <w:hyperlink r:id="rId48">
        <w:r>
          <w:rPr>
            <w:rStyle w:val="Hyperlink"/>
          </w:rPr>
          <w:t xml:space="preserve">取得方法</w:t>
        </w:r>
      </w:hyperlink>
      <w:r>
        <w:t xml:space="preserve">、</w:t>
      </w:r>
      <w:hyperlink r:id="rId49">
        <w:r>
          <w:rPr>
            <w:rStyle w:val="Hyperlink"/>
          </w:rPr>
          <w:t xml:space="preserve">LICENSE</w:t>
        </w:r>
      </w:hyperlink>
      <w:r>
        <w:t xml:space="preserve">。条件に合う別の61件を選んで著者データとみなすことはしていない。</w:t>
      </w:r>
    </w:p>
    <w:bookmarkEnd w:id="50"/>
    <w:bookmarkStart w:id="55" w:name="データカードc高次元マイクロアレイ5課題"/>
    <w:p>
      <w:pPr>
        <w:pStyle w:val="Heading3"/>
        <w:widowControl/>
      </w:pPr>
      <w:r>
        <w:rPr>
          <w:color w:val="000000"/>
        </w:rPr>
        <w:t xml:space="preserve">6.4 データカードC：高次元マイクロアレイ5課題</w:t>
      </w:r>
    </w:p>
    <w:p>
      <w:pPr>
        <w:pStyle w:val="FirstParagraph"/>
        <w:widowControl/>
      </w:pPr>
      <w:r>
        <w:t xml:space="preserve">表4のdはCox-score選別後で、原マイクロアレイ全遺伝子数ではない。[pp.18–19]</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1973"/>
        <w:gridCol w:w="740"/>
        <w:gridCol w:w="937"/>
        <w:gridCol w:w="1973"/>
        <w:gridCol w:w="4242"/>
      </w:tblGrid>
      <w:tr>
        <w:trPr>
          <w:cantSplit/>
          <w:tblHeader/>
        </w:trPr>
        <w:tc>
          <w:tcPr>
            <w:tcW w:type="dxa" w:w="1973"/>
            <w:vAlign w:val="center"/>
            <w:shd w:fill="E7EDF3"/>
          </w:tcPr>
          <w:p>
            <w:pPr>
              <w:pStyle w:val="Compact"/>
              <w:keepNext w:val="0"/>
              <w:spacing w:after="40" w:before="40" w:line="264" w:lineRule="auto"/>
              <w:jc w:val="left"/>
            </w:pPr>
            <w:r>
              <w:rPr>
                <w:b/>
                <w:color w:val="000000"/>
                <w:sz w:val="19"/>
              </w:rPr>
              <w:t xml:space="preserve">データ</w:t>
            </w:r>
          </w:p>
        </w:tc>
        <w:tc>
          <w:tcPr>
            <w:tcW w:type="dxa" w:w="740"/>
            <w:vAlign w:val="center"/>
            <w:shd w:fill="E7EDF3"/>
          </w:tcPr>
          <w:p>
            <w:pPr>
              <w:pStyle w:val="Compact"/>
              <w:keepNext w:val="0"/>
              <w:spacing w:after="40" w:before="40" w:line="264" w:lineRule="auto"/>
              <w:jc w:val="right"/>
            </w:pPr>
            <w:r>
              <w:rPr>
                <w:b/>
                <w:color w:val="000000"/>
                <w:sz w:val="19"/>
              </w:rPr>
              <w:t xml:space="preserve">n</w:t>
            </w:r>
          </w:p>
        </w:tc>
        <w:tc>
          <w:tcPr>
            <w:tcW w:type="dxa" w:w="937"/>
            <w:vAlign w:val="center"/>
            <w:shd w:fill="E7EDF3"/>
          </w:tcPr>
          <w:p>
            <w:pPr>
              <w:pStyle w:val="Compact"/>
              <w:keepNext w:val="0"/>
              <w:spacing w:after="40" w:before="40" w:line="264" w:lineRule="auto"/>
              <w:jc w:val="right"/>
            </w:pPr>
            <w:r>
              <w:rPr>
                <w:b/>
                <w:color w:val="000000"/>
                <w:sz w:val="19"/>
              </w:rPr>
              <w:t xml:space="preserve">選別後d</w:t>
            </w:r>
          </w:p>
        </w:tc>
        <w:tc>
          <w:tcPr>
            <w:tcW w:type="dxa" w:w="1973"/>
            <w:vAlign w:val="center"/>
            <w:shd w:fill="E7EDF3"/>
          </w:tcPr>
          <w:p>
            <w:pPr>
              <w:pStyle w:val="Compact"/>
              <w:keepNext w:val="0"/>
              <w:spacing w:after="40" w:before="40" w:line="264" w:lineRule="auto"/>
              <w:jc w:val="right"/>
            </w:pPr>
            <w:r>
              <w:rPr>
                <w:b/>
                <w:color w:val="000000"/>
                <w:sz w:val="19"/>
              </w:rPr>
              <w:t xml:space="preserve">n×d（計算値）</w:t>
            </w:r>
          </w:p>
        </w:tc>
        <w:tc>
          <w:tcPr>
            <w:tcW w:type="dxa" w:w="4242"/>
            <w:vAlign w:val="center"/>
            <w:shd w:fill="E7EDF3"/>
          </w:tcPr>
          <w:p>
            <w:pPr>
              <w:pStyle w:val="Compact"/>
              <w:keepNext w:val="0"/>
              <w:spacing w:after="40" w:before="40" w:line="264" w:lineRule="auto"/>
              <w:jc w:val="left"/>
            </w:pPr>
            <w:r>
              <w:rPr>
                <w:b/>
                <w:color w:val="000000"/>
                <w:sz w:val="19"/>
              </w:rPr>
              <w:t xml:space="preserve">原研究</w:t>
            </w:r>
          </w:p>
        </w:tc>
      </w:tr>
      <w:tr>
        <w:trPr>
          <w:cantSplit/>
        </w:trPr>
        <w:tc>
          <w:tcPr>
            <w:tcW w:type="dxa" w:w="1973"/>
            <w:vAlign w:val="center"/>
            <w:shd w:fill="FFFFFF"/>
          </w:tcPr>
          <w:p>
            <w:pPr>
              <w:pStyle w:val="Compact"/>
              <w:keepNext w:val="0"/>
              <w:spacing w:after="40" w:before="40" w:line="264" w:lineRule="auto"/>
              <w:jc w:val="left"/>
            </w:pPr>
            <w:r>
              <w:rPr>
                <w:color w:val="000000"/>
                <w:sz w:val="19"/>
              </w:rPr>
              <w:t xml:space="preserve">AML</w:t>
            </w:r>
          </w:p>
        </w:tc>
        <w:tc>
          <w:tcPr>
            <w:tcW w:type="dxa" w:w="740"/>
            <w:vAlign w:val="center"/>
            <w:shd w:fill="FFFFFF"/>
          </w:tcPr>
          <w:p>
            <w:pPr>
              <w:pStyle w:val="Compact"/>
              <w:keepNext w:val="0"/>
              <w:spacing w:after="40" w:before="40" w:line="264" w:lineRule="auto"/>
              <w:jc w:val="center"/>
            </w:pPr>
            <w:r>
              <w:rPr>
                <w:color w:val="000000"/>
                <w:sz w:val="19"/>
              </w:rPr>
              <w:t xml:space="preserve">116</w:t>
            </w:r>
          </w:p>
        </w:tc>
        <w:tc>
          <w:tcPr>
            <w:tcW w:type="dxa" w:w="937"/>
            <w:vAlign w:val="center"/>
            <w:shd w:fill="FFFFFF"/>
          </w:tcPr>
          <w:p>
            <w:pPr>
              <w:pStyle w:val="Compact"/>
              <w:keepNext w:val="0"/>
              <w:spacing w:after="40" w:before="40" w:line="264" w:lineRule="auto"/>
              <w:jc w:val="center"/>
            </w:pPr>
            <w:r>
              <w:rPr>
                <w:color w:val="000000"/>
                <w:sz w:val="19"/>
              </w:rPr>
              <w:t xml:space="preserve">629</w:t>
            </w:r>
          </w:p>
        </w:tc>
        <w:tc>
          <w:tcPr>
            <w:tcW w:type="dxa" w:w="1973"/>
            <w:vAlign w:val="center"/>
            <w:shd w:fill="FFFFFF"/>
          </w:tcPr>
          <w:p>
            <w:pPr>
              <w:pStyle w:val="Compact"/>
              <w:keepNext w:val="0"/>
              <w:spacing w:after="40" w:before="40" w:line="264" w:lineRule="auto"/>
              <w:jc w:val="center"/>
            </w:pPr>
            <w:r>
              <w:rPr>
                <w:color w:val="000000"/>
                <w:sz w:val="19"/>
              </w:rPr>
              <w:t xml:space="preserve">72,964</w:t>
            </w:r>
          </w:p>
        </w:tc>
        <w:tc>
          <w:tcPr>
            <w:tcW w:type="dxa" w:w="4242"/>
            <w:vAlign w:val="center"/>
            <w:shd w:fill="FFFFFF"/>
          </w:tcPr>
          <w:p>
            <w:pPr>
              <w:pStyle w:val="Compact"/>
              <w:keepNext w:val="0"/>
              <w:spacing w:after="40" w:before="40" w:line="264" w:lineRule="auto"/>
              <w:jc w:val="left"/>
            </w:pPr>
            <w:r>
              <w:rPr>
                <w:color w:val="000000"/>
                <w:sz w:val="19"/>
              </w:rPr>
              <w:t xml:space="preserve">Bullinger他、NEJM、2004、文献70</w:t>
            </w:r>
          </w:p>
        </w:tc>
      </w:tr>
      <w:tr>
        <w:trPr>
          <w:cantSplit/>
        </w:trPr>
        <w:tc>
          <w:tcPr>
            <w:tcW w:type="dxa" w:w="1973"/>
            <w:vAlign w:val="center"/>
            <w:shd w:fill="F7F8FA"/>
          </w:tcPr>
          <w:p>
            <w:pPr>
              <w:pStyle w:val="Compact"/>
              <w:keepNext w:val="0"/>
              <w:spacing w:after="40" w:before="40" w:line="264" w:lineRule="auto"/>
              <w:jc w:val="left"/>
            </w:pPr>
            <w:r>
              <w:rPr>
                <w:color w:val="000000"/>
                <w:sz w:val="19"/>
              </w:rPr>
              <w:t xml:space="preserve">Breast Cancer</w:t>
            </w:r>
          </w:p>
        </w:tc>
        <w:tc>
          <w:tcPr>
            <w:tcW w:type="dxa" w:w="740"/>
            <w:vAlign w:val="center"/>
            <w:shd w:fill="F7F8FA"/>
          </w:tcPr>
          <w:p>
            <w:pPr>
              <w:pStyle w:val="Compact"/>
              <w:keepNext w:val="0"/>
              <w:spacing w:after="40" w:before="40" w:line="264" w:lineRule="auto"/>
              <w:jc w:val="center"/>
            </w:pPr>
            <w:r>
              <w:rPr>
                <w:color w:val="000000"/>
                <w:sz w:val="19"/>
              </w:rPr>
              <w:t xml:space="preserve">78</w:t>
            </w:r>
          </w:p>
        </w:tc>
        <w:tc>
          <w:tcPr>
            <w:tcW w:type="dxa" w:w="937"/>
            <w:vAlign w:val="center"/>
            <w:shd w:fill="F7F8FA"/>
          </w:tcPr>
          <w:p>
            <w:pPr>
              <w:pStyle w:val="Compact"/>
              <w:keepNext w:val="0"/>
              <w:spacing w:after="40" w:before="40" w:line="264" w:lineRule="auto"/>
              <w:jc w:val="center"/>
            </w:pPr>
            <w:r>
              <w:rPr>
                <w:color w:val="000000"/>
                <w:sz w:val="19"/>
              </w:rPr>
              <w:t xml:space="preserve">475</w:t>
            </w:r>
          </w:p>
        </w:tc>
        <w:tc>
          <w:tcPr>
            <w:tcW w:type="dxa" w:w="1973"/>
            <w:vAlign w:val="center"/>
            <w:shd w:fill="F7F8FA"/>
          </w:tcPr>
          <w:p>
            <w:pPr>
              <w:pStyle w:val="Compact"/>
              <w:keepNext w:val="0"/>
              <w:spacing w:after="40" w:before="40" w:line="264" w:lineRule="auto"/>
              <w:jc w:val="center"/>
            </w:pPr>
            <w:r>
              <w:rPr>
                <w:color w:val="000000"/>
                <w:sz w:val="19"/>
              </w:rPr>
              <w:t xml:space="preserve">37,050</w:t>
            </w:r>
          </w:p>
        </w:tc>
        <w:tc>
          <w:tcPr>
            <w:tcW w:type="dxa" w:w="4242"/>
            <w:vAlign w:val="center"/>
            <w:shd w:fill="F7F8FA"/>
          </w:tcPr>
          <w:p>
            <w:pPr>
              <w:pStyle w:val="Compact"/>
              <w:keepNext w:val="0"/>
              <w:spacing w:after="40" w:before="40" w:line="264" w:lineRule="auto"/>
              <w:jc w:val="left"/>
            </w:pPr>
            <w:r>
              <w:rPr>
                <w:color w:val="000000"/>
                <w:sz w:val="19"/>
              </w:rPr>
              <w:t xml:space="preserve">van’t Veer他、Nature、2002、文献68</w:t>
            </w:r>
          </w:p>
        </w:tc>
      </w:tr>
      <w:tr>
        <w:trPr>
          <w:cantSplit/>
        </w:trPr>
        <w:tc>
          <w:tcPr>
            <w:tcW w:type="dxa" w:w="1973"/>
            <w:vAlign w:val="center"/>
            <w:shd w:fill="FFFFFF"/>
          </w:tcPr>
          <w:p>
            <w:pPr>
              <w:pStyle w:val="Compact"/>
              <w:keepNext w:val="0"/>
              <w:spacing w:after="40" w:before="40" w:line="264" w:lineRule="auto"/>
              <w:jc w:val="left"/>
            </w:pPr>
            <w:r>
              <w:rPr>
                <w:color w:val="000000"/>
                <w:sz w:val="19"/>
              </w:rPr>
              <w:t xml:space="preserve">DLBCL</w:t>
            </w:r>
          </w:p>
        </w:tc>
        <w:tc>
          <w:tcPr>
            <w:tcW w:type="dxa" w:w="740"/>
            <w:vAlign w:val="center"/>
            <w:shd w:fill="FFFFFF"/>
          </w:tcPr>
          <w:p>
            <w:pPr>
              <w:pStyle w:val="Compact"/>
              <w:keepNext w:val="0"/>
              <w:spacing w:after="40" w:before="40" w:line="264" w:lineRule="auto"/>
              <w:jc w:val="center"/>
            </w:pPr>
            <w:r>
              <w:rPr>
                <w:color w:val="000000"/>
                <w:sz w:val="19"/>
              </w:rPr>
              <w:t xml:space="preserve">240</w:t>
            </w:r>
          </w:p>
        </w:tc>
        <w:tc>
          <w:tcPr>
            <w:tcW w:type="dxa" w:w="937"/>
            <w:vAlign w:val="center"/>
            <w:shd w:fill="FFFFFF"/>
          </w:tcPr>
          <w:p>
            <w:pPr>
              <w:pStyle w:val="Compact"/>
              <w:keepNext w:val="0"/>
              <w:spacing w:after="40" w:before="40" w:line="264" w:lineRule="auto"/>
              <w:jc w:val="center"/>
            </w:pPr>
            <w:r>
              <w:rPr>
                <w:color w:val="000000"/>
                <w:sz w:val="19"/>
              </w:rPr>
              <w:t xml:space="preserve">740</w:t>
            </w:r>
          </w:p>
        </w:tc>
        <w:tc>
          <w:tcPr>
            <w:tcW w:type="dxa" w:w="1973"/>
            <w:vAlign w:val="center"/>
            <w:shd w:fill="FFFFFF"/>
          </w:tcPr>
          <w:p>
            <w:pPr>
              <w:pStyle w:val="Compact"/>
              <w:keepNext w:val="0"/>
              <w:spacing w:after="40" w:before="40" w:line="264" w:lineRule="auto"/>
              <w:jc w:val="center"/>
            </w:pPr>
            <w:r>
              <w:rPr>
                <w:color w:val="000000"/>
                <w:sz w:val="19"/>
              </w:rPr>
              <w:t xml:space="preserve">177,600</w:t>
            </w:r>
          </w:p>
        </w:tc>
        <w:tc>
          <w:tcPr>
            <w:tcW w:type="dxa" w:w="4242"/>
            <w:vAlign w:val="center"/>
            <w:shd w:fill="FFFFFF"/>
          </w:tcPr>
          <w:p>
            <w:pPr>
              <w:pStyle w:val="Compact"/>
              <w:keepNext w:val="0"/>
              <w:spacing w:after="40" w:before="40" w:line="264" w:lineRule="auto"/>
              <w:jc w:val="left"/>
            </w:pPr>
            <w:r>
              <w:rPr>
                <w:color w:val="000000"/>
                <w:sz w:val="19"/>
              </w:rPr>
              <w:t xml:space="preserve">Rosenwald他、NEJM、2002、文献67</w:t>
            </w:r>
          </w:p>
        </w:tc>
      </w:tr>
      <w:tr>
        <w:trPr>
          <w:cantSplit/>
        </w:trPr>
        <w:tc>
          <w:tcPr>
            <w:tcW w:type="dxa" w:w="1973"/>
            <w:vAlign w:val="center"/>
            <w:shd w:fill="F7F8FA"/>
          </w:tcPr>
          <w:p>
            <w:pPr>
              <w:pStyle w:val="Compact"/>
              <w:keepNext w:val="0"/>
              <w:spacing w:after="40" w:before="40" w:line="264" w:lineRule="auto"/>
              <w:jc w:val="left"/>
            </w:pPr>
            <w:r>
              <w:rPr>
                <w:color w:val="000000"/>
                <w:sz w:val="19"/>
              </w:rPr>
              <w:t xml:space="preserve">Lung Cancer</w:t>
            </w:r>
          </w:p>
        </w:tc>
        <w:tc>
          <w:tcPr>
            <w:tcW w:type="dxa" w:w="740"/>
            <w:vAlign w:val="center"/>
            <w:shd w:fill="F7F8FA"/>
          </w:tcPr>
          <w:p>
            <w:pPr>
              <w:pStyle w:val="Compact"/>
              <w:keepNext w:val="0"/>
              <w:spacing w:after="40" w:before="40" w:line="264" w:lineRule="auto"/>
              <w:jc w:val="center"/>
            </w:pPr>
            <w:r>
              <w:rPr>
                <w:color w:val="000000"/>
                <w:sz w:val="19"/>
              </w:rPr>
              <w:t xml:space="preserve">86</w:t>
            </w:r>
          </w:p>
        </w:tc>
        <w:tc>
          <w:tcPr>
            <w:tcW w:type="dxa" w:w="937"/>
            <w:vAlign w:val="center"/>
            <w:shd w:fill="F7F8FA"/>
          </w:tcPr>
          <w:p>
            <w:pPr>
              <w:pStyle w:val="Compact"/>
              <w:keepNext w:val="0"/>
              <w:spacing w:after="40" w:before="40" w:line="264" w:lineRule="auto"/>
              <w:jc w:val="center"/>
            </w:pPr>
            <w:r>
              <w:rPr>
                <w:color w:val="000000"/>
                <w:sz w:val="19"/>
              </w:rPr>
              <w:t xml:space="preserve">713</w:t>
            </w:r>
          </w:p>
        </w:tc>
        <w:tc>
          <w:tcPr>
            <w:tcW w:type="dxa" w:w="1973"/>
            <w:vAlign w:val="center"/>
            <w:shd w:fill="F7F8FA"/>
          </w:tcPr>
          <w:p>
            <w:pPr>
              <w:pStyle w:val="Compact"/>
              <w:keepNext w:val="0"/>
              <w:spacing w:after="40" w:before="40" w:line="264" w:lineRule="auto"/>
              <w:jc w:val="center"/>
            </w:pPr>
            <w:r>
              <w:rPr>
                <w:color w:val="000000"/>
                <w:sz w:val="19"/>
              </w:rPr>
              <w:t xml:space="preserve">61,318</w:t>
            </w:r>
          </w:p>
        </w:tc>
        <w:tc>
          <w:tcPr>
            <w:tcW w:type="dxa" w:w="4242"/>
            <w:vAlign w:val="center"/>
            <w:shd w:fill="F7F8FA"/>
          </w:tcPr>
          <w:p>
            <w:pPr>
              <w:pStyle w:val="Compact"/>
              <w:keepNext w:val="0"/>
              <w:spacing w:after="40" w:before="40" w:line="264" w:lineRule="auto"/>
              <w:jc w:val="left"/>
            </w:pPr>
            <w:r>
              <w:rPr>
                <w:color w:val="000000"/>
                <w:sz w:val="19"/>
              </w:rPr>
              <w:t xml:space="preserve">Beer他、Nature Medicine、2002、文献69</w:t>
            </w:r>
          </w:p>
        </w:tc>
      </w:tr>
      <w:tr>
        <w:trPr>
          <w:cantSplit/>
        </w:trPr>
        <w:tc>
          <w:tcPr>
            <w:tcW w:type="dxa" w:w="1973"/>
            <w:vAlign w:val="center"/>
            <w:shd w:fill="FFFFFF"/>
          </w:tcPr>
          <w:p>
            <w:pPr>
              <w:pStyle w:val="Compact"/>
              <w:keepNext w:val="0"/>
              <w:spacing w:after="40" w:before="40" w:line="264" w:lineRule="auto"/>
              <w:jc w:val="left"/>
            </w:pPr>
            <w:r>
              <w:rPr>
                <w:color w:val="000000"/>
                <w:sz w:val="19"/>
              </w:rPr>
              <w:t xml:space="preserve">MCL</w:t>
            </w:r>
          </w:p>
        </w:tc>
        <w:tc>
          <w:tcPr>
            <w:tcW w:type="dxa" w:w="740"/>
            <w:vAlign w:val="center"/>
            <w:shd w:fill="FFFFFF"/>
          </w:tcPr>
          <w:p>
            <w:pPr>
              <w:pStyle w:val="Compact"/>
              <w:keepNext w:val="0"/>
              <w:spacing w:after="40" w:before="40" w:line="264" w:lineRule="auto"/>
              <w:jc w:val="center"/>
            </w:pPr>
            <w:r>
              <w:rPr>
                <w:color w:val="000000"/>
                <w:sz w:val="19"/>
              </w:rPr>
              <w:t xml:space="preserve">92</w:t>
            </w:r>
          </w:p>
        </w:tc>
        <w:tc>
          <w:tcPr>
            <w:tcW w:type="dxa" w:w="937"/>
            <w:vAlign w:val="center"/>
            <w:shd w:fill="FFFFFF"/>
          </w:tcPr>
          <w:p>
            <w:pPr>
              <w:pStyle w:val="Compact"/>
              <w:keepNext w:val="0"/>
              <w:spacing w:after="40" w:before="40" w:line="264" w:lineRule="auto"/>
              <w:jc w:val="center"/>
            </w:pPr>
            <w:r>
              <w:rPr>
                <w:color w:val="000000"/>
                <w:sz w:val="19"/>
              </w:rPr>
              <w:t xml:space="preserve">881</w:t>
            </w:r>
          </w:p>
        </w:tc>
        <w:tc>
          <w:tcPr>
            <w:tcW w:type="dxa" w:w="1973"/>
            <w:vAlign w:val="center"/>
            <w:shd w:fill="FFFFFF"/>
          </w:tcPr>
          <w:p>
            <w:pPr>
              <w:pStyle w:val="Compact"/>
              <w:keepNext w:val="0"/>
              <w:spacing w:after="40" w:before="40" w:line="264" w:lineRule="auto"/>
              <w:jc w:val="center"/>
            </w:pPr>
            <w:r>
              <w:rPr>
                <w:color w:val="000000"/>
                <w:sz w:val="19"/>
              </w:rPr>
              <w:t xml:space="preserve">81,052</w:t>
            </w:r>
          </w:p>
        </w:tc>
        <w:tc>
          <w:tcPr>
            <w:tcW w:type="dxa" w:w="4242"/>
            <w:vAlign w:val="center"/>
            <w:shd w:fill="FFFFFF"/>
          </w:tcPr>
          <w:p>
            <w:pPr>
              <w:pStyle w:val="Compact"/>
              <w:keepNext w:val="0"/>
              <w:spacing w:after="40" w:before="40" w:line="264" w:lineRule="auto"/>
              <w:jc w:val="left"/>
            </w:pPr>
            <w:r>
              <w:rPr>
                <w:color w:val="000000"/>
                <w:sz w:val="19"/>
              </w:rPr>
              <w:t xml:space="preserve">Rosenwald他、Cancer Cell、2003、文献71</w:t>
            </w:r>
          </w:p>
        </w:tc>
      </w:tr>
    </w:tbl>
    <w:p>
      <w:pPr>
        <w:pStyle w:val="BodyText"/>
        <w:widowControl/>
      </w:pPr>
      <w:r>
        <w:t xml:space="preserve">合計612行は台帳上の集計であり、癌種をまとめて学習したという意味ではない。入力は遺伝子発現、元の出力は生存時間とイベント／打切り。本文はRSFのOOB mortalityを連続擬似応答にし、回帰基線と比較する。これは死亡の二値正解ラベルではない。</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共通項目</w:t>
            </w:r>
          </w:p>
        </w:tc>
        <w:tc>
          <w:tcPr>
            <w:tcW w:type="dxa" w:w="7497"/>
            <w:vAlign w:val="center"/>
            <w:shd w:fill="E7EDF3"/>
          </w:tcPr>
          <w:p>
            <w:pPr>
              <w:pStyle w:val="Compact"/>
              <w:keepNext w:val="0"/>
              <w:spacing w:after="40" w:before="40" w:line="264" w:lineRule="auto"/>
              <w:jc w:val="left"/>
            </w:pPr>
            <w:r>
              <w:rPr>
                <w:b/>
                <w:color w:val="000000"/>
                <w:sz w:val="19"/>
              </w:rPr>
              <w:t xml:space="preserve">内容</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分割・反復</w:t>
            </w:r>
          </w:p>
        </w:tc>
        <w:tc>
          <w:tcPr>
            <w:tcW w:type="dxa" w:w="7497"/>
            <w:vAlign w:val="center"/>
            <w:shd w:fill="FFFFFF"/>
          </w:tcPr>
          <w:p>
            <w:pPr>
              <w:pStyle w:val="Compact"/>
              <w:keepNext w:val="0"/>
              <w:spacing w:after="40" w:before="40" w:line="264" w:lineRule="auto"/>
              <w:jc w:val="left"/>
            </w:pPr>
            <w:r>
              <w:rPr>
                <w:color w:val="000000"/>
                <w:sz w:val="19"/>
              </w:rPr>
              <w:t xml:space="preserve">各データ80%／20%、三Copula、候補異常数はテスト数と同じ、100回。端数処理と実インデックスは未記載</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選択</w:t>
            </w:r>
          </w:p>
        </w:tc>
        <w:tc>
          <w:tcPr>
            <w:tcW w:type="dxa" w:w="7497"/>
            <w:vAlign w:val="center"/>
            <w:shd w:fill="F7F8FA"/>
          </w:tcPr>
          <w:p>
            <w:pPr>
              <w:pStyle w:val="Compact"/>
              <w:keepNext w:val="0"/>
              <w:spacing w:after="40" w:before="40" w:line="264" w:lineRule="auto"/>
              <w:jc w:val="left"/>
            </w:pPr>
            <w:r>
              <w:rPr>
                <w:color w:val="000000"/>
                <w:sz w:val="19"/>
              </w:rPr>
              <w:t xml:space="preserve">Cox-score前処理、boosting上位10%の摂動対象、OutProのVarProは別工程</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ID/OOD真値</w:t>
            </w:r>
          </w:p>
        </w:tc>
        <w:tc>
          <w:tcPr>
            <w:tcW w:type="dxa" w:w="7497"/>
            <w:vAlign w:val="center"/>
            <w:shd w:fill="FFFFFF"/>
          </w:tcPr>
          <w:p>
            <w:pPr>
              <w:pStyle w:val="Compact"/>
              <w:keepNext w:val="0"/>
              <w:spacing w:after="40" w:before="40" w:line="264" w:lineRule="auto"/>
              <w:jc w:val="left"/>
            </w:pPr>
            <w:r>
              <w:rPr>
                <w:color w:val="000000"/>
                <w:sz w:val="19"/>
              </w:rPr>
              <w:t xml:space="preserve">実験生成器が付ける。生存ラベルと異なる</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割合・配置</w:t>
            </w:r>
          </w:p>
        </w:tc>
        <w:tc>
          <w:tcPr>
            <w:tcW w:type="dxa" w:w="7497"/>
            <w:vAlign w:val="center"/>
            <w:shd w:fill="F7F8FA"/>
          </w:tcPr>
          <w:p>
            <w:pPr>
              <w:pStyle w:val="Compact"/>
              <w:keepNext w:val="0"/>
              <w:spacing w:after="40" w:before="40" w:line="264" w:lineRule="auto"/>
              <w:jc w:val="left"/>
            </w:pPr>
            <w:r>
              <w:rPr>
                <w:color w:val="000000"/>
                <w:sz w:val="19"/>
              </w:rPr>
              <w:t xml:space="preserve">joint/support概ね平衡、warp正例率不明。学習に注入OODを使わない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時間特性</w:t>
            </w:r>
          </w:p>
        </w:tc>
        <w:tc>
          <w:tcPr>
            <w:tcW w:type="dxa" w:w="7497"/>
            <w:vAlign w:val="center"/>
            <w:shd w:fill="FFFFFF"/>
          </w:tcPr>
          <w:p>
            <w:pPr>
              <w:pStyle w:val="Compact"/>
              <w:keepNext w:val="0"/>
              <w:spacing w:after="40" w:before="40" w:line="264" w:lineRule="auto"/>
              <w:jc w:val="left"/>
            </w:pPr>
            <w:r>
              <w:rPr>
                <w:color w:val="000000"/>
                <w:sz w:val="19"/>
              </w:rPr>
              <w:t xml:space="preserve">患者単位発現ベクトルで、複数時点発現系列の入力とは記載されない。追跡時間は出力。取得期間・頻度・窓は未報告／非該当</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作成者分類</w:t>
            </w:r>
          </w:p>
        </w:tc>
        <w:tc>
          <w:tcPr>
            <w:tcW w:type="dxa" w:w="7497"/>
            <w:vAlign w:val="center"/>
            <w:shd w:fill="F7F8FA"/>
          </w:tcPr>
          <w:p>
            <w:pPr>
              <w:pStyle w:val="Compact"/>
              <w:keepNext w:val="0"/>
              <w:spacing w:after="40" w:before="40" w:line="264" w:lineRule="auto"/>
              <w:jc w:val="left"/>
            </w:pPr>
            <w:r>
              <w:rPr>
                <w:color w:val="000000"/>
                <w:sz w:val="19"/>
              </w:rPr>
              <w:t xml:space="preserve">元研究は疾患・予後・分子群の研究。全群定義は本論文に未掲載で、OOD真値にはできない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異常分類</w:t>
            </w:r>
          </w:p>
        </w:tc>
        <w:tc>
          <w:tcPr>
            <w:tcW w:type="dxa" w:w="7497"/>
            <w:vAlign w:val="center"/>
            <w:shd w:fill="FFFFFF"/>
          </w:tcPr>
          <w:p>
            <w:pPr>
              <w:pStyle w:val="Compact"/>
              <w:keepNext w:val="0"/>
              <w:spacing w:after="40" w:before="40" w:line="264" w:lineRule="auto"/>
              <w:jc w:val="left"/>
            </w:pPr>
            <w:r>
              <w:rPr>
                <w:color w:val="000000"/>
                <w:sz w:val="19"/>
              </w:rPr>
              <w:t xml:space="preserve">PMLBと同じ①／低密度関連②／③。評価単位は主にPoint Anomaly</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高次元制約</w:t>
            </w:r>
          </w:p>
        </w:tc>
        <w:tc>
          <w:tcPr>
            <w:tcW w:type="dxa" w:w="7497"/>
            <w:vAlign w:val="center"/>
            <w:shd w:fill="F7F8FA"/>
          </w:tcPr>
          <w:p>
            <w:pPr>
              <w:pStyle w:val="Compact"/>
              <w:keepNext w:val="0"/>
              <w:spacing w:after="40" w:before="40" w:line="264" w:lineRule="auto"/>
              <w:jc w:val="left"/>
            </w:pPr>
            <w:r>
              <w:rPr>
                <w:color w:val="000000"/>
                <w:sz w:val="19"/>
              </w:rPr>
              <w:t xml:space="preserve">全空間共分散が特異なため全体Mahalanobis基線を省略。選択部分空間でも可逆性は要確認</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データ漏洩の確認点</w:t>
            </w:r>
          </w:p>
        </w:tc>
        <w:tc>
          <w:tcPr>
            <w:tcW w:type="dxa" w:w="7497"/>
            <w:vAlign w:val="center"/>
            <w:shd w:fill="FFFFFF"/>
          </w:tcPr>
          <w:p>
            <w:pPr>
              <w:pStyle w:val="Compact"/>
              <w:keepNext w:val="0"/>
              <w:spacing w:after="40" w:before="40" w:line="264" w:lineRule="auto"/>
              <w:jc w:val="left"/>
            </w:pPr>
            <w:r>
              <w:rPr>
                <w:color w:val="000000"/>
                <w:sz w:val="19"/>
              </w:rPr>
              <w:t xml:space="preserve">擬似応答作成・Cox選択が各学習分割内か不明。OOBだけでは独立テスト分離の代替にならない。確認事項であり漏洩断定ではない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再現不足</w:t>
            </w:r>
          </w:p>
        </w:tc>
        <w:tc>
          <w:tcPr>
            <w:tcW w:type="dxa" w:w="7497"/>
            <w:vAlign w:val="center"/>
            <w:shd w:fill="F7F8FA"/>
          </w:tcPr>
          <w:p>
            <w:pPr>
              <w:pStyle w:val="Compact"/>
              <w:keepNext w:val="0"/>
              <w:spacing w:after="40" w:before="40" w:line="264" w:lineRule="auto"/>
              <w:jc w:val="left"/>
            </w:pPr>
            <w:r>
              <w:rPr>
                <w:color w:val="000000"/>
                <w:sz w:val="19"/>
              </w:rPr>
              <w:t xml:space="preserve">加工行列、遺伝子ID、選択閾値、症例対応、乱数種、処理版が完全にはない</w:t>
            </w:r>
          </w:p>
        </w:tc>
      </w:tr>
    </w:tbl>
    <w:p>
      <w:pPr>
        <w:pStyle w:val="BodyText"/>
        <w:widowControl/>
      </w:pPr>
      <w:r>
        <w:rPr>
          <w:bCs/>
          <w:b/>
        </w:rPr>
        <w:t xml:space="preserve">公開性・取得・許諾の個別記録。</w:t>
      </w:r>
      <w:r>
        <w:t xml:space="preserve"> </w:t>
      </w:r>
      <w:r>
        <w:t xml:space="preserve">原研究関連の入口であり、表4の加工版そのものと保証しない。</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データ</w:t>
            </w:r>
          </w:p>
        </w:tc>
        <w:tc>
          <w:tcPr>
            <w:tcW w:type="dxa" w:w="3946"/>
            <w:vAlign w:val="center"/>
            <w:shd w:fill="E7EDF3"/>
          </w:tcPr>
          <w:p>
            <w:pPr>
              <w:pStyle w:val="Compact"/>
              <w:keepNext w:val="0"/>
              <w:spacing w:after="40" w:before="40" w:line="264" w:lineRule="auto"/>
              <w:jc w:val="left"/>
            </w:pPr>
            <w:r>
              <w:rPr>
                <w:b/>
                <w:color w:val="000000"/>
                <w:sz w:val="19"/>
              </w:rPr>
              <w:t xml:space="preserve">確認した入口</w:t>
            </w:r>
          </w:p>
        </w:tc>
        <w:tc>
          <w:tcPr>
            <w:tcW w:type="dxa" w:w="3749"/>
            <w:vAlign w:val="center"/>
            <w:shd w:fill="E7EDF3"/>
          </w:tcPr>
          <w:p>
            <w:pPr>
              <w:pStyle w:val="Compact"/>
              <w:keepNext w:val="0"/>
              <w:spacing w:after="40" w:before="40" w:line="264" w:lineRule="auto"/>
              <w:jc w:val="left"/>
            </w:pPr>
            <w:r>
              <w:rPr>
                <w:b/>
                <w:color w:val="000000"/>
                <w:sz w:val="19"/>
              </w:rPr>
              <w:t xml:space="preserve">利用・一致状況</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AML</w:t>
            </w:r>
          </w:p>
        </w:tc>
        <w:tc>
          <w:tcPr>
            <w:tcW w:type="dxa" w:w="3946"/>
            <w:vAlign w:val="center"/>
            <w:shd w:fill="FFFFFF"/>
          </w:tcPr>
          <w:p>
            <w:pPr>
              <w:pStyle w:val="Compact"/>
              <w:keepNext w:val="0"/>
              <w:spacing w:after="40" w:before="40" w:line="264" w:lineRule="auto"/>
              <w:jc w:val="left"/>
            </w:pPr>
            <w:hyperlink r:id="rId51">
              <w:r>
                <w:rPr>
                  <w:rStyle w:val="Hyperlink"/>
                </w:rPr>
                <w:t xml:space="preserve">GEO GSE425</w:t>
              </w:r>
            </w:hyperlink>
            <w:r>
              <w:rPr>
                <w:color w:val="000000"/>
                <w:sz w:val="19"/>
              </w:rPr>
              <w:t xml:space="preserve">、系列・標本データ</w:t>
            </w:r>
          </w:p>
        </w:tc>
        <w:tc>
          <w:tcPr>
            <w:tcW w:type="dxa" w:w="3749"/>
            <w:vAlign w:val="center"/>
            <w:shd w:fill="FFFFFF"/>
          </w:tcPr>
          <w:p>
            <w:pPr>
              <w:pStyle w:val="Compact"/>
              <w:keepNext w:val="0"/>
              <w:spacing w:after="40" w:before="40" w:line="264" w:lineRule="auto"/>
              <w:jc w:val="left"/>
            </w:pPr>
            <w:r>
              <w:rPr>
                <w:color w:val="000000"/>
                <w:sz w:val="19"/>
              </w:rPr>
              <w:t xml:space="preserve">原研究関連公開資料。116×629加工版と専用ライセンスは未確認</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Breast Cancer</w:t>
            </w:r>
          </w:p>
        </w:tc>
        <w:tc>
          <w:tcPr>
            <w:tcW w:type="dxa" w:w="3946"/>
            <w:vAlign w:val="center"/>
            <w:shd w:fill="F7F8FA"/>
          </w:tcPr>
          <w:p>
            <w:pPr>
              <w:pStyle w:val="Compact"/>
              <w:keepNext w:val="0"/>
              <w:spacing w:after="40" w:before="40" w:line="264" w:lineRule="auto"/>
              <w:jc w:val="left"/>
            </w:pPr>
            <w:hyperlink r:id="rId52">
              <w:r>
                <w:rPr>
                  <w:rStyle w:val="Hyperlink"/>
                </w:rPr>
                <w:t xml:space="preserve">seventyGeneData公式手冊</w:t>
              </w:r>
            </w:hyperlink>
            <w:r>
              <w:rPr>
                <w:color w:val="000000"/>
                <w:sz w:val="19"/>
              </w:rPr>
              <w:t xml:space="preserve">、vantVeer</w:t>
            </w:r>
          </w:p>
        </w:tc>
        <w:tc>
          <w:tcPr>
            <w:tcW w:type="dxa" w:w="3749"/>
            <w:vAlign w:val="center"/>
            <w:shd w:fill="F7F8FA"/>
          </w:tcPr>
          <w:p>
            <w:pPr>
              <w:pStyle w:val="Compact"/>
              <w:keepNext w:val="0"/>
              <w:spacing w:after="40" w:before="40" w:line="264" w:lineRule="auto"/>
              <w:jc w:val="left"/>
            </w:pPr>
            <w:r>
              <w:rPr>
                <w:color w:val="000000"/>
                <w:sz w:val="19"/>
              </w:rPr>
              <w:t xml:space="preserve">手冊はArtistic-2.0表示。関連パッケージの条件であり、78×475加工版一致の確認ではない。元オブジェクトはより多い症例</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DLBCL</w:t>
            </w:r>
          </w:p>
        </w:tc>
        <w:tc>
          <w:tcPr>
            <w:tcW w:type="dxa" w:w="3946"/>
            <w:vAlign w:val="center"/>
            <w:shd w:fill="FFFFFF"/>
          </w:tcPr>
          <w:p>
            <w:pPr>
              <w:pStyle w:val="Compact"/>
              <w:keepNext w:val="0"/>
              <w:spacing w:after="40" w:before="40" w:line="264" w:lineRule="auto"/>
              <w:jc w:val="left"/>
            </w:pPr>
            <w:hyperlink r:id="rId53">
              <w:r>
                <w:rPr>
                  <w:rStyle w:val="Hyperlink"/>
                </w:rPr>
                <w:t xml:space="preserve">NCI LLMPP</w:t>
              </w:r>
            </w:hyperlink>
          </w:p>
        </w:tc>
        <w:tc>
          <w:tcPr>
            <w:tcW w:type="dxa" w:w="3749"/>
            <w:vAlign w:val="center"/>
            <w:shd w:fill="FFFFFF"/>
          </w:tcPr>
          <w:p>
            <w:pPr>
              <w:pStyle w:val="Compact"/>
              <w:keepNext w:val="0"/>
              <w:spacing w:after="40" w:before="40" w:line="264" w:lineRule="auto"/>
              <w:jc w:val="left"/>
            </w:pPr>
            <w:r>
              <w:rPr>
                <w:color w:val="000000"/>
                <w:sz w:val="19"/>
              </w:rPr>
              <w:t xml:space="preserve">原研究を追跡可能。加工版とデータ単独条件は未確認</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Lung Cancer</w:t>
            </w:r>
          </w:p>
        </w:tc>
        <w:tc>
          <w:tcPr>
            <w:tcW w:type="dxa" w:w="3946"/>
            <w:vAlign w:val="center"/>
            <w:shd w:fill="F7F8FA"/>
          </w:tcPr>
          <w:p>
            <w:pPr>
              <w:pStyle w:val="Compact"/>
              <w:keepNext w:val="0"/>
              <w:spacing w:after="40" w:before="40" w:line="264" w:lineRule="auto"/>
              <w:jc w:val="left"/>
            </w:pPr>
            <w:r>
              <w:rPr>
                <w:color w:val="000000"/>
                <w:sz w:val="19"/>
              </w:rPr>
              <w:t xml:space="preserve">文献69、Beer他(2002)、Gene-expression profiles predict survival of patients with lung adenocarcinoma</w:t>
            </w:r>
          </w:p>
        </w:tc>
        <w:tc>
          <w:tcPr>
            <w:tcW w:type="dxa" w:w="3749"/>
            <w:vAlign w:val="center"/>
            <w:shd w:fill="F7F8FA"/>
          </w:tcPr>
          <w:p>
            <w:pPr>
              <w:pStyle w:val="Compact"/>
              <w:keepNext w:val="0"/>
              <w:spacing w:after="40" w:before="40" w:line="264" w:lineRule="auto"/>
              <w:jc w:val="left"/>
            </w:pPr>
            <w:r>
              <w:rPr>
                <w:color w:val="000000"/>
                <w:sz w:val="19"/>
              </w:rPr>
              <w:t xml:space="preserve">86×713加工版を直接取得できる入口は本調査で確認できず。他の肺癌隊列で代替しない</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MCL</w:t>
            </w:r>
          </w:p>
        </w:tc>
        <w:tc>
          <w:tcPr>
            <w:tcW w:type="dxa" w:w="3946"/>
            <w:vAlign w:val="center"/>
            <w:shd w:fill="FFFFFF"/>
          </w:tcPr>
          <w:p>
            <w:pPr>
              <w:pStyle w:val="Compact"/>
              <w:keepNext w:val="0"/>
              <w:spacing w:after="40" w:before="40" w:line="264" w:lineRule="auto"/>
              <w:jc w:val="left"/>
            </w:pPr>
            <w:hyperlink r:id="rId54">
              <w:r>
                <w:rPr>
                  <w:rStyle w:val="Hyperlink"/>
                </w:rPr>
                <w:t xml:space="preserve">NCI LLMPP MCL</w:t>
              </w:r>
            </w:hyperlink>
            <w:r>
              <w:rPr>
                <w:color w:val="000000"/>
                <w:sz w:val="19"/>
              </w:rPr>
              <w:t xml:space="preserve">、生存・発現データのリンク</w:t>
            </w:r>
          </w:p>
        </w:tc>
        <w:tc>
          <w:tcPr>
            <w:tcW w:type="dxa" w:w="3749"/>
            <w:vAlign w:val="center"/>
            <w:shd w:fill="FFFFFF"/>
          </w:tcPr>
          <w:p>
            <w:pPr>
              <w:pStyle w:val="Compact"/>
              <w:keepNext w:val="0"/>
              <w:spacing w:after="40" w:before="40" w:line="264" w:lineRule="auto"/>
              <w:jc w:val="left"/>
            </w:pPr>
            <w:r>
              <w:rPr>
                <w:color w:val="000000"/>
                <w:sz w:val="19"/>
              </w:rPr>
              <w:t xml:space="preserve">元研究公開入口。92×881加工版と個別ライセンスは未確認</w:t>
            </w:r>
          </w:p>
        </w:tc>
      </w:tr>
    </w:tbl>
    <w:bookmarkEnd w:id="55"/>
    <w:bookmarkStart w:id="56" w:name="データカードdwecc食道腺癌"/>
    <w:p>
      <w:pPr>
        <w:pStyle w:val="Heading3"/>
        <w:widowControl/>
      </w:pPr>
      <w:r>
        <w:rPr>
          <w:color w:val="000000"/>
        </w:rPr>
        <w:t xml:space="preserve">6.5 データカードD：WECC食道腺癌</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内容</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規模</w:t>
            </w:r>
          </w:p>
        </w:tc>
        <w:tc>
          <w:tcPr>
            <w:tcW w:type="dxa" w:w="7497"/>
            <w:vAlign w:val="center"/>
            <w:shd w:fill="FFFFFF"/>
          </w:tcPr>
          <w:p>
            <w:pPr>
              <w:pStyle w:val="Compact"/>
              <w:keepNext w:val="0"/>
              <w:spacing w:after="40" w:before="40" w:line="264" w:lineRule="auto"/>
              <w:jc w:val="left"/>
            </w:pPr>
            <w:r>
              <w:rPr>
                <w:color w:val="000000"/>
                <w:sz w:val="19"/>
              </w:rPr>
              <w:t xml:space="preserve">6142例×35変数、214,970入力欄相当。全て連続・非欠測値との意味ではない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入力</w:t>
            </w:r>
          </w:p>
        </w:tc>
        <w:tc>
          <w:tcPr>
            <w:tcW w:type="dxa" w:w="7497"/>
            <w:vAlign w:val="center"/>
            <w:shd w:fill="F7F8FA"/>
          </w:tcPr>
          <w:p>
            <w:pPr>
              <w:pStyle w:val="Compact"/>
              <w:keepNext w:val="0"/>
              <w:spacing w:after="40" w:before="40" w:line="264" w:lineRule="auto"/>
              <w:jc w:val="left"/>
            </w:pPr>
            <w:r>
              <w:rPr>
                <w:color w:val="000000"/>
                <w:sz w:val="19"/>
              </w:rPr>
              <w:t xml:space="preserve">pTNM、切除・陽性リンパ節数、組織学的分化度、腫瘍部位・長さ、遺残癌、人口統計など。35項目全辞書はない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出力</w:t>
            </w:r>
          </w:p>
        </w:tc>
        <w:tc>
          <w:tcPr>
            <w:tcW w:type="dxa" w:w="7497"/>
            <w:vAlign w:val="center"/>
            <w:shd w:fill="FFFFFF"/>
          </w:tcPr>
          <w:p>
            <w:pPr>
              <w:pStyle w:val="Compact"/>
              <w:keepNext w:val="0"/>
              <w:spacing w:after="40" w:before="40" w:line="264" w:lineRule="auto"/>
              <w:jc w:val="left"/>
            </w:pPr>
            <w:r>
              <w:rPr>
                <w:color w:val="000000"/>
                <w:sz w:val="19"/>
              </w:rPr>
              <w:t xml:space="preserve">全死亡の右打切り生存結果、RSFの5年生存予測</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分割</w:t>
            </w:r>
          </w:p>
        </w:tc>
        <w:tc>
          <w:tcPr>
            <w:tcW w:type="dxa" w:w="7497"/>
            <w:vAlign w:val="center"/>
            <w:shd w:fill="F7F8FA"/>
          </w:tcPr>
          <w:p>
            <w:pPr>
              <w:pStyle w:val="Compact"/>
              <w:keepNext w:val="0"/>
              <w:spacing w:after="40" w:before="40" w:line="264" w:lineRule="auto"/>
              <w:jc w:val="left"/>
            </w:pPr>
            <w:r>
              <w:rPr>
                <w:color w:val="000000"/>
                <w:sz w:val="19"/>
              </w:rPr>
              <w:t xml:space="preserve">閾値0–30の31場面。pT3–4・陽性・切除数≥閾値をテスト、残り学習。80/20ではない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数と割合</w:t>
            </w:r>
          </w:p>
        </w:tc>
        <w:tc>
          <w:tcPr>
            <w:tcW w:type="dxa" w:w="7497"/>
            <w:vAlign w:val="center"/>
            <w:shd w:fill="FFFFFF"/>
          </w:tcPr>
          <w:p>
            <w:pPr>
              <w:pStyle w:val="Compact"/>
              <w:keepNext w:val="0"/>
              <w:spacing w:after="40" w:before="40" w:line="264" w:lineRule="auto"/>
              <w:jc w:val="left"/>
            </w:pPr>
            <w:r>
              <w:rPr>
                <w:color w:val="000000"/>
                <w:sz w:val="19"/>
              </w:rPr>
              <w:t xml:space="preserve">場面ごとの学習・テスト数、各群のOOD率は未報告、固定でない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真値</w:t>
            </w:r>
          </w:p>
        </w:tc>
        <w:tc>
          <w:tcPr>
            <w:tcW w:type="dxa" w:w="7497"/>
            <w:vAlign w:val="center"/>
            <w:shd w:fill="F7F8FA"/>
          </w:tcPr>
          <w:p>
            <w:pPr>
              <w:pStyle w:val="Compact"/>
              <w:keepNext w:val="0"/>
              <w:spacing w:after="40" w:before="40" w:line="264" w:lineRule="auto"/>
              <w:jc w:val="left"/>
            </w:pPr>
            <w:r>
              <w:rPr>
                <w:color w:val="000000"/>
                <w:sz w:val="19"/>
              </w:rPr>
              <w:t xml:space="preserve">臨床結果はOOD真値ではない。集団保留による相対評価</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分類</w:t>
            </w:r>
          </w:p>
        </w:tc>
        <w:tc>
          <w:tcPr>
            <w:tcW w:type="dxa" w:w="7497"/>
            <w:vAlign w:val="center"/>
            <w:shd w:fill="FFFFFF"/>
          </w:tcPr>
          <w:p>
            <w:pPr>
              <w:pStyle w:val="Compact"/>
              <w:keepNext w:val="0"/>
              <w:spacing w:after="40" w:before="40" w:line="264" w:lineRule="auto"/>
              <w:jc w:val="left"/>
            </w:pPr>
            <w:r>
              <w:rPr>
                <w:color w:val="000000"/>
                <w:sz w:val="19"/>
              </w:rPr>
              <w:t xml:space="preserve">pTNM病理分類と、陽性節1–2／3–6／7以上、郭清閾値で層別</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①②③</w:t>
            </w:r>
          </w:p>
        </w:tc>
        <w:tc>
          <w:tcPr>
            <w:tcW w:type="dxa" w:w="7497"/>
            <w:vAlign w:val="center"/>
            <w:shd w:fill="F7F8FA"/>
          </w:tcPr>
          <w:p>
            <w:pPr>
              <w:pStyle w:val="Compact"/>
              <w:keepNext w:val="0"/>
              <w:spacing w:after="40" w:before="40" w:line="264" w:lineRule="auto"/>
              <w:jc w:val="left"/>
            </w:pPr>
            <w:r>
              <w:rPr>
                <w:color w:val="000000"/>
                <w:sz w:val="19"/>
              </w:rPr>
              <w:t xml:space="preserve">条件付き集団保留で組合せ・支持不足が生じ得るため②③に関連。各点の範囲外は不明</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一般異常</w:t>
            </w:r>
          </w:p>
        </w:tc>
        <w:tc>
          <w:tcPr>
            <w:tcW w:type="dxa" w:w="7497"/>
            <w:vAlign w:val="center"/>
            <w:shd w:fill="FFFFFF"/>
          </w:tcPr>
          <w:p>
            <w:pPr>
              <w:pStyle w:val="Compact"/>
              <w:keepNext w:val="0"/>
              <w:spacing w:after="40" w:before="40" w:line="264" w:lineRule="auto"/>
              <w:jc w:val="left"/>
            </w:pPr>
            <w:r>
              <w:rPr>
                <w:color w:val="000000"/>
                <w:sz w:val="19"/>
              </w:rPr>
              <w:t xml:space="preserve">患者別スコアと集団平均。Collective Anomaly検出法ではない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時間特性</w:t>
            </w:r>
          </w:p>
        </w:tc>
        <w:tc>
          <w:tcPr>
            <w:tcW w:type="dxa" w:w="7497"/>
            <w:vAlign w:val="center"/>
            <w:shd w:fill="F7F8FA"/>
          </w:tcPr>
          <w:p>
            <w:pPr>
              <w:pStyle w:val="Compact"/>
              <w:keepNext w:val="0"/>
              <w:spacing w:after="40" w:before="40" w:line="264" w:lineRule="auto"/>
              <w:jc w:val="left"/>
            </w:pPr>
            <w:r>
              <w:rPr>
                <w:color w:val="000000"/>
                <w:sz w:val="19"/>
              </w:rPr>
              <w:t xml:space="preserve">臨床表と生存追跡。入力粒度、収集期間、複数時刻窓は未報告。センサ滑動窓ではない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公開・取得・許諾</w:t>
            </w:r>
          </w:p>
        </w:tc>
        <w:tc>
          <w:tcPr>
            <w:tcW w:type="dxa" w:w="7497"/>
            <w:vAlign w:val="center"/>
            <w:shd w:fill="FFFFFF"/>
          </w:tcPr>
          <w:p>
            <w:pPr>
              <w:pStyle w:val="Compact"/>
              <w:keepNext w:val="0"/>
              <w:spacing w:after="40" w:before="40" w:line="264" w:lineRule="auto"/>
              <w:jc w:val="left"/>
            </w:pPr>
            <w:r>
              <w:rPr>
                <w:color w:val="000000"/>
                <w:sz w:val="19"/>
              </w:rPr>
              <w:t xml:space="preserve">p.26で非公開と明記。公開ダウンロードなし、利用には保有者への確認と許諾が必要。具体条件は未記載</w:t>
            </w:r>
          </w:p>
        </w:tc>
      </w:tr>
    </w:tbl>
    <w:bookmarkEnd w:id="56"/>
    <w:bookmarkStart w:id="57" w:name="本研究の三分類と一般異常分類"/>
    <w:p>
      <w:pPr>
        <w:pStyle w:val="Heading3"/>
        <w:widowControl/>
      </w:pPr>
      <w:r>
        <w:rPr>
          <w:color w:val="000000"/>
        </w:rPr>
        <w:t xml:space="preserve">6.6 本研究の三分類と一般異常分類</w:t>
      </w:r>
    </w:p>
    <w:p>
      <w:pPr>
        <w:pStyle w:val="FirstParagraph"/>
        <w:widowControl/>
      </w:pPr>
      <w:r>
        <w:t xml:space="preserve">①②③は相互排他的とは限らない。周辺範囲内でも結合分布外になり、組合せ異常は結合低密度にもなる。また低密度だけでモデルの学習不足を証明できず、誤差や被覆の確認が必要である。</w:t>
      </w:r>
    </w:p>
    <w:p>
      <w:pPr>
        <w:pStyle w:val="BodyText"/>
        <w:widowControl/>
      </w:pPr>
      <w:r>
        <w:t xml:space="preserve">Point Anomalyの一つの点は多変量ベクトルでもよい。Contextual Anomalyでは季節・工況・過去などの文脈を指定し、Collective Anomalyでは個々の値ではなく連続区間や集合の不自然さを定める。本論文は後二者を個別に生成・検証していない。</w:t>
      </w:r>
    </w:p>
    <w:bookmarkEnd w:id="57"/>
    <w:bookmarkEnd w:id="58"/>
    <w:bookmarkStart w:id="64" w:name="長短適用条件社会インフラへの適用性"/>
    <w:p>
      <w:pPr>
        <w:pStyle w:val="Heading2"/>
        <w:widowControl/>
      </w:pPr>
      <w:r>
        <w:rPr>
          <w:color w:val="000000"/>
        </w:rPr>
        <w:t xml:space="preserve">7. 長短、適用条件、社会インフラへの適用性</w:t>
      </w:r>
    </w:p>
    <w:bookmarkStart w:id="59" w:name="長所と短所"/>
    <w:p>
      <w:pPr>
        <w:pStyle w:val="Heading3"/>
        <w:widowControl/>
      </w:pPr>
      <w:r>
        <w:rPr>
          <w:color w:val="000000"/>
        </w:rPr>
        <w:t xml:space="preserve">7.1 長所と短所</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長所</w:t>
            </w:r>
          </w:p>
        </w:tc>
        <w:tc>
          <w:tcPr>
            <w:tcW w:type="dxa" w:w="7497"/>
            <w:vAlign w:val="center"/>
            <w:shd w:fill="E7EDF3"/>
          </w:tcPr>
          <w:p>
            <w:pPr>
              <w:pStyle w:val="Compact"/>
              <w:keepNext w:val="0"/>
              <w:spacing w:after="40" w:before="40" w:line="264" w:lineRule="auto"/>
              <w:jc w:val="left"/>
            </w:pPr>
            <w:r>
              <w:rPr>
                <w:b/>
                <w:color w:val="000000"/>
                <w:sz w:val="19"/>
              </w:rPr>
              <w:t xml:space="preserve">対応する短所・条件</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予測に必要な変数へ集中</w:t>
            </w:r>
          </w:p>
        </w:tc>
        <w:tc>
          <w:tcPr>
            <w:tcW w:type="dxa" w:w="7497"/>
            <w:vAlign w:val="center"/>
            <w:shd w:fill="FFFFFF"/>
          </w:tcPr>
          <w:p>
            <w:pPr>
              <w:pStyle w:val="Compact"/>
              <w:keepNext w:val="0"/>
              <w:spacing w:after="40" w:before="40" w:line="264" w:lineRule="auto"/>
              <w:jc w:val="left"/>
            </w:pPr>
            <w:r>
              <w:rPr>
                <w:color w:val="000000"/>
                <w:sz w:val="19"/>
              </w:rPr>
              <w:t xml:space="preserve">漏選択で見逃し、安全上重要でも予測寄与のない変数を捨てる可能性</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ルール参照と距離を分けて解釈可能</w:t>
            </w:r>
          </w:p>
        </w:tc>
        <w:tc>
          <w:tcPr>
            <w:tcW w:type="dxa" w:w="7497"/>
            <w:vAlign w:val="center"/>
            <w:shd w:fill="F7F8FA"/>
          </w:tcPr>
          <w:p>
            <w:pPr>
              <w:pStyle w:val="Compact"/>
              <w:keepNext w:val="0"/>
              <w:spacing w:after="40" w:before="40" w:line="264" w:lineRule="auto"/>
              <w:jc w:val="left"/>
            </w:pPr>
            <w:r>
              <w:rPr>
                <w:color w:val="000000"/>
                <w:sz w:val="19"/>
              </w:rPr>
              <w:t xml:space="preserve">モデル・参照点の保持が必要、参照類似は因果類似ではない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運用時に真の出力不要</w:t>
            </w:r>
          </w:p>
        </w:tc>
        <w:tc>
          <w:tcPr>
            <w:tcW w:type="dxa" w:w="7497"/>
            <w:vAlign w:val="center"/>
            <w:shd w:fill="FFFFFF"/>
          </w:tcPr>
          <w:p>
            <w:pPr>
              <w:pStyle w:val="Compact"/>
              <w:keepNext w:val="0"/>
              <w:spacing w:after="40" w:before="40" w:line="264" w:lineRule="auto"/>
              <w:jc w:val="left"/>
            </w:pPr>
            <w:r>
              <w:rPr>
                <w:color w:val="000000"/>
                <w:sz w:val="19"/>
              </w:rPr>
              <w:t xml:space="preserve">純粋概念ドリフト、現在の予測誤りを直接判定できない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回帰・生存に共通の考え方</w:t>
            </w:r>
          </w:p>
        </w:tc>
        <w:tc>
          <w:tcPr>
            <w:tcW w:type="dxa" w:w="7497"/>
            <w:vAlign w:val="center"/>
            <w:shd w:fill="F7F8FA"/>
          </w:tcPr>
          <w:p>
            <w:pPr>
              <w:pStyle w:val="Compact"/>
              <w:keepNext w:val="0"/>
              <w:spacing w:after="40" w:before="40" w:line="264" w:lineRule="auto"/>
              <w:jc w:val="left"/>
            </w:pPr>
            <w:r>
              <w:rPr>
                <w:color w:val="000000"/>
                <w:sz w:val="19"/>
              </w:rPr>
              <w:t xml:space="preserve">任意のブラックボックスへのそのままの追加機能ではない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joint人工異常で複数の実験根拠</w:t>
            </w:r>
          </w:p>
        </w:tc>
        <w:tc>
          <w:tcPr>
            <w:tcW w:type="dxa" w:w="7497"/>
            <w:vAlign w:val="center"/>
            <w:shd w:fill="FFFFFF"/>
          </w:tcPr>
          <w:p>
            <w:pPr>
              <w:pStyle w:val="Compact"/>
              <w:keepNext w:val="0"/>
              <w:spacing w:after="40" w:before="40" w:line="264" w:lineRule="auto"/>
              <w:jc w:val="left"/>
            </w:pPr>
            <w:r>
              <w:rPr>
                <w:color w:val="000000"/>
                <w:sz w:val="19"/>
              </w:rPr>
              <w:t xml:space="preserve">boosting重要変数に集中した生成条件。現実故障や無関係変化の検証は不足</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距離を選択可能</w:t>
            </w:r>
          </w:p>
        </w:tc>
        <w:tc>
          <w:tcPr>
            <w:tcW w:type="dxa" w:w="7497"/>
            <w:vAlign w:val="center"/>
            <w:shd w:fill="F7F8FA"/>
          </w:tcPr>
          <w:p>
            <w:pPr>
              <w:pStyle w:val="Compact"/>
              <w:keepNext w:val="0"/>
              <w:spacing w:after="40" w:before="40" w:line="264" w:lineRule="auto"/>
              <w:jc w:val="left"/>
            </w:pPr>
            <w:r>
              <w:rPr>
                <w:color w:val="000000"/>
                <w:sz w:val="19"/>
              </w:rPr>
              <w:t xml:space="preserve">万能距離なし。Product高次元で弱く、Mahalanobisは共分散条件あり</w:t>
            </w:r>
          </w:p>
        </w:tc>
      </w:tr>
    </w:tbl>
    <w:bookmarkEnd w:id="59"/>
    <w:bookmarkStart w:id="60" w:name="適用条件の個別回答"/>
    <w:p>
      <w:pPr>
        <w:pStyle w:val="Heading3"/>
        <w:widowControl/>
      </w:pPr>
      <w:r>
        <w:rPr>
          <w:color w:val="000000"/>
        </w:rPr>
        <w:t xml:space="preserve">7.2 適用条件の個別回答</w:t>
      </w:r>
    </w:p>
    <w:tbl>
      <w:tblPr>
        <w:tblStyle w:val="Table"/>
        <w:tblW w:type="pct" w:w="500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評価</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適用AI</w:t>
            </w:r>
          </w:p>
        </w:tc>
        <w:tc>
          <w:tcPr>
            <w:tcW w:type="dxa" w:w="7497"/>
            <w:vAlign w:val="center"/>
            <w:shd w:fill="FFFFFF"/>
          </w:tcPr>
          <w:p>
            <w:pPr>
              <w:pStyle w:val="Compact"/>
              <w:keepNext w:val="0"/>
              <w:spacing w:after="40" w:before="40" w:line="264" w:lineRule="auto"/>
              <w:jc w:val="left"/>
            </w:pPr>
            <w:r>
              <w:rPr>
                <w:color w:val="000000"/>
                <w:sz w:val="19"/>
              </w:rPr>
              <w:t xml:space="preserve">直接は教師ありフォレスト・生存フォレスト。分類も枠組上可能だが実証中心は回帰・生存</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他のAI</w:t>
            </w:r>
          </w:p>
        </w:tc>
        <w:tc>
          <w:tcPr>
            <w:tcW w:type="dxa" w:w="7497"/>
            <w:vAlign w:val="center"/>
            <w:shd w:fill="F7F8FA"/>
          </w:tcPr>
          <w:p>
            <w:pPr>
              <w:pStyle w:val="Compact"/>
              <w:keepNext w:val="0"/>
              <w:spacing w:after="40" w:before="40" w:line="264" w:lineRule="auto"/>
              <w:jc w:val="left"/>
            </w:pPr>
            <w:r>
              <w:rPr>
                <w:color w:val="000000"/>
                <w:sz w:val="19"/>
              </w:rPr>
              <w:t xml:space="preserve">同一課題の補助フォレストは構築できるが、そのmodel-aware性は補助モデルに対するもの。元NN等との一致は別途検証</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学習量</w:t>
            </w:r>
          </w:p>
        </w:tc>
        <w:tc>
          <w:tcPr>
            <w:tcW w:type="dxa" w:w="7497"/>
            <w:vAlign w:val="center"/>
            <w:shd w:fill="FFFFFF"/>
          </w:tcPr>
          <w:p>
            <w:pPr>
              <w:pStyle w:val="Compact"/>
              <w:keepNext w:val="0"/>
              <w:spacing w:after="40" w:before="40" w:line="264" w:lineRule="auto"/>
              <w:jc w:val="left"/>
            </w:pPr>
            <w:r>
              <w:rPr>
                <w:color w:val="000000"/>
                <w:sz w:val="19"/>
              </w:rPr>
              <w:t xml:space="preserve">最低必要量の式なし。最小47総標本の実験は一般の47標本で十分という保証ではない。工況被覆と有効標本量が重要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特徴</w:t>
            </w:r>
          </w:p>
        </w:tc>
        <w:tc>
          <w:tcPr>
            <w:tcW w:type="dxa" w:w="7497"/>
            <w:vAlign w:val="center"/>
            <w:shd w:fill="F7F8FA"/>
          </w:tcPr>
          <w:p>
            <w:pPr>
              <w:pStyle w:val="Compact"/>
              <w:keepNext w:val="0"/>
              <w:spacing w:after="40" w:before="40" w:line="264" w:lineRule="auto"/>
              <w:jc w:val="left"/>
            </w:pPr>
            <w:r>
              <w:rPr>
                <w:color w:val="000000"/>
                <w:sz w:val="19"/>
              </w:rPr>
              <w:t xml:space="preserve">固定列の表形式が直接的。カテゴリ、欠測、新水準、定数列、単位変更の処理を定義。連続Copulaをカテゴリへ無条件に適用不可</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実測時間</w:t>
            </w:r>
          </w:p>
        </w:tc>
        <w:tc>
          <w:tcPr>
            <w:tcW w:type="dxa" w:w="7497"/>
            <w:vAlign w:val="center"/>
            <w:shd w:fill="FFFFFF"/>
          </w:tcPr>
          <w:p>
            <w:pPr>
              <w:pStyle w:val="Compact"/>
              <w:keepNext w:val="0"/>
              <w:spacing w:after="40" w:before="40" w:line="264" w:lineRule="auto"/>
              <w:jc w:val="left"/>
            </w:pPr>
            <w:r>
              <w:rPr>
                <w:color w:val="000000"/>
                <w:sz w:val="19"/>
              </w:rPr>
              <w:t xml:space="preserve">著者はPMLB・マイクロアレイで最大でも30秒を十分下回ると記載。ハードウェア、学習／推論内訳、単点／一括の口径は十分でない</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粗い計算量</w:t>
            </w:r>
          </w:p>
        </w:tc>
        <w:tc>
          <w:tcPr>
            <w:tcW w:type="dxa" w:w="7497"/>
            <w:vAlign w:val="center"/>
            <w:shd w:fill="F7F8FA"/>
          </w:tcPr>
          <w:p>
            <w:pPr>
              <w:pStyle w:val="Compact"/>
              <w:keepNext w:val="0"/>
              <w:spacing w:after="40" w:before="40" w:line="264" w:lineRule="auto"/>
              <w:jc w:val="left"/>
            </w:pPr>
            <w:r>
              <w:rPr>
                <w:color w:val="000000"/>
                <w:sz w:val="19"/>
              </w:rPr>
              <w:t xml:space="preserve">【導出】B木、深さL、n学習点、q選択変数なら素朴な頻度計算O(nqBL)、整列O(n log n)、距離O(Kq)。キャッシュで変化するため著者の実測式ではない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Mahalanobis</w:t>
            </w:r>
          </w:p>
        </w:tc>
        <w:tc>
          <w:tcPr>
            <w:tcW w:type="dxa" w:w="7497"/>
            <w:vAlign w:val="center"/>
            <w:shd w:fill="FFFFFF"/>
          </w:tcPr>
          <w:p>
            <w:pPr>
              <w:pStyle w:val="Compact"/>
              <w:keepNext w:val="0"/>
              <w:spacing w:after="40" w:before="40" w:line="264" w:lineRule="auto"/>
              <w:jc w:val="left"/>
            </w:pPr>
            <w:r>
              <w:rPr>
                <w:color w:val="000000"/>
                <w:sz w:val="19"/>
              </w:rPr>
              <w:t xml:space="preserve">【導出】共分散分解は概ねO(q³)、各二次形式はO(q²)。前処理は学習時に可能、実装に依存</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リアルタイム</w:t>
            </w:r>
          </w:p>
        </w:tc>
        <w:tc>
          <w:tcPr>
            <w:tcW w:type="dxa" w:w="7497"/>
            <w:vAlign w:val="center"/>
            <w:shd w:fill="F7F8FA"/>
          </w:tcPr>
          <w:p>
            <w:pPr>
              <w:pStyle w:val="Compact"/>
              <w:keepNext w:val="0"/>
              <w:spacing w:after="40" w:before="40" w:line="264" w:lineRule="auto"/>
              <w:jc w:val="left"/>
            </w:pPr>
            <w:r>
              <w:rPr>
                <w:color w:val="000000"/>
                <w:sz w:val="19"/>
              </w:rPr>
              <w:t xml:space="preserve">単点P95/P99遅延、スループット、メモリ、最悪時間がない。30秒未満から秒・ミリ秒周期の適合性を断定できない</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入力のみか</w:t>
            </w:r>
          </w:p>
        </w:tc>
        <w:tc>
          <w:tcPr>
            <w:tcW w:type="dxa" w:w="7497"/>
            <w:vAlign w:val="center"/>
            <w:shd w:fill="FFFFFF"/>
          </w:tcPr>
          <w:p>
            <w:pPr>
              <w:pStyle w:val="Compact"/>
              <w:keepNext w:val="0"/>
              <w:spacing w:after="40" w:before="40" w:line="264" w:lineRule="auto"/>
              <w:jc w:val="left"/>
            </w:pPr>
            <w:r>
              <w:rPr>
                <w:color w:val="000000"/>
                <w:sz w:val="19"/>
              </w:rPr>
              <w:t xml:space="preserve">新規事例はXだけでよいが、学習Y・ルール・参照点・重み・尺度は必要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内部／出力</w:t>
            </w:r>
          </w:p>
        </w:tc>
        <w:tc>
          <w:tcPr>
            <w:tcW w:type="dxa" w:w="7497"/>
            <w:vAlign w:val="center"/>
            <w:shd w:fill="F7F8FA"/>
          </w:tcPr>
          <w:p>
            <w:pPr>
              <w:pStyle w:val="Compact"/>
              <w:keepNext w:val="0"/>
              <w:spacing w:after="40" w:before="40" w:line="264" w:lineRule="auto"/>
              <w:jc w:val="left"/>
            </w:pPr>
            <w:r>
              <w:rPr>
                <w:color w:val="000000"/>
                <w:sz w:val="19"/>
              </w:rPr>
              <w:t xml:space="preserve">検出フォレストの内部構造が必要、新規真値や予測出力は不要。ブラックボックス対象なら補助森林が必要</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更新</w:t>
            </w:r>
          </w:p>
        </w:tc>
        <w:tc>
          <w:tcPr>
            <w:tcW w:type="dxa" w:w="7497"/>
            <w:vAlign w:val="center"/>
            <w:shd w:fill="FFFFFF"/>
          </w:tcPr>
          <w:p>
            <w:pPr>
              <w:pStyle w:val="Compact"/>
              <w:keepNext w:val="0"/>
              <w:spacing w:after="40" w:before="40" w:line="264" w:lineRule="auto"/>
              <w:jc w:val="left"/>
            </w:pPr>
            <w:r>
              <w:rPr>
                <w:color w:val="000000"/>
                <w:sz w:val="19"/>
              </w:rPr>
              <w:t xml:space="preserve">モデルや選択変数が変わればスコア尺度も変わり得るため再校正が必要。オンライン更新法は未提示</w:t>
            </w:r>
          </w:p>
        </w:tc>
      </w:tr>
    </w:tbl>
    <w:bookmarkEnd w:id="60"/>
    <w:bookmarkStart w:id="61" w:name="末端圧力推定モデルへの具体的対応"/>
    <w:p>
      <w:pPr>
        <w:pStyle w:val="Heading3"/>
        <w:widowControl/>
      </w:pPr>
      <w:r>
        <w:rPr>
          <w:color w:val="000000"/>
        </w:rPr>
        <w:t xml:space="preserve">7.3 末端圧力推定モデルへの具体的対応</w:t>
      </w:r>
    </w:p>
    <w:p>
      <w:pPr>
        <w:pStyle w:val="FirstParagraph"/>
        <w:widowControl/>
      </w:pPr>
      <w:r>
        <w:t xml:space="preserve">【提案。社内モデルの事実ではない】上流圧力、流量、弁開度、ポンプ状態から末端圧力を予測する場合を考える。過去の入力と真の末端圧力で補助フォレストを作り、新工況の入力支持度を調べる。</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170"/>
        <w:gridCol w:w="3946"/>
        <w:gridCol w:w="3749"/>
      </w:tblGrid>
      <w:tr>
        <w:trPr>
          <w:cantSplit/>
          <w:tblHeader/>
        </w:trPr>
        <w:tc>
          <w:tcPr>
            <w:tcW w:type="dxa" w:w="2170"/>
            <w:vAlign w:val="center"/>
            <w:shd w:fill="E7EDF3"/>
          </w:tcPr>
          <w:p>
            <w:pPr>
              <w:pStyle w:val="Compact"/>
              <w:keepNext w:val="0"/>
              <w:spacing w:after="40" w:before="40" w:line="264" w:lineRule="auto"/>
              <w:jc w:val="left"/>
            </w:pPr>
            <w:r>
              <w:rPr>
                <w:b/>
                <w:color w:val="000000"/>
                <w:sz w:val="19"/>
              </w:rPr>
              <w:t xml:space="preserve">場面</w:t>
            </w:r>
          </w:p>
        </w:tc>
        <w:tc>
          <w:tcPr>
            <w:tcW w:type="dxa" w:w="3946"/>
            <w:vAlign w:val="center"/>
            <w:shd w:fill="E7EDF3"/>
          </w:tcPr>
          <w:p>
            <w:pPr>
              <w:pStyle w:val="Compact"/>
              <w:keepNext w:val="0"/>
              <w:spacing w:after="40" w:before="40" w:line="264" w:lineRule="auto"/>
              <w:jc w:val="left"/>
            </w:pPr>
            <w:r>
              <w:rPr>
                <w:b/>
                <w:color w:val="000000"/>
                <w:sz w:val="19"/>
              </w:rPr>
              <w:t xml:space="preserve">入力変化</w:t>
            </w:r>
          </w:p>
        </w:tc>
        <w:tc>
          <w:tcPr>
            <w:tcW w:type="dxa" w:w="3749"/>
            <w:vAlign w:val="center"/>
            <w:shd w:fill="E7EDF3"/>
          </w:tcPr>
          <w:p>
            <w:pPr>
              <w:pStyle w:val="Compact"/>
              <w:keepNext w:val="0"/>
              <w:spacing w:after="40" w:before="40" w:line="264" w:lineRule="auto"/>
              <w:jc w:val="left"/>
            </w:pPr>
            <w:r>
              <w:rPr>
                <w:b/>
                <w:color w:val="000000"/>
                <w:sz w:val="19"/>
              </w:rPr>
              <w:t xml:space="preserve">期待される役割</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過去範囲を超える流量</w:t>
            </w:r>
          </w:p>
        </w:tc>
        <w:tc>
          <w:tcPr>
            <w:tcW w:type="dxa" w:w="3946"/>
            <w:vAlign w:val="center"/>
            <w:shd w:fill="FFFFFF"/>
          </w:tcPr>
          <w:p>
            <w:pPr>
              <w:pStyle w:val="Compact"/>
              <w:keepNext w:val="0"/>
              <w:spacing w:after="40" w:before="40" w:line="264" w:lineRule="auto"/>
              <w:jc w:val="left"/>
            </w:pPr>
            <w:r>
              <w:rPr>
                <w:color w:val="000000"/>
                <w:sz w:val="19"/>
              </w:rPr>
              <w:t xml:space="preserve">①</w:t>
            </w:r>
          </w:p>
        </w:tc>
        <w:tc>
          <w:tcPr>
            <w:tcW w:type="dxa" w:w="3749"/>
            <w:vAlign w:val="center"/>
            <w:shd w:fill="FFFFFF"/>
          </w:tcPr>
          <w:p>
            <w:pPr>
              <w:pStyle w:val="Compact"/>
              <w:keepNext w:val="0"/>
              <w:spacing w:after="40" w:before="40" w:line="264" w:lineRule="auto"/>
              <w:jc w:val="left"/>
            </w:pPr>
            <w:r>
              <w:rPr>
                <w:color w:val="000000"/>
                <w:sz w:val="19"/>
              </w:rPr>
              <w:t xml:space="preserve">流量が信号集合に入り尺度が適切なら高スコアの可能性</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流量・上流圧力は各範囲内だが高流量と低圧力の組合せが稀</w:t>
            </w:r>
          </w:p>
        </w:tc>
        <w:tc>
          <w:tcPr>
            <w:tcW w:type="dxa" w:w="3946"/>
            <w:vAlign w:val="center"/>
            <w:shd w:fill="F7F8FA"/>
          </w:tcPr>
          <w:p>
            <w:pPr>
              <w:pStyle w:val="Compact"/>
              <w:keepNext w:val="0"/>
              <w:spacing w:after="40" w:before="40" w:line="264" w:lineRule="auto"/>
              <w:jc w:val="left"/>
            </w:pPr>
            <w:r>
              <w:rPr>
                <w:color w:val="000000"/>
                <w:sz w:val="19"/>
              </w:rPr>
              <w:t xml:space="preserve">③・結合低密度</w:t>
            </w:r>
          </w:p>
        </w:tc>
        <w:tc>
          <w:tcPr>
            <w:tcW w:type="dxa" w:w="3749"/>
            <w:vAlign w:val="center"/>
            <w:shd w:fill="F7F8FA"/>
          </w:tcPr>
          <w:p>
            <w:pPr>
              <w:pStyle w:val="Compact"/>
              <w:keepNext w:val="0"/>
              <w:spacing w:after="40" w:before="40" w:line="264" w:lineRule="auto"/>
              <w:jc w:val="left"/>
            </w:pPr>
            <w:r>
              <w:rPr>
                <w:color w:val="000000"/>
                <w:sz w:val="19"/>
              </w:rPr>
              <w:t xml:space="preserve">jointとの対応が強い。ただし現場検証が必要</w:t>
            </w:r>
          </w:p>
        </w:tc>
      </w:tr>
      <w:tr>
        <w:trPr>
          <w:cantSplit/>
        </w:trPr>
        <w:tc>
          <w:tcPr>
            <w:tcW w:type="dxa" w:w="2170"/>
            <w:vAlign w:val="center"/>
            <w:shd w:fill="FFFFFF"/>
          </w:tcPr>
          <w:p>
            <w:pPr>
              <w:pStyle w:val="Compact"/>
              <w:keepNext w:val="0"/>
              <w:spacing w:after="40" w:before="40" w:line="264" w:lineRule="auto"/>
              <w:jc w:val="left"/>
            </w:pPr>
            <w:r>
              <w:rPr>
                <w:color w:val="000000"/>
                <w:sz w:val="19"/>
              </w:rPr>
              <w:t xml:space="preserve">稀だが物理的に正常なポンプ切替</w:t>
            </w:r>
          </w:p>
        </w:tc>
        <w:tc>
          <w:tcPr>
            <w:tcW w:type="dxa" w:w="3946"/>
            <w:vAlign w:val="center"/>
            <w:shd w:fill="FFFFFF"/>
          </w:tcPr>
          <w:p>
            <w:pPr>
              <w:pStyle w:val="Compact"/>
              <w:keepNext w:val="0"/>
              <w:spacing w:after="40" w:before="40" w:line="264" w:lineRule="auto"/>
              <w:jc w:val="left"/>
            </w:pPr>
            <w:r>
              <w:rPr>
                <w:color w:val="000000"/>
                <w:sz w:val="19"/>
              </w:rPr>
              <w:t xml:space="preserve">②・動的関係</w:t>
            </w:r>
          </w:p>
        </w:tc>
        <w:tc>
          <w:tcPr>
            <w:tcW w:type="dxa" w:w="3749"/>
            <w:vAlign w:val="center"/>
            <w:shd w:fill="FFFFFF"/>
          </w:tcPr>
          <w:p>
            <w:pPr>
              <w:pStyle w:val="Compact"/>
              <w:keepNext w:val="0"/>
              <w:spacing w:after="40" w:before="40" w:line="264" w:lineRule="auto"/>
              <w:jc w:val="left"/>
            </w:pPr>
            <w:r>
              <w:rPr>
                <w:color w:val="000000"/>
                <w:sz w:val="19"/>
              </w:rPr>
              <w:t xml:space="preserve">警報しても故障とは限らない。モデルの未支持と物理異常を区別</w:t>
            </w:r>
          </w:p>
        </w:tc>
      </w:tr>
      <w:tr>
        <w:trPr>
          <w:cantSplit/>
        </w:trPr>
        <w:tc>
          <w:tcPr>
            <w:tcW w:type="dxa" w:w="2170"/>
            <w:vAlign w:val="center"/>
            <w:shd w:fill="F7F8FA"/>
          </w:tcPr>
          <w:p>
            <w:pPr>
              <w:pStyle w:val="Compact"/>
              <w:keepNext w:val="0"/>
              <w:spacing w:after="40" w:before="40" w:line="264" w:lineRule="auto"/>
              <w:jc w:val="left"/>
            </w:pPr>
            <w:r>
              <w:rPr>
                <w:color w:val="000000"/>
                <w:sz w:val="19"/>
              </w:rPr>
              <w:t xml:space="preserve">管内パラメータが変化し入力分布は同じだが末端圧力関係が変わる</w:t>
            </w:r>
          </w:p>
        </w:tc>
        <w:tc>
          <w:tcPr>
            <w:tcW w:type="dxa" w:w="3946"/>
            <w:vAlign w:val="center"/>
            <w:shd w:fill="F7F8FA"/>
          </w:tcPr>
          <w:p>
            <w:pPr>
              <w:pStyle w:val="Compact"/>
              <w:keepNext w:val="0"/>
              <w:spacing w:after="40" w:before="40" w:line="264" w:lineRule="auto"/>
              <w:jc w:val="left"/>
            </w:pPr>
            <w:r>
              <w:rPr>
                <w:color w:val="000000"/>
                <w:sz w:val="19"/>
              </w:rPr>
              <w:t xml:space="preserve">純粋条件機構変化</w:t>
            </w:r>
          </w:p>
        </w:tc>
        <w:tc>
          <w:tcPr>
            <w:tcW w:type="dxa" w:w="3749"/>
            <w:vAlign w:val="center"/>
            <w:shd w:fill="F7F8FA"/>
          </w:tcPr>
          <w:p>
            <w:pPr>
              <w:pStyle w:val="Compact"/>
              <w:keepNext w:val="0"/>
              <w:spacing w:after="40" w:before="40" w:line="264" w:lineRule="auto"/>
              <w:jc w:val="left"/>
            </w:pPr>
            <w:r>
              <w:rPr>
                <w:color w:val="000000"/>
                <w:sz w:val="19"/>
              </w:rPr>
              <w:t xml:space="preserve">OutProだけでは不可。出力残差などが必要</w:t>
            </w:r>
          </w:p>
        </w:tc>
      </w:tr>
    </w:tbl>
    <w:p>
      <w:pPr>
        <w:pStyle w:val="BodyText"/>
        <w:widowControl/>
      </w:pPr>
      <w:r>
        <w:t xml:space="preserve">社内モデルの実入力、周期、入力窓、出力遅延、および山原先生の論文は未提供である。静的・時系列のどちらかを断定せず、文献内容を創作しない。</w:t>
      </w:r>
    </w:p>
    <w:bookmarkEnd w:id="61"/>
    <w:bookmarkStart w:id="62" w:name="多変量数値時系列への適用条件"/>
    <w:p>
      <w:pPr>
        <w:pStyle w:val="Heading3"/>
        <w:widowControl/>
      </w:pPr>
      <w:r>
        <w:rPr>
          <w:color w:val="000000"/>
        </w:rPr>
        <w:t xml:space="preserve">7.4 多変量数値時系列への適用条件</w:t>
      </w:r>
    </w:p>
    <w:p>
      <w:pPr>
        <w:pStyle w:val="FirstParagraph"/>
        <w:widowControl/>
      </w:pPr>
      <w:r>
        <w:t xml:space="preserve">一回の入力が</w:t>
      </w:r>
      <m:oMath>
        <m:sSub>
          <m:e>
            <m:r>
              <m:t>u</m:t>
              <w:rPr>
                <w:rFonts w:ascii="Cambria Math" w:hAnsi="Cambria Math"/>
              </w:rPr>
            </m:r>
          </m:e>
          <m:sub>
            <m:r>
              <m:t>t</m:t>
              <w:rPr>
                <w:rFonts w:ascii="Cambria Math" w:hAnsi="Cambria Math"/>
              </w:rPr>
            </m:r>
          </m:sub>
        </m:sSub>
        <m:r>
          <m:rPr>
            <m:sty m:val="p"/>
          </m:rPr>
          <m:t>∈</m:t>
          <w:rPr>
            <w:rFonts w:ascii="Cambria Math" w:hAnsi="Cambria Math"/>
          </w:rPr>
        </m:r>
        <m:sSup>
          <m:e>
            <m:r>
              <m:rPr>
                <m:sty m:val="p"/>
                <m:scr m:val="double-struck"/>
              </m:rPr>
              <m:t>R</m:t>
              <w:rPr>
                <w:rFonts w:ascii="Cambria Math" w:hAnsi="Cambria Math"/>
              </w:rPr>
            </m:r>
          </m:e>
          <m:sup>
            <m:r>
              <m:t>m</m:t>
              <w:rPr>
                <w:rFonts w:ascii="Cambria Math" w:hAnsi="Cambria Math"/>
              </w:rPr>
            </m:r>
          </m:sup>
        </m:sSup>
      </m:oMath>
      <w:r>
        <w:t xml:space="preserve">なら、OutProは時刻tの変数間組合せを調べられるが、同一現在値に至る異なる履歴を区別できない。</w:t>
      </w:r>
    </w:p>
    <w:p>
      <w:pPr>
        <w:pStyle w:val="BodyText"/>
        <w:widowControl/>
      </w:pPr>
      <w:r>
        <w:t xml:space="preserve">長さLの履歴を使うなら</w:t>
      </w:r>
    </w:p>
    <w:p>
      <w:pPr>
        <w:pStyle w:val="BodyText"/>
        <w:widowControl/>
      </w:pPr>
      <m:oMathPara>
        <m:oMathParaPr>
          <m:jc m:val="center"/>
        </m:oMathParaPr>
        <m:oMath>
          <m:sSub>
            <m:e>
              <m:r>
                <m:t>x</m:t>
                <w:rPr>
                  <w:rFonts w:ascii="Cambria Math" w:hAnsi="Cambria Math"/>
                </w:rPr>
              </m:r>
            </m:e>
            <m:sub>
              <m:r>
                <m:t>t</m:t>
                <w:rPr>
                  <w:rFonts w:ascii="Cambria Math" w:hAnsi="Cambria Math"/>
                </w:rPr>
              </m:r>
            </m:sub>
          </m:sSub>
          <m:r>
            <m:rPr>
              <m:sty m:val="p"/>
            </m:rPr>
            <m:t>=</m:t>
            <w:rPr>
              <w:rFonts w:ascii="Cambria Math" w:hAnsi="Cambria Math"/>
            </w:rPr>
          </m:r>
          <m:r>
            <m:t>v</m:t>
            <w:rPr>
              <w:rFonts w:ascii="Cambria Math" w:hAnsi="Cambria Math"/>
            </w:rPr>
          </m:r>
          <m:r>
            <m:t>e</m:t>
            <w:rPr>
              <w:rFonts w:ascii="Cambria Math" w:hAnsi="Cambria Math"/>
            </w:rPr>
          </m:r>
          <m:r>
            <m:t>c</m:t>
            <w:rPr>
              <w:rFonts w:ascii="Cambria Math" w:hAnsi="Cambria Math"/>
            </w:rPr>
          </m:r>
          <m:r>
            <m:rPr>
              <m:sty m:val="p"/>
            </m:rPr>
            <m:t>(</m:t>
            <w:rPr>
              <w:rFonts w:ascii="Cambria Math" w:hAnsi="Cambria Math"/>
            </w:rPr>
          </m:r>
          <m:sSub>
            <m:e>
              <m:r>
                <m:t>u</m:t>
                <w:rPr>
                  <w:rFonts w:ascii="Cambria Math" w:hAnsi="Cambria Math"/>
                </w:rPr>
              </m:r>
            </m:e>
            <m:sub>
              <m:r>
                <m:t>t</m:t>
                <w:rPr>
                  <w:rFonts w:ascii="Cambria Math" w:hAnsi="Cambria Math"/>
                </w:rPr>
              </m:r>
              <m:r>
                <m:rPr>
                  <m:sty m:val="p"/>
                </m:rPr>
                <m:t>−</m:t>
                <w:rPr>
                  <w:rFonts w:ascii="Cambria Math" w:hAnsi="Cambria Math"/>
                </w:rPr>
              </m:r>
              <m:r>
                <m:t>L</m:t>
                <w:rPr>
                  <w:rFonts w:ascii="Cambria Math" w:hAnsi="Cambria Math"/>
                </w:rPr>
              </m:r>
              <m:r>
                <m:rPr>
                  <m:sty m:val="p"/>
                </m:rPr>
                <m:t>+</m:t>
                <w:rPr>
                  <w:rFonts w:ascii="Cambria Math" w:hAnsi="Cambria Math"/>
                </w:rPr>
              </m:r>
              <m:r>
                <m:t>1</m:t>
                <w:rPr>
                  <w:rFonts w:ascii="Cambria Math" w:hAnsi="Cambria Math"/>
                </w:rPr>
              </m:r>
            </m:sub>
          </m:sSub>
          <m:r>
            <m:rPr>
              <m:sty m:val="p"/>
            </m:rPr>
            <m:t>,</m:t>
            <w:rPr>
              <w:rFonts w:ascii="Cambria Math" w:hAnsi="Cambria Math"/>
            </w:rPr>
          </m:r>
          <m:r>
            <m:rPr>
              <m:sty m:val="p"/>
            </m:rPr>
            <m:t>…</m:t>
            <w:rPr>
              <w:rFonts w:ascii="Cambria Math" w:hAnsi="Cambria Math"/>
            </w:rPr>
          </m:r>
          <m:r>
            <m:rPr>
              <m:sty m:val="p"/>
            </m:rPr>
            <m:t>,</m:t>
            <w:rPr>
              <w:rFonts w:ascii="Cambria Math" w:hAnsi="Cambria Math"/>
            </w:rPr>
          </m:r>
          <m:sSub>
            <m:e>
              <m:r>
                <m:t>u</m:t>
                <w:rPr>
                  <w:rFonts w:ascii="Cambria Math" w:hAnsi="Cambria Math"/>
                </w:rPr>
              </m:r>
            </m:e>
            <m:sub>
              <m:r>
                <m:t>t</m:t>
                <w:rPr>
                  <w:rFonts w:ascii="Cambria Math" w:hAnsi="Cambria Math"/>
                </w:rPr>
              </m:r>
            </m:sub>
          </m:sSub>
          <m:r>
            <m:rPr>
              <m:sty m:val="p"/>
            </m:rPr>
            <m:t>)</m:t>
            <w:rPr>
              <w:rFonts w:ascii="Cambria Math" w:hAnsi="Cambria Math"/>
            </w:rPr>
          </m:r>
          <m:r>
            <m:rPr>
              <m:sty m:val="p"/>
            </m:rPr>
            <m:t>∈</m:t>
            <w:rPr>
              <w:rFonts w:ascii="Cambria Math" w:hAnsi="Cambria Math"/>
            </w:rPr>
          </m:r>
          <m:sSup>
            <m:e>
              <m:r>
                <m:rPr>
                  <m:sty m:val="p"/>
                  <m:scr m:val="double-struck"/>
                </m:rPr>
                <m:t>R</m:t>
                <w:rPr>
                  <w:rFonts w:ascii="Cambria Math" w:hAnsi="Cambria Math"/>
                </w:rPr>
              </m:r>
            </m:e>
            <m:sup>
              <m:r>
                <m:t>m</m:t>
                <w:rPr>
                  <w:rFonts w:ascii="Cambria Math" w:hAnsi="Cambria Math"/>
                </w:rPr>
              </m:r>
              <m:r>
                <m:t>L</m:t>
                <w:rPr>
                  <w:rFonts w:ascii="Cambria Math" w:hAnsi="Cambria Math"/>
                </w:rPr>
              </m:r>
            </m:sup>
          </m:sSup>
        </m:oMath>
      </m:oMathPara>
    </w:p>
    <w:p>
      <w:pPr>
        <w:pStyle w:val="FirstParagraph"/>
        <w:widowControl/>
      </w:pPr>
      <w:r>
        <w:t xml:space="preserve">または遅れ、変化率、平均などを入力にできる。L=1は現在のみ、L&gt;1は複数時刻を一度に入力する。秒数・分数は実際のモデルと動特性から決めるべきで、本論文は窓長を推奨していない。</w:t>
      </w:r>
    </w:p>
    <w:p>
      <w:pPr>
        <w:pStyle w:val="BodyText"/>
        <w:widowControl/>
      </w:pPr>
      <w:r>
        <w:t xml:space="preserve">【提案】同期・欠測処理を統一し、判断時点で入手できる過去のみを使う。時間・設備・運転段階で学習／校正／テストを分け、重複窓の跨りを避ける。選択と標準化は学習だけで行い、季節・ポンプ・弁条件を被覆する。次元と共分散、イベント単位の再現率、継続警報、検出遅延を確認する。</w:t>
      </w:r>
    </w:p>
    <w:p>
      <w:pPr>
        <w:pStyle w:val="BodyText"/>
        <w:widowControl/>
      </w:pPr>
      <w:r>
        <w:t xml:space="preserve">OutProは元来、状態遷移を持つ系列モデルではない。窓化で時間情報を含めても、本論文の性能が文脈異常・集団異常へそのまま成立するとは言えない。</w:t>
      </w:r>
    </w:p>
    <w:bookmarkEnd w:id="62"/>
    <w:bookmarkStart w:id="63" w:name="社会インフラの監視制御での役割"/>
    <w:p>
      <w:pPr>
        <w:pStyle w:val="Heading3"/>
        <w:widowControl/>
      </w:pPr>
      <w:r>
        <w:rPr>
          <w:color w:val="000000"/>
        </w:rPr>
        <w:t xml:space="preserve">7.5 社会インフラの監視・制御での役割</w:t>
      </w:r>
    </w:p>
    <w:p>
      <w:pPr>
        <w:pStyle w:val="FirstParagraph"/>
        <w:widowControl/>
      </w:pPr>
      <w:r>
        <w:t xml:space="preserve">【考察】予測モデルの</w:t>
      </w:r>
      <w:r>
        <w:rPr>
          <w:bCs/>
          <w:b/>
        </w:rPr>
        <w:t xml:space="preserve">入力支持度を監視する補助層</w:t>
      </w:r>
      <w:r>
        <w:t xml:space="preserve">として検討できる。人による確認や検証済み代替推定への移行を支援する可能性がある。本論文は自動停止、弁の閉ループ操作、安全インターロックの単独判断器として実証していない。</w:t>
      </w:r>
    </w:p>
    <w:p>
      <w:pPr>
        <w:pStyle w:val="BodyText"/>
        <w:widowControl/>
      </w:pPr>
      <w:r>
        <w:t xml:space="preserve">【提案】同じ時間分割で、単変量範囲、全空間LOF／Isolation Forest／robust kNN、VarPro＋Subspace KNN、完全OutProを比較する。範囲外、稀少正常工況、範囲内の組合せ異常を分け、入力分布不変の概念ドリフトも負の能力確認として用意する。ID誤報率、固定誤報予算での検出率、適合率、日当たり警報数、遅延、スコア別の圧力予測誤差を評価する。制御動作は別途要求に即して検証する。</w:t>
      </w:r>
    </w:p>
    <w:bookmarkEnd w:id="63"/>
    <w:bookmarkEnd w:id="64"/>
    <w:bookmarkStart w:id="70" w:name="批判的検討再現性未確認事項"/>
    <w:p>
      <w:pPr>
        <w:pStyle w:val="Heading2"/>
        <w:widowControl/>
      </w:pPr>
      <w:r>
        <w:rPr>
          <w:color w:val="000000"/>
        </w:rPr>
        <w:t xml:space="preserve">8. 批判的検討、再現性、未確認事項</w:t>
      </w:r>
    </w:p>
    <w:bookmarkStart w:id="65" w:name="指導担当者への説明で残すべき限界"/>
    <w:p>
      <w:pPr>
        <w:pStyle w:val="Heading3"/>
        <w:widowControl/>
      </w:pPr>
      <w:r>
        <w:rPr>
          <w:color w:val="000000"/>
        </w:rPr>
        <w:t xml:space="preserve">8.1 指導担当者への説明で残すべき限界</w:t>
      </w:r>
    </w:p>
    <w:p>
      <w:pPr>
        <w:widowControl/>
        <w:numPr>
          <w:ilvl w:val="0"/>
          <w:numId w:val="1013"/>
        </w:numPr>
        <w:pStyle w:val="Compact"/>
      </w:pPr>
      <w:r>
        <w:rPr>
          <w:bCs/>
          <w:b/>
        </w:rPr>
        <w:t xml:space="preserve">一様な最良法ではない。</w:t>
      </w:r>
      <w:r>
        <w:t xml:space="preserve"> </w:t>
      </w:r>
      <w:r>
        <w:t xml:space="preserve">warpと高次元supportに反例がある。</w:t>
      </w:r>
    </w:p>
    <w:p>
      <w:pPr>
        <w:widowControl/>
        <w:numPr>
          <w:ilvl w:val="0"/>
          <w:numId w:val="1013"/>
        </w:numPr>
        <w:pStyle w:val="Compact"/>
      </w:pPr>
      <w:r>
        <w:rPr>
          <w:bCs/>
          <w:b/>
        </w:rPr>
        <w:t xml:space="preserve">近傍の効果は条件付き。</w:t>
      </w:r>
      <w:r>
        <w:t xml:space="preserve"> </w:t>
      </w:r>
      <w:r>
        <w:t xml:space="preserve">表5のjointはSubspace KNNが最良。</w:t>
      </w:r>
    </w:p>
    <w:p>
      <w:pPr>
        <w:widowControl/>
        <w:numPr>
          <w:ilvl w:val="0"/>
          <w:numId w:val="1013"/>
        </w:numPr>
        <w:pStyle w:val="Compact"/>
      </w:pPr>
      <w:r>
        <w:rPr>
          <w:bCs/>
          <w:b/>
        </w:rPr>
        <w:t xml:space="preserve">予測関連と失敗は異なる。</w:t>
      </w:r>
      <w:r>
        <w:t xml:space="preserve"> </w:t>
      </w:r>
      <w:r>
        <w:t xml:space="preserve">誤差・リスク確率との校正が十分に示されていない。</w:t>
      </w:r>
    </w:p>
    <w:p>
      <w:pPr>
        <w:widowControl/>
        <w:numPr>
          <w:ilvl w:val="0"/>
          <w:numId w:val="1013"/>
        </w:numPr>
        <w:pStyle w:val="Compact"/>
      </w:pPr>
      <w:r>
        <w:rPr>
          <w:bCs/>
          <w:b/>
        </w:rPr>
        <w:t xml:space="preserve">真値は操作的定義。</w:t>
      </w:r>
      <w:r>
        <w:t xml:space="preserve"> </w:t>
      </w:r>
      <w:r>
        <w:t xml:space="preserve">Friedman越境、Copula生成ラベル、WECCラベルなしを分ける。</w:t>
      </w:r>
    </w:p>
    <w:p>
      <w:pPr>
        <w:widowControl/>
        <w:numPr>
          <w:ilvl w:val="0"/>
          <w:numId w:val="1013"/>
        </w:numPr>
        <w:pStyle w:val="Compact"/>
      </w:pPr>
      <w:r>
        <w:rPr>
          <w:bCs/>
          <w:b/>
        </w:rPr>
        <w:t xml:space="preserve">jointは純粋な相関変化の保証ではない。</w:t>
      </w:r>
      <w:r>
        <w:t xml:space="preserve"> </w:t>
      </w:r>
      <w:r>
        <w:t xml:space="preserve">逆CDFが同じでも周辺分布は変化し得る。</w:t>
      </w:r>
    </w:p>
    <w:p>
      <w:pPr>
        <w:widowControl/>
        <w:numPr>
          <w:ilvl w:val="0"/>
          <w:numId w:val="1013"/>
        </w:numPr>
        <w:pStyle w:val="Compact"/>
      </w:pPr>
      <w:r>
        <w:rPr>
          <w:bCs/>
          <w:b/>
        </w:rPr>
        <w:t xml:space="preserve">学習／テストの隔離はコードで確認。</w:t>
      </w:r>
      <w:r>
        <w:t xml:space="preserve"> </w:t>
      </w:r>
      <w:r>
        <w:t xml:space="preserve">生存擬似応答とCox選択の時点は不明。</w:t>
      </w:r>
    </w:p>
    <w:p>
      <w:pPr>
        <w:widowControl/>
        <w:numPr>
          <w:ilvl w:val="0"/>
          <w:numId w:val="1013"/>
        </w:numPr>
        <w:pStyle w:val="Compact"/>
      </w:pPr>
      <w:r>
        <w:rPr>
          <w:bCs/>
          <w:b/>
        </w:rPr>
        <w:t xml:space="preserve">図1の幾何学的疑問。</w:t>
      </w:r>
      <w:r>
        <w:t xml:space="preserve"> </w:t>
      </w:r>
      <w:r>
        <w:t xml:space="preserve">単矩形で二つの異なる解除領域の共通部分は元矩形となる。</w:t>
      </w:r>
    </w:p>
    <w:p>
      <w:pPr>
        <w:widowControl/>
        <w:numPr>
          <w:ilvl w:val="0"/>
          <w:numId w:val="1013"/>
        </w:numPr>
        <w:pStyle w:val="Compact"/>
      </w:pPr>
      <w:r>
        <w:rPr>
          <w:bCs/>
          <w:b/>
        </w:rPr>
        <w:t xml:space="preserve">小部分空間の退化。</w:t>
      </w:r>
      <w:r>
        <w:t xml:space="preserve"> </w:t>
      </w:r>
      <w:r>
        <w:t xml:space="preserve">|S|=1ならp=1、G=0、W=0。|S|=0、候補不足、同点時の規則も必要。</w:t>
      </w:r>
    </w:p>
    <w:p>
      <w:pPr>
        <w:widowControl/>
        <w:numPr>
          <w:ilvl w:val="0"/>
          <w:numId w:val="1013"/>
        </w:numPr>
        <w:pStyle w:val="Compact"/>
      </w:pPr>
      <w:r>
        <w:rPr>
          <w:bCs/>
          <w:b/>
        </w:rPr>
        <w:t xml:space="preserve">定数の安全変数。</w:t>
      </w:r>
      <w:r>
        <w:t xml:space="preserve"> </w:t>
      </w:r>
      <w:r>
        <w:t xml:space="preserve">学習標準偏差0の変数を削除すると、新値の出現は別の範囲検査で扱う必要がある。</w:t>
      </w:r>
    </w:p>
    <w:p>
      <w:pPr>
        <w:widowControl/>
        <w:numPr>
          <w:ilvl w:val="0"/>
          <w:numId w:val="1013"/>
        </w:numPr>
        <w:pStyle w:val="Compact"/>
      </w:pPr>
      <w:r>
        <w:rPr>
          <w:bCs/>
          <w:b/>
        </w:rPr>
        <w:t xml:space="preserve">観察的な臨床関連は因果証拠ではない。</w:t>
      </w:r>
      <w:r>
        <w:t xml:space="preserve"> </w:t>
      </w:r>
      <w:r>
        <w:t xml:space="preserve">参照集団と患者構成が同時に変わる。</w:t>
      </w:r>
    </w:p>
    <w:bookmarkEnd w:id="65"/>
    <w:bookmarkStart w:id="68" w:name="論文と現行公開ソフトウェアの違い"/>
    <w:p>
      <w:pPr>
        <w:pStyle w:val="Heading3"/>
        <w:widowControl/>
      </w:pPr>
      <w:r>
        <w:rPr>
          <w:color w:val="000000"/>
        </w:rPr>
        <w:t xml:space="preserve">8.2 論文と現行公開ソフトウェアの違い</w:t>
      </w:r>
    </w:p>
    <w:p>
      <w:pPr>
        <w:pStyle w:val="FirstParagraph"/>
        <w:widowControl/>
      </w:pPr>
      <w:r>
        <w:t xml:space="preserve">【外部補足、2026-09-10確認】</w:t>
      </w:r>
      <w:hyperlink r:id="rId66">
        <w:r>
          <w:rPr>
            <w:rStyle w:val="Hyperlink"/>
          </w:rPr>
          <w:t xml:space="preserve">CRAN</w:t>
        </w:r>
      </w:hyperlink>
      <w:r>
        <w:t xml:space="preserve">はvarPro 3.2.0、GPL≥3を掲載。現行の</w:t>
      </w:r>
      <w:hyperlink r:id="rId67">
        <w:r>
          <w:rPr>
            <w:rStyle w:val="Hyperlink"/>
          </w:rPr>
          <w:t xml:space="preserve">著者API文書</w:t>
        </w:r>
      </w:hyperlink>
      <w:r>
        <w:t xml:space="preserve">は既定</w:t>
      </w:r>
      <w:r>
        <w:rPr>
          <w:rStyle w:val="VerbatimChar"/>
        </w:rPr>
        <w:t xml:space="preserve">distancef="knn"</w:t>
      </w:r>
      <w:r>
        <w:t xml:space="preserve">を通常の部分空間KNNとし、他の距離でモデル近傍を使う。</w:t>
      </w:r>
      <w:r>
        <w:rPr>
          <w:rStyle w:val="VerbatimChar"/>
        </w:rPr>
        <w:t xml:space="preserve">cutoff</w:t>
      </w:r>
      <w:r>
        <w:t xml:space="preserve">は変数選択用で警報閾値ではない。</w:t>
      </w:r>
      <w:r>
        <w:rPr>
          <w:rStyle w:val="VerbatimChar"/>
        </w:rPr>
        <w:t xml:space="preserve">outpro.null</w:t>
      </w:r>
      <w:r>
        <w:t xml:space="preserve">は参照CDFを提供し、選択肢に本文のOPTICSと同名の引数値はない。再現では版と距離を明示し、既定呼出しだけでAlgorithm 1を再現したと言わない。完全なソース監査ではなく文書比較である。</w:t>
      </w:r>
    </w:p>
    <w:bookmarkEnd w:id="68"/>
    <w:bookmarkStart w:id="69" w:name="未報告未確認項目"/>
    <w:p>
      <w:pPr>
        <w:pStyle w:val="Heading3"/>
        <w:widowControl/>
      </w:pPr>
      <w:r>
        <w:rPr>
          <w:color w:val="000000"/>
        </w:rPr>
        <w:t xml:space="preserve">8.3 未報告・未確認項目</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項目</w:t>
            </w:r>
          </w:p>
        </w:tc>
        <w:tc>
          <w:tcPr>
            <w:tcW w:type="dxa" w:w="7497"/>
            <w:vAlign w:val="center"/>
            <w:shd w:fill="E7EDF3"/>
          </w:tcPr>
          <w:p>
            <w:pPr>
              <w:pStyle w:val="Compact"/>
              <w:keepNext w:val="0"/>
              <w:spacing w:after="40" w:before="40" w:line="264" w:lineRule="auto"/>
              <w:jc w:val="left"/>
            </w:pPr>
            <w:r>
              <w:rPr>
                <w:b/>
                <w:color w:val="000000"/>
                <w:sz w:val="19"/>
              </w:rPr>
              <w:t xml:space="preserve">影響</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PMLB61件の名前、版、分割</w:t>
            </w:r>
          </w:p>
        </w:tc>
        <w:tc>
          <w:tcPr>
            <w:tcW w:type="dxa" w:w="7497"/>
            <w:vAlign w:val="center"/>
            <w:shd w:fill="FFFFFF"/>
          </w:tcPr>
          <w:p>
            <w:pPr>
              <w:pStyle w:val="Compact"/>
              <w:keepNext w:val="0"/>
              <w:spacing w:after="40" w:before="40" w:line="264" w:lineRule="auto"/>
              <w:jc w:val="left"/>
            </w:pPr>
            <w:r>
              <w:rPr>
                <w:color w:val="000000"/>
                <w:sz w:val="19"/>
              </w:rPr>
              <w:t xml:space="preserve">入出力変数の完全照合とデータ再現不可</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全実験コード、乱数種、原AUC-PR</w:t>
            </w:r>
          </w:p>
        </w:tc>
        <w:tc>
          <w:tcPr>
            <w:tcW w:type="dxa" w:w="7497"/>
            <w:vAlign w:val="center"/>
            <w:shd w:fill="F7F8FA"/>
          </w:tcPr>
          <w:p>
            <w:pPr>
              <w:pStyle w:val="Compact"/>
              <w:keepNext w:val="0"/>
              <w:spacing w:after="40" w:before="40" w:line="264" w:lineRule="auto"/>
              <w:jc w:val="left"/>
            </w:pPr>
            <w:r>
              <w:rPr>
                <w:color w:val="000000"/>
                <w:sz w:val="19"/>
              </w:rPr>
              <w:t xml:space="preserve">正確な効果量と有意性の再計算不可</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VarPro全統計量と論文設定</w:t>
            </w:r>
          </w:p>
        </w:tc>
        <w:tc>
          <w:tcPr>
            <w:tcW w:type="dxa" w:w="7497"/>
            <w:vAlign w:val="center"/>
            <w:shd w:fill="FFFFFF"/>
          </w:tcPr>
          <w:p>
            <w:pPr>
              <w:pStyle w:val="Compact"/>
              <w:keepNext w:val="0"/>
              <w:spacing w:after="40" w:before="40" w:line="264" w:lineRule="auto"/>
              <w:jc w:val="left"/>
            </w:pPr>
            <w:r>
              <w:rPr>
                <w:color w:val="000000"/>
                <w:sz w:val="19"/>
              </w:rPr>
              <w:t xml:space="preserve">信号集合と重みの再現に影響</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γ、CDF端処理、support外挿、R正則化</w:t>
            </w:r>
          </w:p>
        </w:tc>
        <w:tc>
          <w:tcPr>
            <w:tcW w:type="dxa" w:w="7497"/>
            <w:vAlign w:val="center"/>
            <w:shd w:fill="F7F8FA"/>
          </w:tcPr>
          <w:p>
            <w:pPr>
              <w:pStyle w:val="Compact"/>
              <w:keepNext w:val="0"/>
              <w:spacing w:after="40" w:before="40" w:line="264" w:lineRule="auto"/>
              <w:jc w:val="left"/>
            </w:pPr>
            <w:r>
              <w:rPr>
                <w:color w:val="000000"/>
                <w:sz w:val="19"/>
              </w:rPr>
              <w:t xml:space="preserve">異常難度・ラベルが変わり得る</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高次元前処理と分割の順序</w:t>
            </w:r>
          </w:p>
        </w:tc>
        <w:tc>
          <w:tcPr>
            <w:tcW w:type="dxa" w:w="7497"/>
            <w:vAlign w:val="center"/>
            <w:shd w:fill="FFFFFF"/>
          </w:tcPr>
          <w:p>
            <w:pPr>
              <w:pStyle w:val="Compact"/>
              <w:keepNext w:val="0"/>
              <w:spacing w:after="40" w:before="40" w:line="264" w:lineRule="auto"/>
              <w:jc w:val="left"/>
            </w:pPr>
            <w:r>
              <w:rPr>
                <w:color w:val="000000"/>
                <w:sz w:val="19"/>
              </w:rPr>
              <w:t xml:space="preserve">独立評価の確認が必要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木数、NN・集成・GMM設定</w:t>
            </w:r>
          </w:p>
        </w:tc>
        <w:tc>
          <w:tcPr>
            <w:tcW w:type="dxa" w:w="7497"/>
            <w:vAlign w:val="center"/>
            <w:shd w:fill="F7F8FA"/>
          </w:tcPr>
          <w:p>
            <w:pPr>
              <w:pStyle w:val="Compact"/>
              <w:keepNext w:val="0"/>
              <w:spacing w:after="40" w:before="40" w:line="264" w:lineRule="auto"/>
              <w:jc w:val="left"/>
            </w:pPr>
            <w:r>
              <w:rPr>
                <w:color w:val="000000"/>
                <w:sz w:val="19"/>
              </w:rPr>
              <w:t xml:space="preserve">公平比較と計算再現の不足</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K端数、候補なし、同点、一変数</w:t>
            </w:r>
          </w:p>
        </w:tc>
        <w:tc>
          <w:tcPr>
            <w:tcW w:type="dxa" w:w="7497"/>
            <w:vAlign w:val="center"/>
            <w:shd w:fill="FFFFFF"/>
          </w:tcPr>
          <w:p>
            <w:pPr>
              <w:pStyle w:val="Compact"/>
              <w:keepNext w:val="0"/>
              <w:spacing w:after="40" w:before="40" w:line="264" w:lineRule="auto"/>
              <w:jc w:val="left"/>
            </w:pPr>
            <w:r>
              <w:rPr>
                <w:color w:val="000000"/>
                <w:sz w:val="19"/>
              </w:rPr>
              <w:t xml:space="preserve">退化時動作の確認が必要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WECC帰無分布と各場面人数</w:t>
            </w:r>
          </w:p>
        </w:tc>
        <w:tc>
          <w:tcPr>
            <w:tcW w:type="dxa" w:w="7497"/>
            <w:vAlign w:val="center"/>
            <w:shd w:fill="F7F8FA"/>
          </w:tcPr>
          <w:p>
            <w:pPr>
              <w:pStyle w:val="Compact"/>
              <w:keepNext w:val="0"/>
              <w:spacing w:after="40" w:before="40" w:line="264" w:lineRule="auto"/>
              <w:jc w:val="left"/>
            </w:pPr>
            <w:r>
              <w:rPr>
                <w:color w:val="000000"/>
                <w:sz w:val="19"/>
              </w:rPr>
              <w:t xml:space="preserve">百分位・校正の完全再計算不可</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単点遅延、メモリ、装置、誤報予算</w:t>
            </w:r>
          </w:p>
        </w:tc>
        <w:tc>
          <w:tcPr>
            <w:tcW w:type="dxa" w:w="7497"/>
            <w:vAlign w:val="center"/>
            <w:shd w:fill="FFFFFF"/>
          </w:tcPr>
          <w:p>
            <w:pPr>
              <w:pStyle w:val="Compact"/>
              <w:keepNext w:val="0"/>
              <w:spacing w:after="40" w:before="40" w:line="264" w:lineRule="auto"/>
              <w:jc w:val="left"/>
            </w:pPr>
            <w:r>
              <w:rPr>
                <w:color w:val="000000"/>
                <w:sz w:val="19"/>
              </w:rPr>
              <w:t xml:space="preserve">実運用性能は未保証</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社内モデル・山原先生論文</w:t>
            </w:r>
          </w:p>
        </w:tc>
        <w:tc>
          <w:tcPr>
            <w:tcW w:type="dxa" w:w="7497"/>
            <w:vAlign w:val="center"/>
            <w:shd w:fill="F7F8FA"/>
          </w:tcPr>
          <w:p>
            <w:pPr>
              <w:pStyle w:val="Compact"/>
              <w:keepNext w:val="0"/>
              <w:spacing w:after="40" w:before="40" w:line="264" w:lineRule="auto"/>
              <w:jc w:val="left"/>
            </w:pPr>
            <w:r>
              <w:rPr>
                <w:color w:val="000000"/>
                <w:sz w:val="19"/>
              </w:rPr>
              <w:t xml:space="preserve">現場対応は提案段階</w:t>
            </w:r>
          </w:p>
        </w:tc>
      </w:tr>
    </w:tbl>
    <w:bookmarkEnd w:id="69"/>
    <w:bookmarkEnd w:id="70"/>
    <w:bookmarkStart w:id="71" w:name="総合研究報告用の共通記録"/>
    <w:p>
      <w:pPr>
        <w:pStyle w:val="Heading2"/>
        <w:widowControl/>
      </w:pPr>
      <w:r>
        <w:rPr>
          <w:color w:val="000000"/>
        </w:rPr>
        <w:t xml:space="preserve">9. 総合研究報告用の共通記録</w:t>
      </w:r>
    </w:p>
    <w:tbl>
      <w:tblPr>
        <w:tblStyle w:val="Table"/>
        <w:tblW w:type="pct" w:w="0.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85" w:type="dxa"/>
          <w:right w:w="85" w:type="dxa"/>
        </w:tblCellMar>
      </w:tblPr>
      <w:tblGrid>
        <w:gridCol w:w="2367"/>
        <w:gridCol w:w="7497"/>
      </w:tblGrid>
      <w:tr>
        <w:trPr>
          <w:cantSplit/>
          <w:tblHeader/>
        </w:trPr>
        <w:tc>
          <w:tcPr>
            <w:tcW w:type="dxa" w:w="2367"/>
            <w:vAlign w:val="center"/>
            <w:shd w:fill="E7EDF3"/>
          </w:tcPr>
          <w:p>
            <w:pPr>
              <w:pStyle w:val="Compact"/>
              <w:keepNext w:val="0"/>
              <w:spacing w:after="40" w:before="40" w:line="264" w:lineRule="auto"/>
              <w:jc w:val="left"/>
            </w:pPr>
            <w:r>
              <w:rPr>
                <w:b/>
                <w:color w:val="000000"/>
                <w:sz w:val="19"/>
              </w:rPr>
              <w:t xml:space="preserve">フィールド</w:t>
            </w:r>
          </w:p>
        </w:tc>
        <w:tc>
          <w:tcPr>
            <w:tcW w:type="dxa" w:w="7497"/>
            <w:vAlign w:val="center"/>
            <w:shd w:fill="E7EDF3"/>
          </w:tcPr>
          <w:p>
            <w:pPr>
              <w:pStyle w:val="Compact"/>
              <w:keepNext w:val="0"/>
              <w:spacing w:after="40" w:before="40" w:line="264" w:lineRule="auto"/>
              <w:jc w:val="left"/>
            </w:pPr>
            <w:r>
              <w:rPr>
                <w:b/>
                <w:color w:val="000000"/>
                <w:sz w:val="19"/>
              </w:rPr>
              <w:t xml:space="preserve">論文13</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手法</w:t>
            </w:r>
          </w:p>
        </w:tc>
        <w:tc>
          <w:tcPr>
            <w:tcW w:type="dxa" w:w="7497"/>
            <w:vAlign w:val="center"/>
            <w:shd w:fill="FFFFFF"/>
          </w:tcPr>
          <w:p>
            <w:pPr>
              <w:pStyle w:val="Compact"/>
              <w:keepNext w:val="0"/>
              <w:spacing w:after="40" w:before="40" w:line="264" w:lineRule="auto"/>
              <w:jc w:val="left"/>
            </w:pPr>
            <w:r>
              <w:rPr>
                <w:color w:val="000000"/>
                <w:sz w:val="19"/>
              </w:rPr>
              <w:t xml:space="preserve">OutPro</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主分類</w:t>
            </w:r>
          </w:p>
        </w:tc>
        <w:tc>
          <w:tcPr>
            <w:tcW w:type="dxa" w:w="7497"/>
            <w:vAlign w:val="center"/>
            <w:shd w:fill="F7F8FA"/>
          </w:tcPr>
          <w:p>
            <w:pPr>
              <w:pStyle w:val="Compact"/>
              <w:keepNext w:val="0"/>
              <w:spacing w:after="40" w:before="40" w:line="264" w:lineRule="auto"/>
              <w:jc w:val="left"/>
            </w:pPr>
            <w:r>
              <w:rPr>
                <w:color w:val="000000"/>
                <w:sz w:val="19"/>
              </w:rPr>
              <w:t xml:space="preserve">教師ありモデルに基づく部分空間参照近傍距離</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学習情報</w:t>
            </w:r>
          </w:p>
        </w:tc>
        <w:tc>
          <w:tcPr>
            <w:tcW w:type="dxa" w:w="7497"/>
            <w:vAlign w:val="center"/>
            <w:shd w:fill="FFFFFF"/>
          </w:tcPr>
          <w:p>
            <w:pPr>
              <w:pStyle w:val="Compact"/>
              <w:keepNext w:val="0"/>
              <w:spacing w:after="40" w:before="40" w:line="264" w:lineRule="auto"/>
              <w:jc w:val="left"/>
            </w:pPr>
            <w:r>
              <w:rPr>
                <w:color w:val="000000"/>
                <w:sz w:val="19"/>
              </w:rPr>
              <w:t xml:space="preserve">IDのX＋Y、OOD学習ラベル不要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運用情報</w:t>
            </w:r>
          </w:p>
        </w:tc>
        <w:tc>
          <w:tcPr>
            <w:tcW w:type="dxa" w:w="7497"/>
            <w:vAlign w:val="center"/>
            <w:shd w:fill="F7F8FA"/>
          </w:tcPr>
          <w:p>
            <w:pPr>
              <w:pStyle w:val="Compact"/>
              <w:keepNext w:val="0"/>
              <w:spacing w:after="40" w:before="40" w:line="264" w:lineRule="auto"/>
              <w:jc w:val="left"/>
            </w:pPr>
            <w:r>
              <w:rPr>
                <w:color w:val="000000"/>
                <w:sz w:val="19"/>
              </w:rPr>
              <w:t xml:space="preserve">新X＋フォレスト規則＋学習参照＋変数・重み・尺度</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①範囲外</w:t>
            </w:r>
          </w:p>
        </w:tc>
        <w:tc>
          <w:tcPr>
            <w:tcW w:type="dxa" w:w="7497"/>
            <w:vAlign w:val="center"/>
            <w:shd w:fill="FFFFFF"/>
          </w:tcPr>
          <w:p>
            <w:pPr>
              <w:pStyle w:val="Compact"/>
              <w:keepNext w:val="0"/>
              <w:spacing w:after="40" w:before="40" w:line="264" w:lineRule="auto"/>
              <w:jc w:val="left"/>
            </w:pPr>
            <w:r>
              <w:rPr>
                <w:color w:val="000000"/>
                <w:sz w:val="19"/>
              </w:rPr>
              <w:t xml:space="preserve">実験あり</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②学習不足</w:t>
            </w:r>
          </w:p>
        </w:tc>
        <w:tc>
          <w:tcPr>
            <w:tcW w:type="dxa" w:w="7497"/>
            <w:vAlign w:val="center"/>
            <w:shd w:fill="F7F8FA"/>
          </w:tcPr>
          <w:p>
            <w:pPr>
              <w:pStyle w:val="Compact"/>
              <w:keepNext w:val="0"/>
              <w:spacing w:after="40" w:before="40" w:line="264" w:lineRule="auto"/>
              <w:jc w:val="left"/>
            </w:pPr>
            <w:r>
              <w:rPr>
                <w:color w:val="000000"/>
                <w:sz w:val="19"/>
              </w:rPr>
              <w:t xml:space="preserve">低密度関連の証拠、直接の学習不足ラベルなし</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③変数関係</w:t>
            </w:r>
          </w:p>
        </w:tc>
        <w:tc>
          <w:tcPr>
            <w:tcW w:type="dxa" w:w="7497"/>
            <w:vAlign w:val="center"/>
            <w:shd w:fill="FFFFFF"/>
          </w:tcPr>
          <w:p>
            <w:pPr>
              <w:pStyle w:val="Compact"/>
              <w:keepNext w:val="0"/>
              <w:spacing w:after="40" w:before="40" w:line="264" w:lineRule="auto"/>
              <w:jc w:val="left"/>
            </w:pPr>
            <w:r>
              <w:rPr>
                <w:color w:val="000000"/>
                <w:sz w:val="19"/>
              </w:rPr>
              <w:t xml:space="preserve">jointとの対応が強いが純粋相関変化保証なし</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純粋概念ドリフト</w:t>
            </w:r>
          </w:p>
        </w:tc>
        <w:tc>
          <w:tcPr>
            <w:tcW w:type="dxa" w:w="7497"/>
            <w:vAlign w:val="center"/>
            <w:shd w:fill="F7F8FA"/>
          </w:tcPr>
          <w:p>
            <w:pPr>
              <w:pStyle w:val="Compact"/>
              <w:keepNext w:val="0"/>
              <w:spacing w:after="40" w:before="40" w:line="264" w:lineRule="auto"/>
              <w:jc w:val="left"/>
            </w:pPr>
            <w:r>
              <w:rPr>
                <w:color w:val="000000"/>
                <w:sz w:val="19"/>
              </w:rPr>
              <w:t xml:space="preserve">検出不可</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時系列</w:t>
            </w:r>
          </w:p>
        </w:tc>
        <w:tc>
          <w:tcPr>
            <w:tcW w:type="dxa" w:w="7497"/>
            <w:vAlign w:val="center"/>
            <w:shd w:fill="FFFFFF"/>
          </w:tcPr>
          <w:p>
            <w:pPr>
              <w:pStyle w:val="Compact"/>
              <w:keepNext w:val="0"/>
              <w:spacing w:after="40" w:before="40" w:line="264" w:lineRule="auto"/>
              <w:jc w:val="left"/>
            </w:pPr>
            <w:r>
              <w:rPr>
                <w:color w:val="000000"/>
                <w:sz w:val="19"/>
              </w:rPr>
              <w:t xml:space="preserve">直接未検証、窓化・文脈特徴が必要</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残すべき比較法</w:t>
            </w:r>
          </w:p>
        </w:tc>
        <w:tc>
          <w:tcPr>
            <w:tcW w:type="dxa" w:w="7497"/>
            <w:vAlign w:val="center"/>
            <w:shd w:fill="F7F8FA"/>
          </w:tcPr>
          <w:p>
            <w:pPr>
              <w:pStyle w:val="Compact"/>
              <w:keepNext w:val="0"/>
              <w:spacing w:after="40" w:before="40" w:line="264" w:lineRule="auto"/>
              <w:jc w:val="left"/>
            </w:pPr>
            <w:r>
              <w:rPr>
                <w:color w:val="000000"/>
                <w:sz w:val="19"/>
              </w:rPr>
              <w:t xml:space="preserve">完全OutProとVarPro＋Subspace KNN</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主指標</w:t>
            </w:r>
          </w:p>
        </w:tc>
        <w:tc>
          <w:tcPr>
            <w:tcW w:type="dxa" w:w="7497"/>
            <w:vAlign w:val="center"/>
            <w:shd w:fill="FFFFFF"/>
          </w:tcPr>
          <w:p>
            <w:pPr>
              <w:pStyle w:val="Compact"/>
              <w:keepNext w:val="0"/>
              <w:spacing w:after="40" w:before="40" w:line="264" w:lineRule="auto"/>
              <w:jc w:val="left"/>
            </w:pPr>
            <w:r>
              <w:rPr>
                <w:color w:val="000000"/>
                <w:sz w:val="19"/>
              </w:rPr>
              <w:t xml:space="preserve">AUC-PR、平均順位、Nemenyi CD</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閾値保証</w:t>
            </w:r>
          </w:p>
        </w:tc>
        <w:tc>
          <w:tcPr>
            <w:tcW w:type="dxa" w:w="7497"/>
            <w:vAlign w:val="center"/>
            <w:shd w:fill="F7F8FA"/>
          </w:tcPr>
          <w:p>
            <w:pPr>
              <w:pStyle w:val="Compact"/>
              <w:keepNext w:val="0"/>
              <w:spacing w:after="40" w:before="40" w:line="264" w:lineRule="auto"/>
              <w:jc w:val="left"/>
            </w:pPr>
            <w:r>
              <w:rPr>
                <w:color w:val="000000"/>
                <w:sz w:val="19"/>
              </w:rPr>
              <w:t xml:space="preserve">一般の運用誤報率保証なし</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社会インフラ</w:t>
            </w:r>
          </w:p>
        </w:tc>
        <w:tc>
          <w:tcPr>
            <w:tcW w:type="dxa" w:w="7497"/>
            <w:vAlign w:val="center"/>
            <w:shd w:fill="FFFFFF"/>
          </w:tcPr>
          <w:p>
            <w:pPr>
              <w:pStyle w:val="Compact"/>
              <w:keepNext w:val="0"/>
              <w:spacing w:after="40" w:before="40" w:line="264" w:lineRule="auto"/>
              <w:jc w:val="left"/>
            </w:pPr>
            <w:r>
              <w:rPr>
                <w:color w:val="000000"/>
                <w:sz w:val="19"/>
              </w:rPr>
              <w:t xml:space="preserve">入力支持監視候補、直接の現場制御証拠なし</w:t>
            </w:r>
          </w:p>
        </w:tc>
      </w:tr>
      <w:tr>
        <w:trPr>
          <w:cantSplit/>
        </w:trPr>
        <w:tc>
          <w:tcPr>
            <w:tcW w:type="dxa" w:w="2367"/>
            <w:vAlign w:val="center"/>
            <w:shd w:fill="F7F8FA"/>
          </w:tcPr>
          <w:p>
            <w:pPr>
              <w:pStyle w:val="Compact"/>
              <w:keepNext w:val="0"/>
              <w:spacing w:after="40" w:before="40" w:line="264" w:lineRule="auto"/>
              <w:jc w:val="left"/>
            </w:pPr>
            <w:r>
              <w:rPr>
                <w:color w:val="000000"/>
                <w:sz w:val="19"/>
              </w:rPr>
              <w:t xml:space="preserve">数値根拠</w:t>
            </w:r>
          </w:p>
        </w:tc>
        <w:tc>
          <w:tcPr>
            <w:tcW w:type="dxa" w:w="7497"/>
            <w:vAlign w:val="center"/>
            <w:shd w:fill="F7F8FA"/>
          </w:tcPr>
          <w:p>
            <w:pPr>
              <w:pStyle w:val="Compact"/>
              <w:keepNext w:val="0"/>
              <w:spacing w:after="40" w:before="40" w:line="264" w:lineRule="auto"/>
              <w:jc w:val="left"/>
            </w:pPr>
            <w:r>
              <w:rPr>
                <w:color w:val="000000"/>
                <w:sz w:val="19"/>
              </w:rPr>
              <w:t xml:space="preserve">Full平均1.84、jointではSubspace KNN 1.47対Full 2.88</w:t>
            </w:r>
          </w:p>
        </w:tc>
      </w:tr>
      <w:tr>
        <w:trPr>
          <w:cantSplit/>
        </w:trPr>
        <w:tc>
          <w:tcPr>
            <w:tcW w:type="dxa" w:w="2367"/>
            <w:vAlign w:val="center"/>
            <w:shd w:fill="FFFFFF"/>
          </w:tcPr>
          <w:p>
            <w:pPr>
              <w:pStyle w:val="Compact"/>
              <w:keepNext w:val="0"/>
              <w:spacing w:after="40" w:before="40" w:line="264" w:lineRule="auto"/>
              <w:jc w:val="left"/>
            </w:pPr>
            <w:r>
              <w:rPr>
                <w:color w:val="000000"/>
                <w:sz w:val="19"/>
              </w:rPr>
              <w:t xml:space="preserve">主な制限</w:t>
            </w:r>
          </w:p>
        </w:tc>
        <w:tc>
          <w:tcPr>
            <w:tcW w:type="dxa" w:w="7497"/>
            <w:vAlign w:val="center"/>
            <w:shd w:fill="FFFFFF"/>
          </w:tcPr>
          <w:p>
            <w:pPr>
              <w:pStyle w:val="Compact"/>
              <w:keepNext w:val="0"/>
              <w:spacing w:after="40" w:before="40" w:line="264" w:lineRule="auto"/>
              <w:jc w:val="left"/>
            </w:pPr>
            <w:r>
              <w:rPr>
                <w:color w:val="000000"/>
                <w:sz w:val="19"/>
              </w:rPr>
              <w:t xml:space="preserve">人工ラベル、条件付き優位、変数選択依存、概念ドリフトの盲点</w:t>
            </w:r>
          </w:p>
        </w:tc>
      </w:tr>
    </w:tbl>
    <w:bookmarkEnd w:id="71"/>
    <w:bookmarkStart w:id="72" w:name="根拠の読み取り位置と補足資料"/>
    <w:p>
      <w:pPr>
        <w:pStyle w:val="Heading2"/>
        <w:widowControl/>
      </w:pPr>
      <w:r>
        <w:rPr>
          <w:color w:val="000000"/>
        </w:rPr>
        <w:t xml:space="preserve">10. 根拠の読み取り位置と補足資料</w:t>
      </w:r>
    </w:p>
    <w:p>
      <w:pPr>
        <w:pStyle w:val="FirstParagraph"/>
        <w:widowControl/>
      </w:pPr>
      <w:r>
        <w:t xml:space="preserve">主資料13.pdf：定義pp.1–3、関連研究pp.4–5、手法pp.6–10、基線pp.10–11、支持ラベルpp.12–13、Copula pp.16–17、規模p.18表4、アブレーションp.22表5、WECC pp.23–24、限界と公開性pp.25–26。</w:t>
      </w:r>
    </w:p>
    <w:p>
      <w:pPr>
        <w:pStyle w:val="BodyText"/>
        <w:widowControl/>
      </w:pPr>
      <w:r>
        <w:t xml:space="preserve">外部資料は各箇所に示した情報の補足で、本文実験の代替ではない。</w:t>
      </w:r>
    </w:p>
    <w:p>
      <w:pPr>
        <w:widowControl/>
        <w:numPr>
          <w:ilvl w:val="0"/>
          <w:numId w:val="1014"/>
        </w:numPr>
        <w:pStyle w:val="Compact"/>
      </w:pPr>
      <w:hyperlink r:id="rId21">
        <w:r>
          <w:rPr>
            <w:rStyle w:val="Hyperlink"/>
          </w:rPr>
          <w:t xml:space="preserve">正式出版記録</w:t>
        </w:r>
      </w:hyperlink>
    </w:p>
    <w:p>
      <w:pPr>
        <w:widowControl/>
        <w:numPr>
          <w:ilvl w:val="0"/>
          <w:numId w:val="1014"/>
        </w:numPr>
        <w:pStyle w:val="Compact"/>
      </w:pPr>
      <w:hyperlink r:id="rId66">
        <w:r>
          <w:rPr>
            <w:rStyle w:val="Hyperlink"/>
          </w:rPr>
          <w:t xml:space="preserve">CRAN varPro</w:t>
        </w:r>
      </w:hyperlink>
      <w:r>
        <w:t xml:space="preserve">、</w:t>
      </w:r>
      <w:hyperlink r:id="rId67">
        <w:r>
          <w:rPr>
            <w:rStyle w:val="Hyperlink"/>
          </w:rPr>
          <w:t xml:space="preserve">著者API</w:t>
        </w:r>
      </w:hyperlink>
    </w:p>
    <w:p>
      <w:pPr>
        <w:widowControl/>
        <w:numPr>
          <w:ilvl w:val="0"/>
          <w:numId w:val="1014"/>
        </w:numPr>
        <w:pStyle w:val="Compact"/>
      </w:pPr>
      <w:hyperlink r:id="rId47">
        <w:r>
          <w:rPr>
            <w:rStyle w:val="Hyperlink"/>
          </w:rPr>
          <w:t xml:space="preserve">PMLB</w:t>
        </w:r>
      </w:hyperlink>
      <w:r>
        <w:t xml:space="preserve">、</w:t>
      </w:r>
      <w:hyperlink r:id="rId48">
        <w:r>
          <w:rPr>
            <w:rStyle w:val="Hyperlink"/>
          </w:rPr>
          <w:t xml:space="preserve">取得リポジトリ</w:t>
        </w:r>
      </w:hyperlink>
      <w:r>
        <w:t xml:space="preserve">、</w:t>
      </w:r>
      <w:hyperlink r:id="rId49">
        <w:r>
          <w:rPr>
            <w:rStyle w:val="Hyperlink"/>
          </w:rPr>
          <w:t xml:space="preserve">LICENSE</w:t>
        </w:r>
      </w:hyperlink>
    </w:p>
    <w:p>
      <w:pPr>
        <w:widowControl/>
        <w:numPr>
          <w:ilvl w:val="0"/>
          <w:numId w:val="1014"/>
        </w:numPr>
        <w:pStyle w:val="Compact"/>
      </w:pPr>
      <w:hyperlink r:id="rId51">
        <w:r>
          <w:rPr>
            <w:rStyle w:val="Hyperlink"/>
          </w:rPr>
          <w:t xml:space="preserve">AML GEO</w:t>
        </w:r>
      </w:hyperlink>
      <w:r>
        <w:t xml:space="preserve">、</w:t>
      </w:r>
      <w:hyperlink r:id="rId52">
        <w:r>
          <w:rPr>
            <w:rStyle w:val="Hyperlink"/>
          </w:rPr>
          <w:t xml:space="preserve">乳癌関連データ手冊</w:t>
        </w:r>
      </w:hyperlink>
    </w:p>
    <w:p>
      <w:pPr>
        <w:widowControl/>
        <w:numPr>
          <w:ilvl w:val="0"/>
          <w:numId w:val="1014"/>
        </w:numPr>
        <w:pStyle w:val="Compact"/>
      </w:pPr>
      <w:hyperlink r:id="rId53">
        <w:r>
          <w:rPr>
            <w:rStyle w:val="Hyperlink"/>
          </w:rPr>
          <w:t xml:space="preserve">DLBCL原研究</w:t>
        </w:r>
      </w:hyperlink>
      <w:r>
        <w:t xml:space="preserve">、</w:t>
      </w:r>
      <w:hyperlink r:id="rId54">
        <w:r>
          <w:rPr>
            <w:rStyle w:val="Hyperlink"/>
          </w:rPr>
          <w:t xml:space="preserve">MCL原研究</w:t>
        </w:r>
      </w:hyperlink>
    </w:p>
    <w:p>
      <w:pPr>
        <w:pStyle w:val="FirstParagraph"/>
        <w:widowControl/>
      </w:pPr>
      <w:r>
        <w:t xml:space="preserve">中国語版と同じ根拠・数値・留保を保持した。口頭説明原稿は別ファイルに収録する。</w:t>
      </w:r>
    </w:p>
    <w:bookmarkEnd w:id="72"/>
    <w:sectPr w:rsidR="00FC693F" w:rsidRPr="0006063C" w:rsidSect="00034616">
      <w:footerReference r:id="rId9" w:type="default"/>
      <w:pgSz w:h="16838" w:w="11906"/>
      <w:pgMar w:bottom="1077" w:footer="454" w:gutter="0" w:header="454" w:left="1020" w:right="1020"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Simple w:instr="PAGE"/>
    </w:r>
    <w:r>
      <w:rPr>
        <w:sz w:val="18"/>
      </w:rP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76" w:lineRule="auto"/>
    </w:pPr>
    <w:rPr>
      <w:rFonts w:ascii="Times New Roman" w:eastAsia="Yu Mincho" w:hAnsi="Times New Roman"/>
      <w:color w:val="000000"/>
      <w:sz w:val="21"/>
    </w:rPr>
  </w:style>
  <w:style w:styleId="Header" w:type="paragraph">
    <w:name w:val="header"/>
    <w:basedOn w:val="Normal"/>
    <w:link w:val="HeaderChar"/>
    <w:uiPriority w:val="99"/>
    <w:unhideWhenUsed/>
    <w:rsid w:val="00E618BF"/>
    <w:pPr>
      <w:tabs>
        <w:tab w:pos="4680" w:val="center"/>
        <w:tab w:pos="9360" w:val="right"/>
      </w:tabs>
      <w:spacing w:after="100" w:line="276" w:lineRule="auto"/>
    </w:pPr>
    <w:rPr>
      <w:rFonts w:ascii="Times New Roman" w:eastAsia="Yu Mincho" w:hAnsi="Times New Roman"/>
      <w:color w:val="000000"/>
      <w:sz w:val="21"/>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100" w:line="276" w:lineRule="auto"/>
    </w:pPr>
    <w:rPr>
      <w:rFonts w:ascii="Times New Roman" w:eastAsia="Yu Mincho" w:hAnsi="Times New Roman"/>
      <w:color w:val="000000"/>
      <w:sz w:val="21"/>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40" w:line="276" w:lineRule="auto"/>
      <w:outlineLvl w:val="0"/>
    </w:pPr>
    <w:rPr>
      <w:rFonts w:ascii="Times New Roman" w:eastAsia="Yu Mincho" w:hAnsi="Times New Roman"/>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140" w:before="240" w:line="276" w:lineRule="auto"/>
      <w:outlineLvl w:val="1"/>
    </w:pPr>
    <w:rPr>
      <w:rFonts w:ascii="Times New Roman" w:eastAsia="Yu Mincho"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40" w:before="240" w:line="276" w:lineRule="auto"/>
      <w:outlineLvl w:val="2"/>
    </w:pPr>
    <w:rPr>
      <w:rFonts w:ascii="Times New Roman" w:eastAsia="Yu Mincho" w:hAnsi="Times New Roman"/>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100" w:before="200" w:line="276" w:lineRule="auto"/>
      <w:outlineLvl w:val="3"/>
    </w:pPr>
    <w:rPr>
      <w:rFonts w:ascii="Times New Roman" w:eastAsia="Yu Mincho" w:hAnsi="Times New Roman"/>
      <w:b/>
      <w:bCs/>
      <w:i/>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100" w:before="200" w:line="276" w:lineRule="auto"/>
      <w:outlineLvl w:val="4"/>
    </w:pPr>
    <w:rPr>
      <w:rFonts w:ascii="Times New Roman" w:eastAsia="Yu Mincho" w:hAnsi="Times New Roman"/>
      <w:color w:val="000000"/>
      <w:sz w:val="21"/>
    </w:rPr>
  </w:style>
  <w:style w:styleId="Heading6" w:type="paragraph">
    <w:name w:val="heading 6"/>
    <w:basedOn w:val="Normal"/>
    <w:next w:val="Normal"/>
    <w:link w:val="Heading6Char"/>
    <w:uiPriority w:val="9"/>
    <w:semiHidden/>
    <w:unhideWhenUsed/>
    <w:qFormat/>
    <w:rsid w:val="00FC693F"/>
    <w:pPr>
      <w:keepNext/>
      <w:keepLines/>
      <w:spacing w:after="100" w:before="200" w:line="276" w:lineRule="auto"/>
      <w:outlineLvl w:val="5"/>
    </w:pPr>
    <w:rPr>
      <w:rFonts w:ascii="Times New Roman" w:eastAsia="Yu Mincho" w:hAnsi="Times New Roman"/>
      <w:i/>
      <w:iCs/>
      <w:color w:val="000000"/>
      <w:sz w:val="21"/>
    </w:rPr>
  </w:style>
  <w:style w:styleId="Heading7" w:type="paragraph">
    <w:name w:val="heading 7"/>
    <w:basedOn w:val="Normal"/>
    <w:next w:val="Normal"/>
    <w:link w:val="Heading7Char"/>
    <w:uiPriority w:val="9"/>
    <w:semiHidden/>
    <w:unhideWhenUsed/>
    <w:qFormat/>
    <w:rsid w:val="00FC693F"/>
    <w:pPr>
      <w:keepNext/>
      <w:keepLines/>
      <w:spacing w:after="100" w:before="200" w:line="276" w:lineRule="auto"/>
      <w:outlineLvl w:val="6"/>
    </w:pPr>
    <w:rPr>
      <w:rFonts w:ascii="Times New Roman" w:eastAsia="Yu Mincho" w:hAnsi="Times New Roman"/>
      <w:i/>
      <w:iCs/>
      <w:color w:val="000000"/>
      <w:sz w:val="21"/>
    </w:rPr>
  </w:style>
  <w:style w:styleId="Heading8" w:type="paragraph">
    <w:name w:val="heading 8"/>
    <w:basedOn w:val="Normal"/>
    <w:next w:val="Normal"/>
    <w:link w:val="Heading8Char"/>
    <w:uiPriority w:val="9"/>
    <w:semiHidden/>
    <w:unhideWhenUsed/>
    <w:qFormat/>
    <w:rsid w:val="00FC693F"/>
    <w:pPr>
      <w:keepNext/>
      <w:keepLines/>
      <w:spacing w:after="100" w:before="200" w:line="276" w:lineRule="auto"/>
      <w:outlineLvl w:val="7"/>
    </w:pPr>
    <w:rPr>
      <w:rFonts w:ascii="Times New Roman" w:eastAsia="Yu Mincho" w:hAnsi="Times New Roman"/>
      <w:color w:val="000000"/>
      <w:sz w:val="21"/>
      <w:szCs w:val="20"/>
    </w:rPr>
  </w:style>
  <w:style w:styleId="Heading9" w:type="paragraph">
    <w:name w:val="heading 9"/>
    <w:basedOn w:val="Normal"/>
    <w:next w:val="Normal"/>
    <w:link w:val="Heading9Char"/>
    <w:uiPriority w:val="9"/>
    <w:semiHidden/>
    <w:unhideWhenUsed/>
    <w:qFormat/>
    <w:rsid w:val="00FC693F"/>
    <w:pPr>
      <w:keepNext/>
      <w:keepLines/>
      <w:spacing w:after="100" w:before="200" w:line="276" w:lineRule="auto"/>
      <w:outlineLvl w:val="8"/>
    </w:pPr>
    <w:rPr>
      <w:rFonts w:ascii="Times New Roman" w:eastAsia="Yu Mincho" w:hAnsi="Times New Roman"/>
      <w:i/>
      <w:iCs/>
      <w:color w:val="000000"/>
      <w:sz w:val="21"/>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100" w:line="276" w:lineRule="auto"/>
    </w:pPr>
    <w:rPr>
      <w:rFonts w:ascii="Times New Roman" w:eastAsia="Yu Mincho" w:hAnsi="Times New Roman"/>
      <w:color w:val="000000"/>
      <w:sz w:val="21"/>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0" w:line="276" w:lineRule="auto"/>
      <w:contextualSpacing/>
    </w:pPr>
    <w:rPr>
      <w:rFonts w:ascii="Times New Roman" w:eastAsia="Yu Mincho" w:hAnsi="Times New Roman"/>
      <w:b/>
      <w:color w:val="000000"/>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40" w:line="276" w:lineRule="auto"/>
    </w:pPr>
    <w:rPr>
      <w:rFonts w:ascii="Times New Roman" w:eastAsia="Yu Mincho" w:hAnsi="Times New Roman"/>
      <w:b w:val="0"/>
      <w:i/>
      <w:iCs/>
      <w:color w:val="000000"/>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100" w:line="276" w:lineRule="auto"/>
      <w:ind w:left="720"/>
      <w:contextualSpacing/>
    </w:pPr>
    <w:rPr>
      <w:rFonts w:ascii="Times New Roman" w:eastAsia="Yu Mincho" w:hAnsi="Times New Roman"/>
      <w:color w:val="000000"/>
      <w:sz w:val="21"/>
    </w:rPr>
  </w:style>
  <w:style w:styleId="BodyText" w:type="paragraph">
    <w:name w:val="Body Text"/>
    <w:basedOn w:val="Normal"/>
    <w:link w:val="BodyTextChar"/>
    <w:uiPriority w:val="99"/>
    <w:unhideWhenUsed/>
    <w:rsid w:val="00AA1D8D"/>
    <w:pPr>
      <w:spacing w:after="100" w:line="276" w:lineRule="auto"/>
    </w:pPr>
    <w:rPr>
      <w:rFonts w:ascii="Times New Roman" w:eastAsia="Yu Mincho" w:hAnsi="Times New Roman"/>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00" w:line="276" w:lineRule="auto"/>
    </w:pPr>
    <w:rPr>
      <w:rFonts w:ascii="Times New Roman" w:eastAsia="Yu Mincho" w:hAnsi="Times New Roman"/>
      <w:color w:val="000000"/>
      <w:sz w:val="21"/>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00" w:line="276" w:lineRule="auto"/>
    </w:pPr>
    <w:rPr>
      <w:rFonts w:ascii="Times New Roman" w:eastAsia="Yu Mincho" w:hAnsi="Times New Roman"/>
      <w:color w:val="000000"/>
      <w:sz w:val="21"/>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100" w:line="276" w:lineRule="auto"/>
      <w:ind w:hanging="360" w:left="360"/>
      <w:contextualSpacing/>
    </w:pPr>
    <w:rPr>
      <w:rFonts w:ascii="Times New Roman" w:eastAsia="Yu Mincho" w:hAnsi="Times New Roman"/>
      <w:color w:val="000000"/>
      <w:sz w:val="21"/>
    </w:rPr>
  </w:style>
  <w:style w:styleId="List2" w:type="paragraph">
    <w:name w:val="List 2"/>
    <w:basedOn w:val="Normal"/>
    <w:uiPriority w:val="99"/>
    <w:unhideWhenUsed/>
    <w:rsid w:val="00326F90"/>
    <w:pPr>
      <w:spacing w:after="100" w:line="276" w:lineRule="auto"/>
      <w:ind w:hanging="360" w:left="720"/>
      <w:contextualSpacing/>
    </w:pPr>
    <w:rPr>
      <w:rFonts w:ascii="Times New Roman" w:eastAsia="Yu Mincho" w:hAnsi="Times New Roman"/>
      <w:color w:val="000000"/>
      <w:sz w:val="21"/>
    </w:rPr>
  </w:style>
  <w:style w:styleId="List3" w:type="paragraph">
    <w:name w:val="List 3"/>
    <w:basedOn w:val="Normal"/>
    <w:uiPriority w:val="99"/>
    <w:unhideWhenUsed/>
    <w:rsid w:val="00326F90"/>
    <w:pPr>
      <w:spacing w:after="100" w:line="276" w:lineRule="auto"/>
      <w:ind w:hanging="360" w:left="1080"/>
      <w:contextualSpacing/>
    </w:pPr>
    <w:rPr>
      <w:rFonts w:ascii="Times New Roman" w:eastAsia="Yu Mincho" w:hAnsi="Times New Roman"/>
      <w:color w:val="000000"/>
      <w:sz w:val="21"/>
    </w:rPr>
  </w:style>
  <w:style w:styleId="ListBullet" w:type="paragraph">
    <w:name w:val="List Bullet"/>
    <w:basedOn w:val="Normal"/>
    <w:uiPriority w:val="99"/>
    <w:unhideWhenUsed/>
    <w:rsid w:val="00326F90"/>
    <w:pPr>
      <w:numPr>
        <w:numId w:val="1"/>
      </w:numPr>
      <w:spacing w:after="100" w:line="276" w:lineRule="auto"/>
      <w:contextualSpacing/>
    </w:pPr>
    <w:rPr>
      <w:rFonts w:ascii="Times New Roman" w:eastAsia="Yu Mincho" w:hAnsi="Times New Roman"/>
      <w:color w:val="000000"/>
      <w:sz w:val="21"/>
    </w:rPr>
  </w:style>
  <w:style w:styleId="ListBullet2" w:type="paragraph">
    <w:name w:val="List Bullet 2"/>
    <w:basedOn w:val="Normal"/>
    <w:uiPriority w:val="99"/>
    <w:unhideWhenUsed/>
    <w:rsid w:val="00326F90"/>
    <w:pPr>
      <w:numPr>
        <w:numId w:val="2"/>
      </w:numPr>
      <w:spacing w:after="100" w:line="276" w:lineRule="auto"/>
      <w:contextualSpacing/>
    </w:pPr>
    <w:rPr>
      <w:rFonts w:ascii="Times New Roman" w:eastAsia="Yu Mincho" w:hAnsi="Times New Roman"/>
      <w:color w:val="000000"/>
      <w:sz w:val="21"/>
    </w:rPr>
  </w:style>
  <w:style w:styleId="ListBullet3" w:type="paragraph">
    <w:name w:val="List Bullet 3"/>
    <w:basedOn w:val="Normal"/>
    <w:uiPriority w:val="99"/>
    <w:unhideWhenUsed/>
    <w:rsid w:val="00326F90"/>
    <w:pPr>
      <w:numPr>
        <w:numId w:val="3"/>
      </w:numPr>
      <w:spacing w:after="100" w:line="276" w:lineRule="auto"/>
      <w:contextualSpacing/>
    </w:pPr>
    <w:rPr>
      <w:rFonts w:ascii="Times New Roman" w:eastAsia="Yu Mincho" w:hAnsi="Times New Roman"/>
      <w:color w:val="000000"/>
      <w:sz w:val="21"/>
    </w:rPr>
  </w:style>
  <w:style w:styleId="ListNumber" w:type="paragraph">
    <w:name w:val="List Number"/>
    <w:basedOn w:val="Normal"/>
    <w:uiPriority w:val="99"/>
    <w:unhideWhenUsed/>
    <w:rsid w:val="00326F90"/>
    <w:pPr>
      <w:numPr>
        <w:numId w:val="5"/>
      </w:numPr>
      <w:spacing w:after="100" w:line="276" w:lineRule="auto"/>
      <w:contextualSpacing/>
    </w:pPr>
    <w:rPr>
      <w:rFonts w:ascii="Times New Roman" w:eastAsia="Yu Mincho" w:hAnsi="Times New Roman"/>
      <w:color w:val="000000"/>
      <w:sz w:val="21"/>
    </w:rPr>
  </w:style>
  <w:style w:styleId="ListNumber2" w:type="paragraph">
    <w:name w:val="List Number 2"/>
    <w:basedOn w:val="Normal"/>
    <w:uiPriority w:val="99"/>
    <w:unhideWhenUsed/>
    <w:rsid w:val="0029639D"/>
    <w:pPr>
      <w:numPr>
        <w:numId w:val="6"/>
      </w:numPr>
      <w:spacing w:after="100" w:line="276" w:lineRule="auto"/>
      <w:contextualSpacing/>
    </w:pPr>
    <w:rPr>
      <w:rFonts w:ascii="Times New Roman" w:eastAsia="Yu Mincho" w:hAnsi="Times New Roman"/>
      <w:color w:val="000000"/>
      <w:sz w:val="21"/>
    </w:rPr>
  </w:style>
  <w:style w:styleId="ListNumber3" w:type="paragraph">
    <w:name w:val="List Number 3"/>
    <w:basedOn w:val="Normal"/>
    <w:uiPriority w:val="99"/>
    <w:unhideWhenUsed/>
    <w:rsid w:val="0029639D"/>
    <w:pPr>
      <w:numPr>
        <w:numId w:val="7"/>
      </w:numPr>
      <w:spacing w:after="100" w:line="276" w:lineRule="auto"/>
      <w:contextualSpacing/>
    </w:pPr>
    <w:rPr>
      <w:rFonts w:ascii="Times New Roman" w:eastAsia="Yu Mincho" w:hAnsi="Times New Roman"/>
      <w:color w:val="000000"/>
      <w:sz w:val="21"/>
    </w:rPr>
  </w:style>
  <w:style w:styleId="ListContinue" w:type="paragraph">
    <w:name w:val="List Continue"/>
    <w:basedOn w:val="Normal"/>
    <w:uiPriority w:val="99"/>
    <w:unhideWhenUsed/>
    <w:rsid w:val="0029639D"/>
    <w:pPr>
      <w:spacing w:after="100" w:line="276" w:lineRule="auto"/>
      <w:ind w:left="360"/>
      <w:contextualSpacing/>
    </w:pPr>
    <w:rPr>
      <w:rFonts w:ascii="Times New Roman" w:eastAsia="Yu Mincho" w:hAnsi="Times New Roman"/>
      <w:color w:val="000000"/>
      <w:sz w:val="21"/>
    </w:rPr>
  </w:style>
  <w:style w:styleId="ListContinue2" w:type="paragraph">
    <w:name w:val="List Continue 2"/>
    <w:basedOn w:val="Normal"/>
    <w:uiPriority w:val="99"/>
    <w:unhideWhenUsed/>
    <w:rsid w:val="0029639D"/>
    <w:pPr>
      <w:spacing w:after="100" w:line="276" w:lineRule="auto"/>
      <w:ind w:left="720"/>
      <w:contextualSpacing/>
    </w:pPr>
    <w:rPr>
      <w:rFonts w:ascii="Times New Roman" w:eastAsia="Yu Mincho" w:hAnsi="Times New Roman"/>
      <w:color w:val="000000"/>
      <w:sz w:val="21"/>
    </w:rPr>
  </w:style>
  <w:style w:styleId="ListContinue3" w:type="paragraph">
    <w:name w:val="List Continue 3"/>
    <w:basedOn w:val="Normal"/>
    <w:uiPriority w:val="99"/>
    <w:unhideWhenUsed/>
    <w:rsid w:val="0029639D"/>
    <w:pPr>
      <w:spacing w:after="100" w:line="276" w:lineRule="auto"/>
      <w:ind w:left="1080"/>
      <w:contextualSpacing/>
    </w:pPr>
    <w:rPr>
      <w:rFonts w:ascii="Times New Roman" w:eastAsia="Yu Mincho" w:hAnsi="Times New Roman"/>
      <w:color w:val="000000"/>
      <w:sz w:val="21"/>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100" w:line="276" w:lineRule="auto"/>
    </w:pPr>
    <w:rPr>
      <w:rFonts w:ascii="Times New Roman" w:eastAsia="Yu Mincho" w:hAnsi="Times New Roman"/>
      <w:color w:val="000000"/>
      <w:sz w:val="21"/>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00" w:line="276" w:lineRule="auto"/>
    </w:pPr>
    <w:rPr>
      <w:rFonts w:ascii="Times New Roman" w:eastAsia="Yu Mincho" w:hAnsi="Times New Roman"/>
      <w:i/>
      <w:iCs/>
      <w:color w:val="000000"/>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00" w:line="276" w:lineRule="auto"/>
    </w:pPr>
    <w:rPr>
      <w:rFonts w:ascii="Times New Roman" w:eastAsia="Yu Mincho"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00" w:before="200" w:line="276" w:lineRule="auto"/>
      <w:ind w:left="936" w:right="936"/>
    </w:pPr>
    <w:rPr>
      <w:rFonts w:ascii="Times New Roman" w:eastAsia="Yu Mincho" w:hAnsi="Times New Roman"/>
      <w:b/>
      <w:bCs/>
      <w:i/>
      <w:iCs/>
      <w:color w:val="000000"/>
      <w:sz w:val="21"/>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00" w:line="276" w:lineRule="auto"/>
      <w:outlineLvl w:val="9"/>
    </w:pPr>
    <w:rPr>
      <w:rFonts w:ascii="Times New Roman" w:eastAsia="Yu Mincho" w:hAnsi="Times New Roman"/>
      <w:color w:val="000000"/>
      <w:sz w:val="21"/>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after="100" w:line="276" w:lineRule="auto"/>
    </w:pPr>
    <w:rPr>
      <w:rFonts w:ascii="Times New Roman" w:hAnsi="Times New Roman" w:eastAsia="Yu Mincho"/>
      <w:color w:val="000000"/>
      <w:sz w:val="21"/>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52" Type="http://schemas.openxmlformats.org/officeDocument/2006/relationships/hyperlink" Target="https://bioconductor.org/packages/release/data/experiment/manuals/seventyGeneData/man/seventyGeneData.pdf" TargetMode="External"/><Relationship Id="rId66" Type="http://schemas.openxmlformats.org/officeDocument/2006/relationships/hyperlink" Target="https://cran.r-project.org/web/packages/varPro/index.html" TargetMode="External"/><Relationship Id="rId47" Type="http://schemas.openxmlformats.org/officeDocument/2006/relationships/hyperlink" Target="https://epistasislab.github.io/pmlb/" TargetMode="External"/><Relationship Id="rId48" Type="http://schemas.openxmlformats.org/officeDocument/2006/relationships/hyperlink" Target="https://github.com/EpistasisLab/pmlb" TargetMode="External"/><Relationship Id="rId49" Type="http://schemas.openxmlformats.org/officeDocument/2006/relationships/hyperlink" Target="https://github.com/EpistasisLab/pmlb/blob/master/LICENSE" TargetMode="External"/><Relationship Id="rId21" Type="http://schemas.openxmlformats.org/officeDocument/2006/relationships/hyperlink" Target="https://link.springer.com/article/10.1007/s10115-026-02872-5" TargetMode="External"/><Relationship Id="rId54" Type="http://schemas.openxmlformats.org/officeDocument/2006/relationships/hyperlink" Target="https://llmpp.ccr.cancer.gov/MCL/" TargetMode="External"/><Relationship Id="rId53" Type="http://schemas.openxmlformats.org/officeDocument/2006/relationships/hyperlink" Target="https://llmpp.ccr.cancer.gov/lymphoma/" TargetMode="External"/><Relationship Id="rId51" Type="http://schemas.openxmlformats.org/officeDocument/2006/relationships/hyperlink" Target="https://www.ncbi.nlm.nih.gov/geo/query/acc.cgi?acc=GSE425" TargetMode="External"/><Relationship Id="rId67" Type="http://schemas.openxmlformats.org/officeDocument/2006/relationships/hyperlink" Target="https://www.varprotools.org/reference/outpro.html"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https://bioconductor.org/packages/release/data/experiment/manuals/seventyGeneData/man/seventyGeneData.pdf" TargetMode="External"/><Relationship Id="rId66" Type="http://schemas.openxmlformats.org/officeDocument/2006/relationships/hyperlink" Target="https://cran.r-project.org/web/packages/varPro/index.html" TargetMode="External"/><Relationship Id="rId47" Type="http://schemas.openxmlformats.org/officeDocument/2006/relationships/hyperlink" Target="https://epistasislab.github.io/pmlb/" TargetMode="External"/><Relationship Id="rId48" Type="http://schemas.openxmlformats.org/officeDocument/2006/relationships/hyperlink" Target="https://github.com/EpistasisLab/pmlb" TargetMode="External"/><Relationship Id="rId49" Type="http://schemas.openxmlformats.org/officeDocument/2006/relationships/hyperlink" Target="https://github.com/EpistasisLab/pmlb/blob/master/LICENSE" TargetMode="External"/><Relationship Id="rId21" Type="http://schemas.openxmlformats.org/officeDocument/2006/relationships/hyperlink" Target="https://link.springer.com/article/10.1007/s10115-026-02872-5" TargetMode="External"/><Relationship Id="rId54" Type="http://schemas.openxmlformats.org/officeDocument/2006/relationships/hyperlink" Target="https://llmpp.ccr.cancer.gov/MCL/" TargetMode="External"/><Relationship Id="rId53" Type="http://schemas.openxmlformats.org/officeDocument/2006/relationships/hyperlink" Target="https://llmpp.ccr.cancer.gov/lymphoma/" TargetMode="External"/><Relationship Id="rId51" Type="http://schemas.openxmlformats.org/officeDocument/2006/relationships/hyperlink" Target="https://www.ncbi.nlm.nih.gov/geo/query/acc.cgi?acc=GSE425" TargetMode="External"/><Relationship Id="rId67" Type="http://schemas.openxmlformats.org/officeDocument/2006/relationships/hyperlink" Target="https://www.varprotools.org/reference/outpr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論文13 OutPro 精読 研究報告 日本語版</dc:title>
  <dc:creator/>
  <cp:keywords>OutPro, OOD, VarPro</cp:keywords>
  <dcterms:created xsi:type="dcterms:W3CDTF">2026-09-10T14:27:42Z</dcterms:created>
  <dcterms:modified xsi:type="dcterms:W3CDTF">2026-09-10T14:27:42Z</dcterms:modified>
  <dc:subject>OutPro paper reading and research analysis</dc:subject>
</cp:coreProperties>
</file>

<file path=docProps/custom.xml><?xml version="1.0" encoding="utf-8"?>
<Properties xmlns="http://schemas.openxmlformats.org/officeDocument/2006/custom-properties" xmlns:vt="http://schemas.openxmlformats.org/officeDocument/2006/docPropsVTypes"/>
</file>