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论文1 Density Regression 中日文口头汇报与问答</w:t>
      </w:r>
    </w:p>
    <w:p>
      <w:pPr>
        <w:pStyle w:val="FirstParagraph"/>
        <w:widowControl/>
      </w:pPr>
      <w:r>
        <w:t xml:space="preserve">本稿用于配合论文1的中日文研究报告向带教讲解。包含短版开场、完整版讲稿、公式讲解和预期问答。时间为参考，实际请按本人语速调整。论文页码按提供的25页PDF计算。本文没有开展模型复现实验；数字来自原文，数值例子为教学演示。</w:t>
      </w:r>
    </w:p>
    <w:bookmarkStart w:id="20" w:name="一-中文短版汇报"/>
    <w:p>
      <w:pPr>
        <w:pStyle w:val="Heading2"/>
        <w:widowControl/>
      </w:pPr>
      <w:r>
        <w:rPr>
          <w:color w:val="000000"/>
        </w:rPr>
        <w:t xml:space="preserve">一 中文短版汇报</w:t>
      </w:r>
    </w:p>
    <w:p>
      <w:pPr>
        <w:pStyle w:val="FirstParagraph"/>
        <w:widowControl/>
      </w:pPr>
      <w:r>
        <w:t xml:space="preserve">我这次整理的是2024年AISTATS发表的Density-Regression，作者是Ha Manh Bui和Anqi Liu。这篇论文研究的是分布变化下的回归不确定性，重点解决单个神经网络在陌生输入上仍然过度自信的问题。</w:t>
      </w:r>
    </w:p>
    <w:p>
      <w:pPr>
        <w:pStyle w:val="BodyText"/>
        <w:widowControl/>
      </w:pPr>
      <w:r>
        <w:t xml:space="preserve">普通回归可能只告诉我们预测压力是多少。高斯回归进一步输出方差，但在学习外输入上，方差不一定会适当增大。集成模型可以改善这一点，却需要多个模型。因此作者想用一个模型，在保持推理效率的同时，让不确定性反映输入的熟悉程度。</w:t>
      </w:r>
    </w:p>
    <w:p>
      <w:pPr>
        <w:pStyle w:val="BodyText"/>
        <w:widowControl/>
      </w:pPr>
      <w:r>
        <w:t xml:space="preserve">它的做法是先把输入变成特征，再估计训练特征的密度，把密度放进预测方差。其他因子固定时，密度越低，方差越大。例如密度降低到十分之一，方差增大十倍，标准差增大约3.16倍。这里有个重要细节：固定回归头时，密度在均值公式中会消去，直接改变的是方差。</w:t>
      </w:r>
    </w:p>
    <w:p>
      <w:pPr>
        <w:pStyle w:val="BodyText"/>
        <w:widowControl/>
      </w:pPr>
      <w:r>
        <w:t xml:space="preserve">训练分成三步：先监督训练回归模型；固定编码器后训练密度模型；最后固定编码器和密度，只重新训练回归头。部署时只需要输入，不需要即时真实输出，但需要模型内部特征和专用的回归头，所以不是完全独立于目标模型的外部检测器。</w:t>
      </w:r>
    </w:p>
    <w:p>
      <w:pPr>
        <w:pStyle w:val="BodyText"/>
        <w:widowControl/>
      </w:pPr>
      <w:r>
        <w:t xml:space="preserve">实验包括立方函数外推、天气跨年份和观测站预测、红酒到白酒、室内到室外图像深度估计。结果说明多个任务上校准较好、推理成本低于集成，但不是所有指标都最好。例如天气OOD的NLL仍是MC Dropout和集成更低。</w:t>
      </w:r>
    </w:p>
    <w:p>
      <w:pPr>
        <w:pStyle w:val="BodyText"/>
        <w:widowControl/>
      </w:pPr>
      <w:r>
        <w:t xml:space="preserve">对我们的研究，最重要的结论是：它提供了学习外风险的候选信号，但论文没有给出二分类阈值、检出率或误检率。下一步若用于末端压力估计，应分别检验范围外、训练不足和新变量组合，使用独立校准数据设阈值，再评估误报、漏报和延迟。</w:t>
      </w:r>
    </w:p>
    <w:bookmarkEnd w:id="20"/>
    <w:bookmarkStart w:id="21" w:name="二-日本語の短い報告"/>
    <w:p>
      <w:pPr>
        <w:pStyle w:val="Heading2"/>
        <w:widowControl/>
      </w:pPr>
      <w:r>
        <w:rPr>
          <w:color w:val="000000"/>
        </w:rPr>
        <w:t xml:space="preserve">二 日本語の短い報告</w:t>
      </w:r>
    </w:p>
    <w:p>
      <w:pPr>
        <w:pStyle w:val="FirstParagraph"/>
        <w:widowControl/>
      </w:pPr>
      <w:r>
        <w:t xml:space="preserve">今回整理したのは、2024年のAISTATSで発表されたDensity-Regressionです。著者はHa Manh Bui氏とAnqi Liu氏です。分布が変わったとき、単一のニューラルネットワークが未知の入力に対して過信してしまう問題を扱っています。</w:t>
      </w:r>
    </w:p>
    <w:p>
      <w:pPr>
        <w:pStyle w:val="BodyText"/>
        <w:widowControl/>
      </w:pPr>
      <w:r>
        <w:t xml:space="preserve">通常の回帰は予測値を出し、ガウス回帰はさらに分散を出します。しかし学習外入力で、その分散が適切に大きくなるとは限りません。集成モデルは有効な選択肢ですが、複数モデルの保存と推論が必要です。そこで著者は、一回の順伝播で、入力への習熟度を不確実性に反映することを目指しています。</w:t>
      </w:r>
    </w:p>
    <w:p>
      <w:pPr>
        <w:pStyle w:val="BodyText"/>
        <w:widowControl/>
      </w:pPr>
      <w:r>
        <w:t xml:space="preserve">方法は、入力を特徴に変換し、学習特徴の密度を推定して、その密度を予測分散に組み込むものです。他の因子が同じなら、密度が低いほど分散が大きくなります。密度が十分の一になると分散は十倍、標準偏差は約3.16倍になります。一方、回帰ヘッドを固定すると密度は平均の式から相殺され、直接変わるのは分散です。</w:t>
      </w:r>
    </w:p>
    <w:p>
      <w:pPr>
        <w:pStyle w:val="BodyText"/>
        <w:widowControl/>
      </w:pPr>
      <w:r>
        <w:t xml:space="preserve">学習は三段階です。まず回帰モデルを教師ありで学習し、次にエンコーダを固定して特徴密度を学習し、最後にエンコーダと密度を固定して回帰ヘッドを再学習します。運用時の真値は不要ですが、内部特徴と専用ヘッドが必要なので、対象モデルから独立した外付け検出器ではありません。</w:t>
      </w:r>
    </w:p>
    <w:p>
      <w:pPr>
        <w:pStyle w:val="BodyText"/>
        <w:widowControl/>
      </w:pPr>
      <w:r>
        <w:t xml:space="preserve">実験では、合成関数、異なる年と観測所の気象、赤ワインから白ワイン、屋内から屋外の深度推定を評価しています。複数タスクで校正と効率に利点がありますが、全指標で最良ではありません。例えば気象OODのNLLは、MC Dropoutと集成の方が低くなっています。</w:t>
      </w:r>
    </w:p>
    <w:p>
      <w:pPr>
        <w:pStyle w:val="BodyText"/>
        <w:widowControl/>
      </w:pPr>
      <w:r>
        <w:t xml:space="preserve">私たちの研究では、学習外リスクの候補信号として参考になります。ただし原文は検出閾値や検出率、誤検出率を示していません。末端圧力に使う場合は、範囲外、学習不足、新しい変数の組合せを別々に検証し、校正集合で閾値を決め、見逃し、誤報、遅延を評価する必要があります。</w:t>
      </w:r>
    </w:p>
    <w:bookmarkEnd w:id="21"/>
    <w:bookmarkStart w:id="28" w:name="三-中文完整版讲稿"/>
    <w:p>
      <w:pPr>
        <w:pStyle w:val="Heading2"/>
        <w:widowControl/>
      </w:pPr>
      <w:r>
        <w:rPr>
          <w:color w:val="000000"/>
        </w:rPr>
        <w:t xml:space="preserve">三 中文完整版讲稿</w:t>
      </w:r>
    </w:p>
    <w:bookmarkStart w:id="22" w:name="问题与研究位置"/>
    <w:p>
      <w:pPr>
        <w:pStyle w:val="Heading3"/>
        <w:widowControl/>
      </w:pPr>
      <w:r>
        <w:rPr>
          <w:color w:val="000000"/>
        </w:rPr>
        <w:t xml:space="preserve">3 1 问题与研究位置</w:t>
      </w:r>
    </w:p>
    <w:p>
      <w:pPr>
        <w:pStyle w:val="FirstParagraph"/>
        <w:widowControl/>
      </w:pPr>
      <w:r>
        <w:t xml:space="preserve">这篇论文的出发点是</w:t>
      </w:r>
      <w:r>
        <w:t xml:space="preserve">“</w:t>
      </w:r>
      <w:r>
        <w:t xml:space="preserve">预测值</w:t>
      </w:r>
      <w:r>
        <w:t xml:space="preserve">”</w:t>
      </w:r>
      <w:r>
        <w:t xml:space="preserve">和</w:t>
      </w:r>
      <w:r>
        <w:t xml:space="preserve">“</w:t>
      </w:r>
      <w:r>
        <w:t xml:space="preserve">对预测的自信</w:t>
      </w:r>
      <w:r>
        <w:t xml:space="preserve">”</w:t>
      </w:r>
      <w:r>
        <w:t xml:space="preserve">可能不一致。以温度或压力预测为例，模型在常见工况下准确，不代表在新的季节、站点或变量组合下仍然准确。如果它在这些输入上仍输出很小的方差，我们就很难知道何时不应继续相信它。</w:t>
      </w:r>
    </w:p>
    <w:p>
      <w:pPr>
        <w:pStyle w:val="BodyText"/>
        <w:widowControl/>
      </w:pPr>
      <w:r>
        <w:t xml:space="preserve">作者对比了普通高斯回归与多次采样方法。普通高斯回归虽然可以预测方差，但学习目标并没有直接约束所有学习外区域。集成等方法通过模型分歧来反映不确定性，但要付出多次推理的成本。本文的目标就是把输入熟悉程度加入单个回归模型。</w:t>
      </w:r>
    </w:p>
    <w:p>
      <w:pPr>
        <w:pStyle w:val="BodyText"/>
        <w:widowControl/>
      </w:pPr>
      <w:r>
        <w:t xml:space="preserve">这里需要先明确，本篇属于不确定性估计研究。把它纳入我们的学习外输入研究是合理的，但不能直接把其校准指标当成学习外检测指标。</w:t>
      </w:r>
    </w:p>
    <w:bookmarkEnd w:id="22"/>
    <w:bookmarkStart w:id="23" w:name="核心公式与直觉"/>
    <w:p>
      <w:pPr>
        <w:pStyle w:val="Heading3"/>
        <w:widowControl/>
      </w:pPr>
      <w:r>
        <w:rPr>
          <w:color w:val="000000"/>
        </w:rPr>
        <w:t xml:space="preserve">3 2 核心公式与直觉</w:t>
      </w:r>
    </w:p>
    <w:p>
      <w:pPr>
        <w:pStyle w:val="FirstParagraph"/>
        <w:widowControl/>
      </w:pPr>
      <w:r>
        <w:t xml:space="preserve">请看报告3.4。输入经过编码器得到特征z，然后密度模型计算这个特征在训练分布中常不常见。回归头有两个输出，我们记为s和m。最终方差是exp负s除以二倍密度，均值是负m乘exp负s。</w:t>
      </w:r>
    </w:p>
    <w:p>
      <w:pPr>
        <w:pStyle w:val="BodyText"/>
        <w:widowControl/>
      </w:pPr>
      <w:r>
        <w:t xml:space="preserve">为了单独理解密度作用，假设两个二维特征的头输出相同，密度分别是0.5和0.05。若s等于0、m等于负2，两个均值都是2，但方差分别是1和10。因此较不熟悉的输入具有更宽的预测区间。</w:t>
      </w:r>
    </w:p>
    <w:p>
      <w:pPr>
        <w:pStyle w:val="BodyText"/>
        <w:widowControl/>
      </w:pPr>
      <w:r>
        <w:t xml:space="preserve">这并不意味着低密度就是学习外概率，也不意味着密度下降必然使每个实际输入的方差上升。因为在真实模型里，s也随输入改变。这个条件会影响我们怎样理解作者的距离感知理论。</w:t>
      </w:r>
    </w:p>
    <w:bookmarkEnd w:id="23"/>
    <w:bookmarkStart w:id="24" w:name="学习与推理需要什么"/>
    <w:p>
      <w:pPr>
        <w:pStyle w:val="Heading3"/>
        <w:widowControl/>
      </w:pPr>
      <w:r>
        <w:rPr>
          <w:color w:val="000000"/>
        </w:rPr>
        <w:t xml:space="preserve">3 3 学习与推理需要什么</w:t>
      </w:r>
    </w:p>
    <w:p>
      <w:pPr>
        <w:pStyle w:val="FirstParagraph"/>
        <w:widowControl/>
      </w:pPr>
      <w:r>
        <w:t xml:space="preserve">第一步使用输入和回归真值学习编码器与回归头。第二步固定编码器，只用训练特征学习密度，这一步本身不需要回归真值。第三步固定特征和密度，再用回归真值重新拟合头。</w:t>
      </w:r>
    </w:p>
    <w:p>
      <w:pPr>
        <w:pStyle w:val="BodyText"/>
        <w:widowControl/>
      </w:pPr>
      <w:r>
        <w:t xml:space="preserve">所以它不是完全无监督方法，只是不用准备额外OOD标签。在线时没有真实压力也能算方差，但必须能读取内部特征并使用该回归头。如果公司要求完全不改变原AI模型，这个方法就不能直接按原样接入。</w:t>
      </w:r>
    </w:p>
    <w:p>
      <w:pPr>
        <w:pStyle w:val="BodyText"/>
        <w:widowControl/>
      </w:pPr>
      <w:r>
        <w:t xml:space="preserve">论文说推理复杂度是O一，指的是不用随着采样次数M重复运行，不是说密度计算没有成本。对末端设备，还要测实际延迟和内存。</w:t>
      </w:r>
    </w:p>
    <w:bookmarkEnd w:id="24"/>
    <w:bookmarkStart w:id="25" w:name="实验到底支持什么"/>
    <w:p>
      <w:pPr>
        <w:pStyle w:val="Heading3"/>
        <w:widowControl/>
      </w:pPr>
      <w:r>
        <w:rPr>
          <w:color w:val="000000"/>
        </w:rPr>
        <w:t xml:space="preserve">3 4 实验到底支持什么</w:t>
      </w:r>
    </w:p>
    <w:p>
      <w:pPr>
        <w:pStyle w:val="FirstParagraph"/>
        <w:widowControl/>
      </w:pPr>
      <w:r>
        <w:t xml:space="preserve">玩具实验在负4到4之间训练，在负7到7之间测试，直观展示外推区间。天气实验用Beutenberg 2009到2016年数据作为学习与IID域，以Saaleaue 2022年为OOD域。原始记录是10分钟间隔，预测按小时，但本文没有把具体输入窗口写到能唯一确认的程度，因此我没有把输入窗口擅自填成24小时。</w:t>
      </w:r>
    </w:p>
    <w:p>
      <w:pPr>
        <w:pStyle w:val="BodyText"/>
        <w:widowControl/>
      </w:pPr>
      <w:r>
        <w:t xml:space="preserve">天气OOD中，本方法的Cal是0.23，集成是0.25，校准均值略低；但NLL是负2.16，而集成是负2.44，MC Dropout是负2.52。因此应说有校准与效率优势，不能说所有指标全面领先。</w:t>
      </w:r>
    </w:p>
    <w:p>
      <w:pPr>
        <w:pStyle w:val="BodyText"/>
        <w:widowControl/>
      </w:pPr>
      <w:r>
        <w:t xml:space="preserve">葡萄酒用红酒学习，白酒作为OOD。本方法与集成的结果很接近。图像实验是室内训练、室外评价，本方法的Cal较低，但集成的RMSE仍较好。补充材料的9个UCI数据集主要是IID回归评估，不能把它们都叫学习外实验。</w:t>
      </w:r>
    </w:p>
    <w:bookmarkEnd w:id="25"/>
    <w:bookmarkStart w:id="26" w:name="理论要怎样谨慎解释"/>
    <w:p>
      <w:pPr>
        <w:pStyle w:val="Heading3"/>
        <w:widowControl/>
      </w:pPr>
      <w:r>
        <w:rPr>
          <w:color w:val="000000"/>
        </w:rPr>
        <w:t xml:space="preserve">3 5 理论要怎样谨慎解释</w:t>
      </w:r>
    </w:p>
    <w:p>
      <w:pPr>
        <w:pStyle w:val="FirstParagraph"/>
        <w:widowControl/>
      </w:pPr>
      <w:r>
        <w:t xml:space="preserve">作者尝试把低密度、远距离和高不确定性连接起来。固定其他因子时，密度低使方差大，这个代数关系很清楚。但是尾部密度下降并不直接保证复杂分布里所有输入都按期望距离正确排序。证明里还有距离趋零与密度趋于无穷的联系，对普通有限方差高斯就不能直接这样解释。</w:t>
      </w:r>
    </w:p>
    <w:p>
      <w:pPr>
        <w:pStyle w:val="BodyText"/>
        <w:widowControl/>
      </w:pPr>
      <w:r>
        <w:t xml:space="preserve">我的判断不是</w:t>
      </w:r>
      <w:r>
        <w:t xml:space="preserve">“</w:t>
      </w:r>
      <w:r>
        <w:t xml:space="preserve">方法没有用</w:t>
      </w:r>
      <w:r>
        <w:t xml:space="preserve">”</w:t>
      </w:r>
      <w:r>
        <w:t xml:space="preserve">，而是把已经明确的机制、作者的理论主张和需要验证的条件分开。最终仍应以我们的数据来检验它是否发现关心的变化。</w:t>
      </w:r>
    </w:p>
    <w:bookmarkEnd w:id="26"/>
    <w:bookmarkStart w:id="27" w:name="与末端压力研究的连接"/>
    <w:p>
      <w:pPr>
        <w:pStyle w:val="Heading3"/>
        <w:widowControl/>
      </w:pPr>
      <w:r>
        <w:rPr>
          <w:color w:val="000000"/>
        </w:rPr>
        <w:t xml:space="preserve">3 6 与末端压力研究的连接</w:t>
      </w:r>
    </w:p>
    <w:p>
      <w:pPr>
        <w:pStyle w:val="FirstParagraph"/>
        <w:widowControl/>
      </w:pPr>
      <w:r>
        <w:t xml:space="preserve">对末端压力模型，先确认是同一时刻的静态估计，还是要输入一段历史。若需要历史窗口，就必须让编码器保留变量之间与时间之间的关系。再分别构造三类测试：超范围、训练稀疏区域、各变量仍在范围内但组合关系改变。</w:t>
      </w:r>
    </w:p>
    <w:p>
      <w:pPr>
        <w:pStyle w:val="BodyText"/>
        <w:widowControl/>
      </w:pPr>
      <w:r>
        <w:t xml:space="preserve">检测分数可以比较负对数密度和对数方差；两者不等价。阈值在独立学习内校准集确定，之后报告指定误报率下的检出率、事件召回和延迟。没有学习外真值时，只能说明分数变化或它与误差相关，不能声称检出率高。</w:t>
      </w:r>
    </w:p>
    <w:p>
      <w:pPr>
        <w:pStyle w:val="BodyText"/>
        <w:widowControl/>
      </w:pPr>
      <w:r>
        <w:t xml:space="preserve">因此，本篇值得保留为</w:t>
      </w:r>
      <w:r>
        <w:t xml:space="preserve">“</w:t>
      </w:r>
      <w:r>
        <w:t xml:space="preserve">密度辅助的回归不确定性</w:t>
      </w:r>
      <w:r>
        <w:t xml:space="preserve">”</w:t>
      </w:r>
      <w:r>
        <w:t xml:space="preserve">候选方法，但还不能直接作为已完成工程验证的学习外告警模块。</w:t>
      </w:r>
    </w:p>
    <w:bookmarkEnd w:id="27"/>
    <w:bookmarkEnd w:id="28"/>
    <w:bookmarkStart w:id="35" w:name="四-日本語の詳細報告原稿"/>
    <w:p>
      <w:pPr>
        <w:pStyle w:val="Heading2"/>
        <w:widowControl/>
      </w:pPr>
      <w:r>
        <w:rPr>
          <w:color w:val="000000"/>
        </w:rPr>
        <w:t xml:space="preserve">四 日本語の詳細報告原稿</w:t>
      </w:r>
    </w:p>
    <w:bookmarkStart w:id="29" w:name="背景と位置付け"/>
    <w:p>
      <w:pPr>
        <w:pStyle w:val="Heading3"/>
        <w:widowControl/>
      </w:pPr>
      <w:r>
        <w:rPr>
          <w:color w:val="000000"/>
        </w:rPr>
        <w:t xml:space="preserve">4 1 背景と位置付け</w:t>
      </w:r>
    </w:p>
    <w:p>
      <w:pPr>
        <w:pStyle w:val="FirstParagraph"/>
        <w:widowControl/>
      </w:pPr>
      <w:r>
        <w:t xml:space="preserve">本論文の出発点は、予測値の正確さとモデルの自信が一致しない場合があることです。温度や圧力を例にすると、通常の運転条件で正確でも、別の季節や地点、新しい変数の組合せでも正確とは限りません。その際に分散が小さいままだと、予測をいつ慎重に扱うべきか分かりません。</w:t>
      </w:r>
    </w:p>
    <w:p>
      <w:pPr>
        <w:pStyle w:val="BodyText"/>
        <w:widowControl/>
      </w:pPr>
      <w:r>
        <w:t xml:space="preserve">通常のガウス回帰は分散も学習しますが、学習外領域全体を直接制約しているわけではありません。集成はモデル間の違いを利用できますが、複数回の推論が必要です。著者は入力への習熟度を単一の回帰モデルに取り入れようとしています。</w:t>
      </w:r>
    </w:p>
    <w:p>
      <w:pPr>
        <w:pStyle w:val="BodyText"/>
        <w:widowControl/>
      </w:pPr>
      <w:r>
        <w:t xml:space="preserve">本論文を学習外入力研究に含める意味はありますが、校正の指標を学習外検出の指標に置き換えることはできません。</w:t>
      </w:r>
    </w:p>
    <w:bookmarkEnd w:id="29"/>
    <w:bookmarkStart w:id="30" w:name="仕組みと式"/>
    <w:p>
      <w:pPr>
        <w:pStyle w:val="Heading3"/>
        <w:widowControl/>
      </w:pPr>
      <w:r>
        <w:rPr>
          <w:color w:val="000000"/>
        </w:rPr>
        <w:t xml:space="preserve">4 2 仕組みと式</w:t>
      </w:r>
    </w:p>
    <w:p>
      <w:pPr>
        <w:pStyle w:val="FirstParagraph"/>
        <w:widowControl/>
      </w:pPr>
      <w:r>
        <w:t xml:space="preserve">報告書の3.4をご覧ください。入力を特徴zに変換し、密度モデルがその特徴が学習分布でどの程度よく現れるかを計算します。回帰ヘッドの出力をsとmとすると、分散はexpマイナスsを密度の二倍で割った値、平均はマイナスmとexpマイナスsの積になります。</w:t>
      </w:r>
    </w:p>
    <w:p>
      <w:pPr>
        <w:pStyle w:val="BodyText"/>
        <w:widowControl/>
      </w:pPr>
      <w:r>
        <w:t xml:space="preserve">密度だけの効果を見るため、二つの二次元特徴でヘッド出力が同じだとします。密度が0.5と0.05、sが0、mがマイナス2なら、平均は両方2で、分散は1と10です。習熟度の低い入力で予測区間が広がる機構が分かります。</w:t>
      </w:r>
    </w:p>
    <w:p>
      <w:pPr>
        <w:pStyle w:val="BodyText"/>
        <w:widowControl/>
      </w:pPr>
      <w:r>
        <w:t xml:space="preserve">ただし密度は学習内確率ではなく、実際にはsも入力で変わります。そのため、密度が下がれば任意の入力で必ず分散が上がる、とまで言うには追加条件が必要です。</w:t>
      </w:r>
    </w:p>
    <w:bookmarkEnd w:id="30"/>
    <w:bookmarkStart w:id="31" w:name="必要な情報と費用"/>
    <w:p>
      <w:pPr>
        <w:pStyle w:val="Heading3"/>
        <w:widowControl/>
      </w:pPr>
      <w:r>
        <w:rPr>
          <w:color w:val="000000"/>
        </w:rPr>
        <w:t xml:space="preserve">4 3 必要な情報と費用</w:t>
      </w:r>
    </w:p>
    <w:p>
      <w:pPr>
        <w:pStyle w:val="FirstParagraph"/>
        <w:widowControl/>
      </w:pPr>
      <w:r>
        <w:t xml:space="preserve">まず入力と回帰真値でエンコーダとヘッドを学習します。次にエンコーダを固定し、特徴から密度を学習します。この段階だけは真値不要です。最後に特徴と密度を固定し、真値を使ってヘッドを再学習します。</w:t>
      </w:r>
    </w:p>
    <w:p>
      <w:pPr>
        <w:pStyle w:val="BodyText"/>
        <w:widowControl/>
      </w:pPr>
      <w:r>
        <w:t xml:space="preserve">従って完全な教師なし手法ではありません。不要なのは追加のOOD学習ラベルです。運用時に実際の圧力がまだ分からなくても計算できますが、内部特徴と専用ヘッドを使います。元のAIを変更しないという要件には、そのままでは合いません。</w:t>
      </w:r>
    </w:p>
    <w:p>
      <w:pPr>
        <w:pStyle w:val="BodyText"/>
        <w:widowControl/>
      </w:pPr>
      <w:r>
        <w:t xml:space="preserve">O一という記述は、サンプリング回数Mに比例した繰返しが不要という意味です。密度モデルの費用は残るので、対象機器の遅延とメモリは実測する必要があります。</w:t>
      </w:r>
    </w:p>
    <w:bookmarkEnd w:id="31"/>
    <w:bookmarkStart w:id="32" w:name="実験の読み方"/>
    <w:p>
      <w:pPr>
        <w:pStyle w:val="Heading3"/>
        <w:widowControl/>
      </w:pPr>
      <w:r>
        <w:rPr>
          <w:color w:val="000000"/>
        </w:rPr>
        <w:t xml:space="preserve">4 4 実験の読み方</w:t>
      </w:r>
    </w:p>
    <w:p>
      <w:pPr>
        <w:pStyle w:val="FirstParagraph"/>
        <w:widowControl/>
      </w:pPr>
      <w:r>
        <w:t xml:space="preserve">合成実験はマイナス4から4で学習し、マイナス7から7で評価します。気象実験ではBeutenbergの2009年から2016年を学習とIID、Saaleaueの2022年をOODとしています。元記録は10分間隔で、予測は時間単位ですが、入力窓を一意に確認できる記述は得られなかったため、24時間と推測して記入していません。</w:t>
      </w:r>
    </w:p>
    <w:p>
      <w:pPr>
        <w:pStyle w:val="BodyText"/>
        <w:widowControl/>
      </w:pPr>
      <w:r>
        <w:t xml:space="preserve">気象OODのCalは提案法0.23、集成0.25です。一方NLLは提案法マイナス2.16、集成マイナス2.44、MC Dropoutマイナス2.52です。校正と効率に利点があっても、すべての指標で優れているとは言えません。</w:t>
      </w:r>
    </w:p>
    <w:p>
      <w:pPr>
        <w:pStyle w:val="BodyText"/>
        <w:widowControl/>
      </w:pPr>
      <w:r>
        <w:t xml:space="preserve">ワインでは赤から白へのドメイン変化を評価し、集成と近い性能です。深度推定では屋内から屋外への変化を評価し、提案法のCalが低い一方、RMSEは集成の方が良好です。補足の9つのUCI実験は通常のIID回帰であり、すべてをOOD実験として数えてはいけません。</w:t>
      </w:r>
    </w:p>
    <w:bookmarkEnd w:id="32"/>
    <w:bookmarkStart w:id="33" w:name="理論の扱い"/>
    <w:p>
      <w:pPr>
        <w:pStyle w:val="Heading3"/>
        <w:widowControl/>
      </w:pPr>
      <w:r>
        <w:rPr>
          <w:color w:val="000000"/>
        </w:rPr>
        <w:t xml:space="preserve">4 5 理論の扱い</w:t>
      </w:r>
    </w:p>
    <w:p>
      <w:pPr>
        <w:pStyle w:val="FirstParagraph"/>
        <w:widowControl/>
      </w:pPr>
      <w:r>
        <w:t xml:space="preserve">密度が低いと、他の因子を固定した分散が大きくなる関係は明確です。ただし尾部での密度低下から、複雑な分布の全入力が期待距離で正しく順位付けされるとは直接言えません。距離がゼロへ近づくと密度が無限大になるという議論にも、通常の有限分散ガウスでは追加の説明が必要です。</w:t>
      </w:r>
    </w:p>
    <w:p>
      <w:pPr>
        <w:pStyle w:val="BodyText"/>
        <w:widowControl/>
      </w:pPr>
      <w:r>
        <w:t xml:space="preserve">これは手法全体を否定する指摘ではありません。明確な機構、著者の理論的主張、確認すべき条件を分けたうえで、対象データで検証するという整理です。</w:t>
      </w:r>
    </w:p>
    <w:bookmarkEnd w:id="33"/>
    <w:bookmarkStart w:id="34" w:name="末端圧力への応用"/>
    <w:p>
      <w:pPr>
        <w:pStyle w:val="Heading3"/>
        <w:widowControl/>
      </w:pPr>
      <w:r>
        <w:rPr>
          <w:color w:val="000000"/>
        </w:rPr>
        <w:t xml:space="preserve">4 6 末端圧力への応用</w:t>
      </w:r>
    </w:p>
    <w:p>
      <w:pPr>
        <w:pStyle w:val="FirstParagraph"/>
        <w:widowControl/>
      </w:pPr>
      <w:r>
        <w:t xml:space="preserve">まず、同時刻の静的推定か、過去の窓を使う動的予測かを確定する必要があります。系列を使う場合は、変数間と時間方向の関係を特徴に保持します。評価では、範囲外、学習の疎な領域、範囲内だが新しい組合せ、という三条件を分離します。</w:t>
      </w:r>
    </w:p>
    <w:p>
      <w:pPr>
        <w:pStyle w:val="BodyText"/>
        <w:widowControl/>
      </w:pPr>
      <w:r>
        <w:t xml:space="preserve">負の対数密度と対数分散を候補スコアとして比較し、独立した校正集合で閾値を決めます。その後、指定誤報率での検出率、イベント再現率、遅延を測ります。正解ラベルがなければスコア変化は観察できますが、高い検出率の証明にはなりません。</w:t>
      </w:r>
    </w:p>
    <w:p>
      <w:pPr>
        <w:pStyle w:val="BodyText"/>
        <w:widowControl/>
      </w:pPr>
      <w:r>
        <w:t xml:space="preserve">以上から、本論文は密度を利用した回帰不確実性の候補として有用ですが、検証済みの現場警報としてはまだ扱えないと考えます。</w:t>
      </w:r>
    </w:p>
    <w:bookmarkEnd w:id="34"/>
    <w:bookmarkEnd w:id="35"/>
    <w:bookmarkStart w:id="38" w:name="五-公式口头解释卡"/>
    <w:p>
      <w:pPr>
        <w:pStyle w:val="Heading2"/>
        <w:widowControl/>
      </w:pPr>
      <w:r>
        <w:rPr>
          <w:color w:val="000000"/>
        </w:rPr>
        <w:t xml:space="preserve">五 公式口头解释卡</w:t>
      </w:r>
    </w:p>
    <w:bookmarkStart w:id="36" w:name="最重要的公式"/>
    <w:p>
      <w:pPr>
        <w:pStyle w:val="Heading3"/>
        <w:widowControl/>
      </w:pPr>
      <w:r>
        <w:rPr>
          <w:color w:val="000000"/>
        </w:rPr>
        <w:t xml:space="preserve">5 1 最重要的公式</w:t>
      </w:r>
    </w:p>
    <w:p>
      <w:pPr>
        <w:pStyle w:val="FirstParagraph"/>
        <w:widowControl/>
      </w:pPr>
      <m:oMathPara>
        <m:oMathParaPr>
          <m:jc m:val="center"/>
        </m:oMathParaPr>
        <m:oMath>
          <m:r>
            <m:rPr>
              <m:nor/>
              <m:sty m:val="p"/>
            </m:rPr>
            <m:t>log</m:t>
            <w:rPr>
              <w:rFonts w:ascii="Cambria Math" w:hAnsi="Cambria Math"/>
            </w:rPr>
          </m:r>
          <m:r>
            <m:t>σ</m:t>
            <w:rPr>
              <w:rFonts w:ascii="Cambria Math" w:hAnsi="Cambria Math"/>
            </w:rPr>
          </m:r>
          <m:r>
            <m:rPr>
              <m:sty m:val="p"/>
            </m:rPr>
            <m:t>=</m:t>
            <w:rPr>
              <w:rFonts w:ascii="Cambria Math" w:hAnsi="Cambria Math"/>
            </w:rPr>
          </m:r>
          <m:r>
            <m:rPr>
              <m:sty m:val="p"/>
            </m:rPr>
            <m:t>−</m:t>
            <w:rPr>
              <w:rFonts w:ascii="Cambria Math" w:hAnsi="Cambria Math"/>
            </w:rPr>
          </m:r>
          <m:f>
            <m:fPr>
              <m:type m:val="bar"/>
            </m:fPr>
            <m:num>
              <m:r>
                <m:t>1</m:t>
                <w:rPr>
                  <w:rFonts w:ascii="Cambria Math" w:hAnsi="Cambria Math"/>
                </w:rPr>
              </m:r>
            </m:num>
            <m:den>
              <m:r>
                <m:t>2</m:t>
                <w:rPr>
                  <w:rFonts w:ascii="Cambria Math" w:hAnsi="Cambria Math"/>
                </w:rPr>
              </m:r>
            </m:den>
          </m:f>
          <m:r>
            <m:rPr>
              <m:sty m:val="p"/>
            </m:rPr>
            <m:t>(</m:t>
            <w:rPr>
              <w:rFonts w:ascii="Cambria Math" w:hAnsi="Cambria Math"/>
            </w:rPr>
          </m:r>
          <m:r>
            <m:rPr>
              <m:nor/>
              <m:sty m:val="p"/>
            </m:rPr>
            <m:t>log</m:t>
            <w:rPr>
              <w:rFonts w:ascii="Cambria Math" w:hAnsi="Cambria Math"/>
            </w:rPr>
          </m:r>
          <m:r>
            <m:t>2</m:t>
            <w:rPr>
              <w:rFonts w:ascii="Cambria Math" w:hAnsi="Cambria Math"/>
            </w:rPr>
          </m:r>
          <m:r>
            <m:rPr>
              <m:sty m:val="p"/>
            </m:rPr>
            <m:t>+</m:t>
            <w:rPr>
              <w:rFonts w:ascii="Cambria Math" w:hAnsi="Cambria Math"/>
            </w:rPr>
          </m:r>
          <m:r>
            <m:rPr>
              <m:nor/>
              <m:sty m:val="p"/>
            </m:rPr>
            <m:t>log</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s</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f>
            <m:fPr>
              <m:type m:val="bar"/>
            </m:fPr>
            <m:num>
              <m:sSup>
                <m:e>
                  <m:r>
                    <m:t>e</m:t>
                    <w:rPr>
                      <w:rFonts w:ascii="Cambria Math" w:hAnsi="Cambria Math"/>
                    </w:rPr>
                  </m:r>
                </m:e>
                <m:sup>
                  <m:r>
                    <m:rPr>
                      <m:sty m:val="p"/>
                    </m:rPr>
                    <m:t>−</m:t>
                    <w:rPr>
                      <w:rFonts w:ascii="Cambria Math" w:hAnsi="Cambria Math"/>
                    </w:rPr>
                  </m:r>
                  <m:r>
                    <m:t>s</m:t>
                    <w:rPr>
                      <w:rFonts w:ascii="Cambria Math" w:hAnsi="Cambria Math"/>
                    </w:rPr>
                  </m:r>
                </m:sup>
              </m:sSup>
            </m:num>
            <m:den>
              <m:r>
                <m:t>2</m:t>
                <w:rPr>
                  <w:rFonts w:ascii="Cambria Math" w:hAnsi="Cambria Math"/>
                </w:rPr>
              </m:r>
              <m:sSub>
                <m:e>
                  <m:r>
                    <m:t>p</m:t>
                    <w:rPr>
                      <w:rFonts w:ascii="Cambria Math" w:hAnsi="Cambria Math"/>
                    </w:rPr>
                  </m:r>
                </m:e>
                <m:sub>
                  <m:r>
                    <m:t>Z</m:t>
                    <w:rPr>
                      <w:rFonts w:ascii="Cambria Math" w:hAnsi="Cambria Math"/>
                    </w:rPr>
                  </m:r>
                </m:sub>
              </m:sSub>
            </m:den>
          </m:f>
          <m:r>
            <m:rPr>
              <m:sty m:val="p"/>
            </m:rPr>
            <m:t>,</m:t>
            <w:rPr>
              <w:rFonts w:ascii="Cambria Math" w:hAnsi="Cambria Math"/>
            </w:rPr>
          </m:r>
          <m:r>
            <m:t> </m:t>
            <w:rPr>
              <w:rFonts w:ascii="Cambria Math" w:hAnsi="Cambria Math"/>
            </w:rPr>
          </m:r>
          <m:r>
            <m:t>μ</m:t>
            <w:rPr>
              <w:rFonts w:ascii="Cambria Math" w:hAnsi="Cambria Math"/>
            </w:rPr>
          </m:r>
          <m:r>
            <m:rPr>
              <m:sty m:val="p"/>
            </m:rPr>
            <m:t>=</m:t>
            <w:rPr>
              <w:rFonts w:ascii="Cambria Math" w:hAnsi="Cambria Math"/>
            </w:rPr>
          </m:r>
          <m:r>
            <m:rPr>
              <m:sty m:val="p"/>
            </m:rPr>
            <m:t>−</m:t>
            <w:rPr>
              <w:rFonts w:ascii="Cambria Math" w:hAnsi="Cambria Math"/>
            </w:rPr>
          </m:r>
          <m:r>
            <m:t>m</m:t>
            <w:rPr>
              <w:rFonts w:ascii="Cambria Math" w:hAnsi="Cambria Math"/>
            </w:rPr>
          </m:r>
          <m:sSup>
            <m:e>
              <m:r>
                <m:t>e</m:t>
                <w:rPr>
                  <w:rFonts w:ascii="Cambria Math" w:hAnsi="Cambria Math"/>
                </w:rPr>
              </m:r>
            </m:e>
            <m:sup>
              <m:r>
                <m:rPr>
                  <m:sty m:val="p"/>
                </m:rPr>
                <m:t>−</m:t>
                <w:rPr>
                  <w:rFonts w:ascii="Cambria Math" w:hAnsi="Cambria Math"/>
                </w:rPr>
              </m:r>
              <m:r>
                <m:t>s</m:t>
                <w:rPr>
                  <w:rFonts w:ascii="Cambria Math" w:hAnsi="Cambria Math"/>
                </w:rPr>
              </m:r>
            </m:sup>
          </m:sSup>
          <m:r>
            <m:rPr>
              <m:sty m:val="p"/>
            </m:rPr>
            <m:t>.</m:t>
            <w:rPr>
              <w:rFonts w:ascii="Cambria Math" w:hAnsi="Cambria Math"/>
            </w:rPr>
          </m:r>
        </m:oMath>
      </m:oMathPara>
    </w:p>
    <w:p>
      <w:pPr>
        <w:pStyle w:val="FirstParagraph"/>
        <w:widowControl/>
      </w:pPr>
      <w:r>
        <w:t xml:space="preserve">中文读法：</w:t>
      </w:r>
      <w:r>
        <w:t xml:space="preserve">“</w:t>
      </w:r>
      <w:r>
        <w:t xml:space="preserve">先把特征密度取对数，加上回归头的一个输出和常数，再乘负二分之一，得到标准差的对数。密度越小，在其他条件不变时标准差越大。平均中密度消掉了。</w:t>
      </w:r>
      <w:r>
        <w:t xml:space="preserve">”</w:t>
      </w:r>
    </w:p>
    <w:p>
      <w:pPr>
        <w:pStyle w:val="BodyText"/>
        <w:widowControl/>
      </w:pPr>
      <w:r>
        <w:t xml:space="preserve">日本語：「特徴密度の対数とヘッド出力、定数を足し、マイナス二分の一を掛けると標準偏差の対数になります。他の条件が同じなら低密度ほど分布が広がります。平均の式では密度が相殺されます。」</w:t>
      </w:r>
    </w:p>
    <w:p>
      <w:pPr>
        <w:pStyle w:val="BodyText"/>
        <w:widowControl/>
      </w:pPr>
      <w:r>
        <w:t xml:space="preserve">注意：方差是标准差的平方；log_std不是方差。注意：分散は標準偏差の二乗であり、log_stdそのものは分散ではない。</w:t>
      </w:r>
    </w:p>
    <w:bookmarkEnd w:id="36"/>
    <w:bookmarkStart w:id="37" w:name="从分数到检测的扩展"/>
    <w:p>
      <w:pPr>
        <w:pStyle w:val="Heading3"/>
        <w:widowControl/>
      </w:pPr>
      <w:r>
        <w:rPr>
          <w:color w:val="000000"/>
        </w:rPr>
        <w:t xml:space="preserve">5 2 从分数到检测的扩展</w:t>
      </w:r>
    </w:p>
    <w:p>
      <w:pPr>
        <w:pStyle w:val="FirstParagraph"/>
        <w:widowControl/>
      </w:pPr>
      <m:oMathPara>
        <m:oMathParaPr>
          <m:jc m:val="center"/>
        </m:oMathParaPr>
        <m:oMath>
          <m:r>
            <m:t>S</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r>
            <m:rPr>
              <m:nor/>
              <m:sty m:val="p"/>
            </m:rPr>
            <m:t>log</m:t>
            <w:rPr>
              <w:rFonts w:ascii="Cambria Math" w:hAnsi="Cambria Math"/>
            </w:rPr>
          </m:r>
          <m:sSub>
            <m:e>
              <m:r>
                <m:t>p</m:t>
                <w:rPr>
                  <w:rFonts w:ascii="Cambria Math" w:hAnsi="Cambria Math"/>
                </w:rPr>
              </m:r>
            </m:e>
            <m:sub>
              <m:r>
                <m:t>Z</m:t>
                <w:rPr>
                  <w:rFonts w:ascii="Cambria Math" w:hAnsi="Cambria Math"/>
                </w:rPr>
              </m:r>
            </m:sub>
          </m:sSub>
          <m:r>
            <m:rPr>
              <m:sty m:val="p"/>
            </m:rPr>
            <m:t>(</m:t>
            <w:rPr>
              <w:rFonts w:ascii="Cambria Math" w:hAnsi="Cambria Math"/>
            </w:rPr>
          </m:r>
          <m:r>
            <m:t>f</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r>
            <m:rPr>
              <m:nor/>
              <m:sty m:val="p"/>
            </m:rPr>
            <m:t>or</m:t>
            <w:rPr>
              <w:rFonts w:ascii="Cambria Math" w:hAnsi="Cambria Math"/>
            </w:rPr>
          </m:r>
          <m:r>
            <m:t> </m:t>
            <w:rPr>
              <w:rFonts w:ascii="Cambria Math" w:hAnsi="Cambria Math"/>
            </w:rPr>
          </m:r>
          <m:r>
            <m:t>S</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nor/>
              <m:sty m:val="p"/>
            </m:rPr>
            <m:t>log</m:t>
            <w:rPr>
              <w:rFonts w:ascii="Cambria Math" w:hAnsi="Cambria Math"/>
            </w:rPr>
          </m:r>
          <m:sSup>
            <m:e>
              <m:r>
                <m:t>σ</m:t>
                <w:rPr>
                  <w:rFonts w:ascii="Cambria Math" w:hAnsi="Cambria Math"/>
                </w:rPr>
              </m:r>
            </m:e>
            <m:sup>
              <m:r>
                <m:t>2</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acc>
            <m:accPr>
              <m:chr m:val="̂"/>
            </m:accPr>
            <m:e>
              <m:r>
                <m:t>o</m:t>
                <w:rPr>
                  <w:rFonts w:ascii="Cambria Math" w:hAnsi="Cambria Math"/>
                </w:rPr>
              </m:r>
            </m:e>
          </m:acc>
          <m:r>
            <m:rPr>
              <m:sty m:val="p"/>
            </m:rPr>
            <m:t>=</m:t>
            <w:rPr>
              <w:rFonts w:ascii="Cambria Math" w:hAnsi="Cambria Math"/>
            </w:rPr>
          </m:r>
          <m:r>
            <m:rPr>
              <m:sty m:val="b"/>
            </m:rPr>
            <m:t>1</m:t>
            <w:rPr>
              <w:rFonts w:ascii="Cambria Math" w:hAnsi="Cambria Math"/>
            </w:rPr>
          </m:r>
          <m:r>
            <m:rPr>
              <m:sty m:val="p"/>
            </m:rPr>
            <m:t>{</m:t>
            <w:rPr>
              <w:rFonts w:ascii="Cambria Math" w:hAnsi="Cambria Math"/>
            </w:rPr>
          </m:r>
          <m:r>
            <m:t>S</m:t>
            <w:rPr>
              <w:rFonts w:ascii="Cambria Math" w:hAnsi="Cambria Math"/>
            </w:rPr>
          </m:r>
          <m:r>
            <m:rPr>
              <m:sty m:val="p"/>
            </m:rPr>
            <m:t>&gt;</m:t>
            <w:rPr>
              <w:rFonts w:ascii="Cambria Math" w:hAnsi="Cambria Math"/>
            </w:rPr>
          </m:r>
          <m:r>
            <m:t>τ</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w:r>
        <w:t xml:space="preserve">中文：</w:t>
      </w:r>
      <w:r>
        <w:t xml:space="preserve">“</w:t>
      </w:r>
      <w:r>
        <w:t xml:space="preserve">这个二分类步骤是我们的应用方案，不是作者已经验证的检测算法。需要先选分数，再在独立数据上设阈值。</w:t>
      </w:r>
      <w:r>
        <w:t xml:space="preserve">”</w:t>
      </w:r>
    </w:p>
    <w:p>
      <w:pPr>
        <w:pStyle w:val="BodyText"/>
        <w:widowControl/>
      </w:pPr>
      <w:r>
        <w:t xml:space="preserve">日本語：「この二値化は私たちの適用案で、著者が検証済みの検出規則ではありません。スコアを選び、独立したデータで閾値を設定します。」</w:t>
      </w:r>
    </w:p>
    <w:bookmarkEnd w:id="37"/>
    <w:bookmarkEnd w:id="38"/>
    <w:bookmarkStart w:id="57" w:name="六-带教可能追问的问题"/>
    <w:p>
      <w:pPr>
        <w:pStyle w:val="Heading2"/>
        <w:widowControl/>
      </w:pPr>
      <w:r>
        <w:rPr>
          <w:color w:val="000000"/>
        </w:rPr>
        <w:t xml:space="preserve">六 带教可能追问的问题</w:t>
      </w:r>
    </w:p>
    <w:bookmarkStart w:id="39" w:name="这篇是异常检测论文吗"/>
    <w:p>
      <w:pPr>
        <w:pStyle w:val="Heading3"/>
        <w:widowControl/>
      </w:pPr>
      <w:r>
        <w:rPr>
          <w:color w:val="000000"/>
        </w:rPr>
        <w:t xml:space="preserve">6 1 这篇是异常检测论文吗</w:t>
      </w:r>
    </w:p>
    <w:p>
      <w:pPr>
        <w:pStyle w:val="FirstParagraph"/>
        <w:widowControl/>
      </w:pPr>
      <w:r>
        <w:t xml:space="preserve">中文答：主要是分布变化下的回归不确定性论文。它与学习外风险相关，但没有完成独立异常检测的阈值和性能评价。</w:t>
      </w:r>
    </w:p>
    <w:p>
      <w:pPr>
        <w:pStyle w:val="BodyText"/>
        <w:widowControl/>
      </w:pPr>
      <w:r>
        <w:t xml:space="preserve">日本語：主題は分布シフト下の回帰不確実性です。学習外リスクと関係しますが、独立検出の閾値と性能評価はありません。</w:t>
      </w:r>
    </w:p>
    <w:bookmarkEnd w:id="39"/>
    <w:bookmarkStart w:id="40" w:name="学习外具体指什么"/>
    <w:p>
      <w:pPr>
        <w:pStyle w:val="Heading3"/>
        <w:widowControl/>
      </w:pPr>
      <w:r>
        <w:rPr>
          <w:color w:val="000000"/>
        </w:rPr>
        <w:t xml:space="preserve">6 2 学习外具体指什么</w:t>
      </w:r>
    </w:p>
    <w:p>
      <w:pPr>
        <w:pStyle w:val="FirstParagraph"/>
        <w:widowControl/>
      </w:pPr>
      <w:r>
        <w:t xml:space="preserve">中文答：原文泛指与训练分布不同的测试域。实验用区间、地点年份、红白酒和室内外场景定义，不是统一按每个输入变量的最小最大值判断。</w:t>
      </w:r>
    </w:p>
    <w:p>
      <w:pPr>
        <w:pStyle w:val="BodyText"/>
        <w:widowControl/>
      </w:pPr>
      <w:r>
        <w:t xml:space="preserve">日本語：学習分布と異なるテストドメインを指します。実験では範囲、場所と年、赤白、屋内外で定義し、全変数の上下限による統一判定ではありません。</w:t>
      </w:r>
    </w:p>
    <w:bookmarkEnd w:id="40"/>
    <w:bookmarkStart w:id="41" w:name="密度等于学习内概率吗"/>
    <w:p>
      <w:pPr>
        <w:pStyle w:val="Heading3"/>
        <w:widowControl/>
      </w:pPr>
      <w:r>
        <w:rPr>
          <w:color w:val="000000"/>
        </w:rPr>
        <w:t xml:space="preserve">6 3 密度等于学习内概率吗</w:t>
      </w:r>
    </w:p>
    <w:p>
      <w:pPr>
        <w:pStyle w:val="FirstParagraph"/>
        <w:widowControl/>
      </w:pPr>
      <w:r>
        <w:t xml:space="preserve">中文答：不等于。密度是单位体积的概率质量，受特征尺度影响，可以大于1，不能读成属于学习内的百分比。</w:t>
      </w:r>
    </w:p>
    <w:p>
      <w:pPr>
        <w:pStyle w:val="BodyText"/>
        <w:widowControl/>
      </w:pPr>
      <w:r>
        <w:t xml:space="preserve">日本語：異なります。密度は単位体積当たりの確率質量で、尺度に依存し1を超えることもあります。学習内の百分率ではありません。</w:t>
      </w:r>
    </w:p>
    <w:bookmarkEnd w:id="41"/>
    <w:bookmarkStart w:id="42" w:name="为什么密度低要扩大方差"/>
    <w:p>
      <w:pPr>
        <w:pStyle w:val="Heading3"/>
        <w:widowControl/>
      </w:pPr>
      <w:r>
        <w:rPr>
          <w:color w:val="000000"/>
        </w:rPr>
        <w:t xml:space="preserve">6 4 为什么密度低要扩大方差</w:t>
      </w:r>
    </w:p>
    <w:p>
      <w:pPr>
        <w:pStyle w:val="FirstParagraph"/>
        <w:widowControl/>
      </w:pPr>
      <w:r>
        <w:t xml:space="preserve">中文答：作者希望用低密度表示训练经验少。公式把密度放在方差分母，因此固定其他项时，低密度自动放大方差。</w:t>
      </w:r>
    </w:p>
    <w:p>
      <w:pPr>
        <w:pStyle w:val="BodyText"/>
        <w:widowControl/>
      </w:pPr>
      <w:r>
        <w:t xml:space="preserve">日本語：低密度を学習経験の少なさの代理にします。分散の分母に密度を置くため、他の項を固定すると低密度で分散が増えます。</w:t>
      </w:r>
    </w:p>
    <w:bookmarkEnd w:id="42"/>
    <w:bookmarkStart w:id="43" w:name="均值会随密度变化吗"/>
    <w:p>
      <w:pPr>
        <w:pStyle w:val="Heading3"/>
        <w:widowControl/>
      </w:pPr>
      <w:r>
        <w:rPr>
          <w:color w:val="000000"/>
        </w:rPr>
        <w:t xml:space="preserve">6 5 均值会随密度变化吗</w:t>
      </w:r>
    </w:p>
    <w:p>
      <w:pPr>
        <w:pStyle w:val="FirstParagraph"/>
        <w:widowControl/>
      </w:pPr>
      <w:r>
        <w:t xml:space="preserve">中文答：固定回归头时直接不变，密度相消；但第三阶段重新训练回归头，可能间接改变均值函数。</w:t>
      </w:r>
    </w:p>
    <w:p>
      <w:pPr>
        <w:pStyle w:val="BodyText"/>
        <w:widowControl/>
      </w:pPr>
      <w:r>
        <w:t xml:space="preserve">日本語：ヘッドを固定すると直接は変わらず、密度が相殺されます。ただし第3段階の再学習により平均関数が間接的に変わり得ます。</w:t>
      </w:r>
    </w:p>
    <w:bookmarkEnd w:id="43"/>
    <w:bookmarkStart w:id="44" w:name="有没有保证一定能发现陌生输入"/>
    <w:p>
      <w:pPr>
        <w:pStyle w:val="Heading3"/>
        <w:widowControl/>
      </w:pPr>
      <w:r>
        <w:rPr>
          <w:color w:val="000000"/>
        </w:rPr>
        <w:t xml:space="preserve">6 6 有没有保证一定能发现陌生输入</w:t>
      </w:r>
    </w:p>
    <w:p>
      <w:pPr>
        <w:pStyle w:val="FirstParagraph"/>
        <w:widowControl/>
      </w:pPr>
      <w:r>
        <w:t xml:space="preserve">中文答：没有这样的普遍保证。特征可能丢失差异，密度可能估计错误，回归头也随输入变化。理论需要检查其分布和距离条件。</w:t>
      </w:r>
    </w:p>
    <w:p>
      <w:pPr>
        <w:pStyle w:val="BodyText"/>
        <w:widowControl/>
      </w:pPr>
      <w:r>
        <w:t xml:space="preserve">日本語：一般的な保証はありません。特徴が差を失う、密度推定を誤る、ヘッドが入力で変化する可能性があります。理論の分布と距離の条件を確認する必要があります。</w:t>
      </w:r>
    </w:p>
    <w:bookmarkEnd w:id="44"/>
    <w:bookmarkStart w:id="45" w:name="输入各变量都没越界能检测吗"/>
    <w:p>
      <w:pPr>
        <w:pStyle w:val="Heading3"/>
        <w:widowControl/>
      </w:pPr>
      <w:r>
        <w:rPr>
          <w:color w:val="000000"/>
        </w:rPr>
        <w:t xml:space="preserve">6 7 输入各变量都没越界能检测吗</w:t>
      </w:r>
    </w:p>
    <w:p>
      <w:pPr>
        <w:pStyle w:val="FirstParagraph"/>
        <w:widowControl/>
      </w:pPr>
      <w:r>
        <w:t xml:space="preserve">中文答：联合特征密度有可能发现新组合，但原文没有只改变相关关系的隔离实验，所以目前只能说有潜力。</w:t>
      </w:r>
    </w:p>
    <w:p>
      <w:pPr>
        <w:pStyle w:val="BodyText"/>
        <w:widowControl/>
      </w:pPr>
      <w:r>
        <w:t xml:space="preserve">日本語：結合特徴密度が新しい組合せを捉える可能性はありますが、相関だけを変える実験がなく、現段階では可能性にとどまります。</w:t>
      </w:r>
    </w:p>
    <w:bookmarkEnd w:id="45"/>
    <w:bookmarkStart w:id="46" w:name="不需要标签是什么意思"/>
    <w:p>
      <w:pPr>
        <w:pStyle w:val="Heading3"/>
        <w:widowControl/>
      </w:pPr>
      <w:r>
        <w:rPr>
          <w:color w:val="000000"/>
        </w:rPr>
        <w:t xml:space="preserve">6 8 不需要标签是什么意思</w:t>
      </w:r>
    </w:p>
    <w:p>
      <w:pPr>
        <w:pStyle w:val="FirstParagraph"/>
        <w:widowControl/>
      </w:pPr>
      <w:r>
        <w:t xml:space="preserve">中文答：不需要额外OOD训练标签。整个模型训练仍需要回归真值，只有密度训练阶段可以不使用目标值。</w:t>
      </w:r>
    </w:p>
    <w:p>
      <w:pPr>
        <w:pStyle w:val="BodyText"/>
        <w:widowControl/>
      </w:pPr>
      <w:r>
        <w:t xml:space="preserve">日本語：追加のOOD学習ラベルが不要という意味です。全体の学習には回帰真値が必要で、密度学習段階のみ目標値を使いません。</w:t>
      </w:r>
    </w:p>
    <w:bookmarkEnd w:id="46"/>
    <w:bookmarkStart w:id="47" w:name="只凭输入能运行吗"/>
    <w:p>
      <w:pPr>
        <w:pStyle w:val="Heading3"/>
        <w:widowControl/>
      </w:pPr>
      <w:r>
        <w:rPr>
          <w:color w:val="000000"/>
        </w:rPr>
        <w:t xml:space="preserve">6 9 只凭输入能运行吗</w:t>
      </w:r>
    </w:p>
    <w:p>
      <w:pPr>
        <w:pStyle w:val="FirstParagraph"/>
        <w:widowControl/>
      </w:pPr>
      <w:r>
        <w:t xml:space="preserve">中文答：新样本不需要真实输出，但还需要已训练的编码器、密度模型和回归头。因此是</w:t>
      </w:r>
      <w:r>
        <w:t xml:space="preserve">“</w:t>
      </w:r>
      <w:r>
        <w:t xml:space="preserve">无需实时真值</w:t>
      </w:r>
      <w:r>
        <w:t xml:space="preserve">”</w:t>
      </w:r>
      <w:r>
        <w:t xml:space="preserve">，不是</w:t>
      </w:r>
      <w:r>
        <w:t xml:space="preserve">“</w:t>
      </w:r>
      <w:r>
        <w:t xml:space="preserve">与目标模型完全独立</w:t>
      </w:r>
      <w:r>
        <w:t xml:space="preserve">”</w:t>
      </w:r>
      <w:r>
        <w:t xml:space="preserve">。</w:t>
      </w:r>
    </w:p>
    <w:p>
      <w:pPr>
        <w:pStyle w:val="BodyText"/>
        <w:widowControl/>
      </w:pPr>
      <w:r>
        <w:t xml:space="preserve">日本語：新しい標本の真値は不要ですが、学習済みのエンコーダ、密度、ヘッドが必要です。実時間真値不要とモデル独立は異なります。</w:t>
      </w:r>
    </w:p>
    <w:bookmarkEnd w:id="47"/>
    <w:bookmarkStart w:id="48" w:name="天气用了多少个时刻"/>
    <w:p>
      <w:pPr>
        <w:pStyle w:val="Heading3"/>
        <w:widowControl/>
      </w:pPr>
      <w:r>
        <w:rPr>
          <w:color w:val="000000"/>
        </w:rPr>
        <w:t xml:space="preserve">6 10 天气用了多少个时刻</w:t>
      </w:r>
    </w:p>
    <w:p>
      <w:pPr>
        <w:pStyle w:val="FirstParagraph"/>
        <w:widowControl/>
      </w:pPr>
      <w:r>
        <w:t xml:space="preserve">中文答：确认了10分钟原始采样和每小时预测，但具体输入窗口没有在已核验材料中唯一确定，不能仅凭逐日曲线断言24小时。</w:t>
      </w:r>
    </w:p>
    <w:p>
      <w:pPr>
        <w:pStyle w:val="BodyText"/>
        <w:widowControl/>
      </w:pPr>
      <w:r>
        <w:t xml:space="preserve">日本語：10分間隔の原記録と毎時予測は確認しましたが、入力窓は一意に確認できませんでした。日別の図だけで24時間と断定できません。</w:t>
      </w:r>
    </w:p>
    <w:bookmarkEnd w:id="48"/>
    <w:bookmarkStart w:id="49" w:name="cal小意味着检出率高吗"/>
    <w:p>
      <w:pPr>
        <w:pStyle w:val="Heading3"/>
        <w:widowControl/>
      </w:pPr>
      <w:r>
        <w:rPr>
          <w:color w:val="000000"/>
        </w:rPr>
        <w:t xml:space="preserve">6 11 Cal小意味着检出率高吗</w:t>
      </w:r>
    </w:p>
    <w:p>
      <w:pPr>
        <w:pStyle w:val="FirstParagraph"/>
        <w:widowControl/>
      </w:pPr>
      <w:r>
        <w:t xml:space="preserve">中文答：不意味着。Cal衡量概率校准，检出率要用学习内外标签及阈值单独计算。</w:t>
      </w:r>
    </w:p>
    <w:p>
      <w:pPr>
        <w:pStyle w:val="BodyText"/>
        <w:widowControl/>
      </w:pPr>
      <w:r>
        <w:t xml:space="preserve">日本語：意味しません。Calは確率の校正であり、検出率には学習内外の真値と閾値が必要です。</w:t>
      </w:r>
    </w:p>
    <w:bookmarkEnd w:id="49"/>
    <w:bookmarkStart w:id="50" w:name="为什么nll可以是负数"/>
    <w:p>
      <w:pPr>
        <w:pStyle w:val="Heading3"/>
        <w:widowControl/>
      </w:pPr>
      <w:r>
        <w:rPr>
          <w:color w:val="000000"/>
        </w:rPr>
        <w:t xml:space="preserve">6 12 为什么NLL可以是负数</w:t>
      </w:r>
    </w:p>
    <w:p>
      <w:pPr>
        <w:pStyle w:val="FirstParagraph"/>
        <w:widowControl/>
      </w:pPr>
      <w:r>
        <w:t xml:space="preserve">中文答：回归使用连续密度，密度可以大于1；其负对数就可以小于0。还要注意输出尺度。</w:t>
      </w:r>
    </w:p>
    <w:p>
      <w:pPr>
        <w:pStyle w:val="BodyText"/>
        <w:widowControl/>
      </w:pPr>
      <w:r>
        <w:t xml:space="preserve">日本語：連続密度は1を超え得るため、その負の対数は負になり得ます。出力の尺度にも注意します。</w:t>
      </w:r>
    </w:p>
    <w:bookmarkEnd w:id="50"/>
    <w:bookmarkStart w:id="51" w:name="方差越小越好吗"/>
    <w:p>
      <w:pPr>
        <w:pStyle w:val="Heading3"/>
        <w:widowControl/>
      </w:pPr>
      <w:r>
        <w:rPr>
          <w:color w:val="000000"/>
        </w:rPr>
        <w:t xml:space="preserve">6 13 方差越小越好吗</w:t>
      </w:r>
    </w:p>
    <w:p>
      <w:pPr>
        <w:pStyle w:val="FirstParagraph"/>
        <w:widowControl/>
      </w:pPr>
      <w:r>
        <w:t xml:space="preserve">中文答：不是。方差必须和实际误差匹配。过窄可能过度自信，过宽则缺乏信息，应结合校准评价。</w:t>
      </w:r>
    </w:p>
    <w:p>
      <w:pPr>
        <w:pStyle w:val="BodyText"/>
        <w:widowControl/>
      </w:pPr>
      <w:r>
        <w:t xml:space="preserve">日本語：いいえ。実際の誤差に対応する必要があります。狭すぎれば過信、広すぎれば情報不足なので、校正と一緒に評価します。</w:t>
      </w:r>
    </w:p>
    <w:bookmarkEnd w:id="51"/>
    <w:bookmarkStart w:id="52" w:name="与集成相比到底有什么优势"/>
    <w:p>
      <w:pPr>
        <w:pStyle w:val="Heading3"/>
        <w:widowControl/>
      </w:pPr>
      <w:r>
        <w:rPr>
          <w:color w:val="000000"/>
        </w:rPr>
        <w:t xml:space="preserve">6 14 与集成相比到底有什么优势</w:t>
      </w:r>
    </w:p>
    <w:p>
      <w:pPr>
        <w:pStyle w:val="FirstParagraph"/>
        <w:widowControl/>
      </w:pPr>
      <w:r>
        <w:t xml:space="preserve">中文答：主要是单次推理与较少的模型存储，同时在多个任务保持接近或较好的校准。不能说所有NLL和RMSE都更好。</w:t>
      </w:r>
    </w:p>
    <w:p>
      <w:pPr>
        <w:pStyle w:val="BodyText"/>
        <w:widowControl/>
      </w:pPr>
      <w:r>
        <w:t xml:space="preserve">日本語：単一推論と保存量の削減が中心で、複数タスクで近い、または良好な校正を保ちます。すべてのNLLとRMSEが優れるわけではありません。</w:t>
      </w:r>
    </w:p>
    <w:bookmarkEnd w:id="52"/>
    <w:bookmarkStart w:id="53" w:name="阈值怎么定"/>
    <w:p>
      <w:pPr>
        <w:pStyle w:val="Heading3"/>
        <w:widowControl/>
      </w:pPr>
      <w:r>
        <w:rPr>
          <w:color w:val="000000"/>
        </w:rPr>
        <w:t xml:space="preserve">6 15 阈值怎么定</w:t>
      </w:r>
    </w:p>
    <w:p>
      <w:pPr>
        <w:pStyle w:val="FirstParagraph"/>
        <w:widowControl/>
      </w:pPr>
      <w:r>
        <w:t xml:space="preserve">中文答：原文没有规定。我们的方案可用独立学习内校准集的高分位数，再用完全独立测试集测误报和检出率。不能用最终测试结果倒调阈值。</w:t>
      </w:r>
    </w:p>
    <w:p>
      <w:pPr>
        <w:pStyle w:val="BodyText"/>
        <w:widowControl/>
      </w:pPr>
      <w:r>
        <w:t xml:space="preserve">日本語：原文には規定がありません。独立した学習内校正集合の高分位点を候補とし、別のテスト集合で誤報と検出を測ります。</w:t>
      </w:r>
    </w:p>
    <w:bookmarkEnd w:id="53"/>
    <w:bookmarkStart w:id="54" w:name="没有真实学习外标签怎么办"/>
    <w:p>
      <w:pPr>
        <w:pStyle w:val="Heading3"/>
        <w:widowControl/>
      </w:pPr>
      <w:r>
        <w:rPr>
          <w:color w:val="000000"/>
        </w:rPr>
        <w:t xml:space="preserve">6 16 没有真实学习外标签怎么办</w:t>
      </w:r>
    </w:p>
    <w:p>
      <w:pPr>
        <w:pStyle w:val="FirstParagraph"/>
        <w:widowControl/>
      </w:pPr>
      <w:r>
        <w:t xml:space="preserve">中文答：可以观察分数变化，有目标值时可评价预测误差，但无法直接得到真实学习外检出率。需要工况留出、可解释的仿真或事件标注。</w:t>
      </w:r>
    </w:p>
    <w:p>
      <w:pPr>
        <w:pStyle w:val="BodyText"/>
        <w:widowControl/>
      </w:pPr>
      <w:r>
        <w:t xml:space="preserve">日本語：スコア変化や、真値があれば予測誤差を評価できますが、真の学習外検出率は直接分かりません。工況の留出、妥当なシミュレーション、イベント注釈が必要です。</w:t>
      </w:r>
    </w:p>
    <w:bookmarkEnd w:id="54"/>
    <w:bookmarkStart w:id="55" w:name="可以直接用于控制吗"/>
    <w:p>
      <w:pPr>
        <w:pStyle w:val="Heading3"/>
        <w:widowControl/>
      </w:pPr>
      <w:r>
        <w:rPr>
          <w:color w:val="000000"/>
        </w:rPr>
        <w:t xml:space="preserve">6 17 可以直接用于控制吗</w:t>
      </w:r>
    </w:p>
    <w:p>
      <w:pPr>
        <w:pStyle w:val="FirstParagraph"/>
        <w:widowControl/>
      </w:pPr>
      <w:r>
        <w:t xml:space="preserve">中文答：原文没有闭环控制验证。可以先作为监测或人工复核信号；影响控制动作前要补充误报、漏报和延迟的后果验证。</w:t>
      </w:r>
    </w:p>
    <w:p>
      <w:pPr>
        <w:pStyle w:val="BodyText"/>
        <w:widowControl/>
      </w:pPr>
      <w:r>
        <w:t xml:space="preserve">日本語：原文に閉ループ制御の検証はありません。まず監視や確認支援に使い、制御動作へ反映する前に誤報、見逃し、遅延の影響を検証します。</w:t>
      </w:r>
    </w:p>
    <w:bookmarkEnd w:id="55"/>
    <w:bookmarkStart w:id="56" w:name="下一步最应该做什么"/>
    <w:p>
      <w:pPr>
        <w:pStyle w:val="Heading3"/>
        <w:widowControl/>
      </w:pPr>
      <w:r>
        <w:rPr>
          <w:color w:val="000000"/>
        </w:rPr>
        <w:t xml:space="preserve">6 18 下一步最应该做什么</w:t>
      </w:r>
    </w:p>
    <w:p>
      <w:pPr>
        <w:pStyle w:val="FirstParagraph"/>
        <w:widowControl/>
      </w:pPr>
      <w:r>
        <w:t xml:space="preserve">中文答：先确认公司实际输入变量、窗口和可否改造目标模型，再分别构造三类学习外测试，比较密度与方差分数；不急于仅凭论文表格选定方法。</w:t>
      </w:r>
    </w:p>
    <w:p>
      <w:pPr>
        <w:pStyle w:val="BodyText"/>
        <w:widowControl/>
      </w:pPr>
      <w:r>
        <w:t xml:space="preserve">日本語：社内モデルの変数、窓、変更可否を確認し、三種類の学習外条件を分離して、密度と分散スコアを比較することです。</w:t>
      </w:r>
    </w:p>
    <w:bookmarkEnd w:id="56"/>
    <w:bookmarkEnd w:id="57"/>
    <w:bookmarkStart w:id="58" w:name="七-汇报时避免的误述"/>
    <w:p>
      <w:pPr>
        <w:pStyle w:val="Heading2"/>
        <w:widowControl/>
      </w:pPr>
      <w:r>
        <w:rPr>
          <w:color w:val="000000"/>
        </w:rPr>
        <w:t xml:space="preserve">七 汇报时避免的误述</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避免的说法</w:t>
            </w:r>
          </w:p>
        </w:tc>
        <w:tc>
          <w:tcPr>
            <w:tcW w:type="dxa" w:w="3946"/>
            <w:vAlign w:val="center"/>
            <w:shd w:fill="E7EDF3"/>
          </w:tcPr>
          <w:p>
            <w:pPr>
              <w:pStyle w:val="Compact"/>
              <w:keepNext w:val="0"/>
              <w:spacing w:after="40" w:before="40" w:line="264" w:lineRule="auto"/>
              <w:jc w:val="left"/>
            </w:pPr>
            <w:r>
              <w:rPr>
                <w:b/>
                <w:color w:val="000000"/>
                <w:sz w:val="19"/>
              </w:rPr>
              <w:t xml:space="preserve">更准确的中文</w:t>
            </w:r>
          </w:p>
        </w:tc>
        <w:tc>
          <w:tcPr>
            <w:tcW w:type="dxa" w:w="3749"/>
            <w:vAlign w:val="center"/>
            <w:shd w:fill="E7EDF3"/>
          </w:tcPr>
          <w:p>
            <w:pPr>
              <w:pStyle w:val="Compact"/>
              <w:keepNext w:val="0"/>
              <w:spacing w:after="40" w:before="40" w:line="264" w:lineRule="auto"/>
              <w:jc w:val="left"/>
            </w:pPr>
            <w:r>
              <w:rPr>
                <w:b/>
                <w:color w:val="000000"/>
                <w:sz w:val="19"/>
              </w:rPr>
              <w:t xml:space="preserve">より正確な日本語</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论文证明所有OOD都能检出</w:t>
            </w:r>
          </w:p>
        </w:tc>
        <w:tc>
          <w:tcPr>
            <w:tcW w:type="dxa" w:w="3946"/>
            <w:vAlign w:val="center"/>
            <w:shd w:fill="FFFFFF"/>
          </w:tcPr>
          <w:p>
            <w:pPr>
              <w:pStyle w:val="Compact"/>
              <w:keepNext w:val="0"/>
              <w:spacing w:after="40" w:before="40" w:line="264" w:lineRule="auto"/>
              <w:jc w:val="left"/>
            </w:pPr>
            <w:r>
              <w:rPr>
                <w:color w:val="000000"/>
                <w:sz w:val="19"/>
              </w:rPr>
              <w:t xml:space="preserve">提供不确定性机制与任务证据，检测仍需验证</w:t>
            </w:r>
          </w:p>
        </w:tc>
        <w:tc>
          <w:tcPr>
            <w:tcW w:type="dxa" w:w="3749"/>
            <w:vAlign w:val="center"/>
            <w:shd w:fill="FFFFFF"/>
          </w:tcPr>
          <w:p>
            <w:pPr>
              <w:pStyle w:val="Compact"/>
              <w:keepNext w:val="0"/>
              <w:spacing w:after="40" w:before="40" w:line="264" w:lineRule="auto"/>
              <w:jc w:val="left"/>
            </w:pPr>
            <w:r>
              <w:rPr>
                <w:color w:val="000000"/>
                <w:sz w:val="19"/>
              </w:rPr>
              <w:t xml:space="preserve">不確実性の機構と実験証拠があり、検出は追加評価が必要</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这是完全无监督方法</w:t>
            </w:r>
          </w:p>
        </w:tc>
        <w:tc>
          <w:tcPr>
            <w:tcW w:type="dxa" w:w="3946"/>
            <w:vAlign w:val="center"/>
            <w:shd w:fill="F7F8FA"/>
          </w:tcPr>
          <w:p>
            <w:pPr>
              <w:pStyle w:val="Compact"/>
              <w:keepNext w:val="0"/>
              <w:spacing w:after="40" w:before="40" w:line="264" w:lineRule="auto"/>
              <w:jc w:val="left"/>
            </w:pPr>
            <w:r>
              <w:rPr>
                <w:color w:val="000000"/>
                <w:sz w:val="19"/>
              </w:rPr>
              <w:t xml:space="preserve">不要OOD标签，但要回归标签</w:t>
            </w:r>
          </w:p>
        </w:tc>
        <w:tc>
          <w:tcPr>
            <w:tcW w:type="dxa" w:w="3749"/>
            <w:vAlign w:val="center"/>
            <w:shd w:fill="F7F8FA"/>
          </w:tcPr>
          <w:p>
            <w:pPr>
              <w:pStyle w:val="Compact"/>
              <w:keepNext w:val="0"/>
              <w:spacing w:after="40" w:before="40" w:line="264" w:lineRule="auto"/>
              <w:jc w:val="left"/>
            </w:pPr>
            <w:r>
              <w:rPr>
                <w:color w:val="000000"/>
                <w:sz w:val="19"/>
              </w:rPr>
              <w:t xml:space="preserve">OODラベル不要だが回帰真値は必要</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密度就是学习内概率</w:t>
            </w:r>
          </w:p>
        </w:tc>
        <w:tc>
          <w:tcPr>
            <w:tcW w:type="dxa" w:w="3946"/>
            <w:vAlign w:val="center"/>
            <w:shd w:fill="FFFFFF"/>
          </w:tcPr>
          <w:p>
            <w:pPr>
              <w:pStyle w:val="Compact"/>
              <w:keepNext w:val="0"/>
              <w:spacing w:after="40" w:before="40" w:line="264" w:lineRule="auto"/>
              <w:jc w:val="left"/>
            </w:pPr>
            <w:r>
              <w:rPr>
                <w:color w:val="000000"/>
                <w:sz w:val="19"/>
              </w:rPr>
              <w:t xml:space="preserve">密度是特征空间中的连续密度</w:t>
            </w:r>
          </w:p>
        </w:tc>
        <w:tc>
          <w:tcPr>
            <w:tcW w:type="dxa" w:w="3749"/>
            <w:vAlign w:val="center"/>
            <w:shd w:fill="FFFFFF"/>
          </w:tcPr>
          <w:p>
            <w:pPr>
              <w:pStyle w:val="Compact"/>
              <w:keepNext w:val="0"/>
              <w:spacing w:after="40" w:before="40" w:line="264" w:lineRule="auto"/>
              <w:jc w:val="left"/>
            </w:pPr>
            <w:r>
              <w:rPr>
                <w:color w:val="000000"/>
                <w:sz w:val="19"/>
              </w:rPr>
              <w:t xml:space="preserve">特徴空間の連続密度である</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天气输入窗口为24小时</w:t>
            </w:r>
          </w:p>
        </w:tc>
        <w:tc>
          <w:tcPr>
            <w:tcW w:type="dxa" w:w="3946"/>
            <w:vAlign w:val="center"/>
            <w:shd w:fill="F7F8FA"/>
          </w:tcPr>
          <w:p>
            <w:pPr>
              <w:pStyle w:val="Compact"/>
              <w:keepNext w:val="0"/>
              <w:spacing w:after="40" w:before="40" w:line="264" w:lineRule="auto"/>
              <w:jc w:val="left"/>
            </w:pPr>
            <w:r>
              <w:rPr>
                <w:color w:val="000000"/>
                <w:sz w:val="19"/>
              </w:rPr>
              <w:t xml:space="preserve">已确认每小时预测，输入窗未确认</w:t>
            </w:r>
          </w:p>
        </w:tc>
        <w:tc>
          <w:tcPr>
            <w:tcW w:type="dxa" w:w="3749"/>
            <w:vAlign w:val="center"/>
            <w:shd w:fill="F7F8FA"/>
          </w:tcPr>
          <w:p>
            <w:pPr>
              <w:pStyle w:val="Compact"/>
              <w:keepNext w:val="0"/>
              <w:spacing w:after="40" w:before="40" w:line="264" w:lineRule="auto"/>
              <w:jc w:val="left"/>
            </w:pPr>
            <w:r>
              <w:rPr>
                <w:color w:val="000000"/>
                <w:sz w:val="19"/>
              </w:rPr>
              <w:t xml:space="preserve">毎時予測は確認済み、入力窓は未確認</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O一说明推理没有额外成本</w:t>
            </w:r>
          </w:p>
        </w:tc>
        <w:tc>
          <w:tcPr>
            <w:tcW w:type="dxa" w:w="3946"/>
            <w:vAlign w:val="center"/>
            <w:shd w:fill="FFFFFF"/>
          </w:tcPr>
          <w:p>
            <w:pPr>
              <w:pStyle w:val="Compact"/>
              <w:keepNext w:val="0"/>
              <w:spacing w:after="40" w:before="40" w:line="264" w:lineRule="auto"/>
              <w:jc w:val="left"/>
            </w:pPr>
            <w:r>
              <w:rPr>
                <w:color w:val="000000"/>
                <w:sz w:val="19"/>
              </w:rPr>
              <w:t xml:space="preserve">不随采样次数重复，仍有密度计算</w:t>
            </w:r>
          </w:p>
        </w:tc>
        <w:tc>
          <w:tcPr>
            <w:tcW w:type="dxa" w:w="3749"/>
            <w:vAlign w:val="center"/>
            <w:shd w:fill="FFFFFF"/>
          </w:tcPr>
          <w:p>
            <w:pPr>
              <w:pStyle w:val="Compact"/>
              <w:keepNext w:val="0"/>
              <w:spacing w:after="40" w:before="40" w:line="264" w:lineRule="auto"/>
              <w:jc w:val="left"/>
            </w:pPr>
            <w:r>
              <w:rPr>
                <w:color w:val="000000"/>
                <w:sz w:val="19"/>
              </w:rPr>
              <w:t xml:space="preserve">サンプル数に比例する反復は不要だが密度計算は残る</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Cal更低说明误报更少</w:t>
            </w:r>
          </w:p>
        </w:tc>
        <w:tc>
          <w:tcPr>
            <w:tcW w:type="dxa" w:w="3946"/>
            <w:vAlign w:val="center"/>
            <w:shd w:fill="F7F8FA"/>
          </w:tcPr>
          <w:p>
            <w:pPr>
              <w:pStyle w:val="Compact"/>
              <w:keepNext w:val="0"/>
              <w:spacing w:after="40" w:before="40" w:line="264" w:lineRule="auto"/>
              <w:jc w:val="left"/>
            </w:pPr>
            <w:r>
              <w:rPr>
                <w:color w:val="000000"/>
                <w:sz w:val="19"/>
              </w:rPr>
              <w:t xml:space="preserve">校准与误报需要分别评价</w:t>
            </w:r>
          </w:p>
        </w:tc>
        <w:tc>
          <w:tcPr>
            <w:tcW w:type="dxa" w:w="3749"/>
            <w:vAlign w:val="center"/>
            <w:shd w:fill="F7F8FA"/>
          </w:tcPr>
          <w:p>
            <w:pPr>
              <w:pStyle w:val="Compact"/>
              <w:keepNext w:val="0"/>
              <w:spacing w:after="40" w:before="40" w:line="264" w:lineRule="auto"/>
              <w:jc w:val="left"/>
            </w:pPr>
            <w:r>
              <w:rPr>
                <w:color w:val="000000"/>
                <w:sz w:val="19"/>
              </w:rPr>
              <w:t xml:space="preserve">校正と誤報は別々に評価する</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白酒或室外都是物理异常</w:t>
            </w:r>
          </w:p>
        </w:tc>
        <w:tc>
          <w:tcPr>
            <w:tcW w:type="dxa" w:w="3946"/>
            <w:vAlign w:val="center"/>
            <w:shd w:fill="FFFFFF"/>
          </w:tcPr>
          <w:p>
            <w:pPr>
              <w:pStyle w:val="Compact"/>
              <w:keepNext w:val="0"/>
              <w:spacing w:after="40" w:before="40" w:line="264" w:lineRule="auto"/>
              <w:jc w:val="left"/>
            </w:pPr>
            <w:r>
              <w:rPr>
                <w:color w:val="000000"/>
                <w:sz w:val="19"/>
              </w:rPr>
              <w:t xml:space="preserve">相对训练域是OOD</w:t>
            </w:r>
          </w:p>
        </w:tc>
        <w:tc>
          <w:tcPr>
            <w:tcW w:type="dxa" w:w="3749"/>
            <w:vAlign w:val="center"/>
            <w:shd w:fill="FFFFFF"/>
          </w:tcPr>
          <w:p>
            <w:pPr>
              <w:pStyle w:val="Compact"/>
              <w:keepNext w:val="0"/>
              <w:spacing w:after="40" w:before="40" w:line="264" w:lineRule="auto"/>
              <w:jc w:val="left"/>
            </w:pPr>
            <w:r>
              <w:rPr>
                <w:color w:val="000000"/>
                <w:sz w:val="19"/>
              </w:rPr>
              <w:t xml:space="preserve">学習ドメインに対するOODである</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所有UCI都验证了分布变化</w:t>
            </w:r>
          </w:p>
        </w:tc>
        <w:tc>
          <w:tcPr>
            <w:tcW w:type="dxa" w:w="3946"/>
            <w:vAlign w:val="center"/>
            <w:shd w:fill="F7F8FA"/>
          </w:tcPr>
          <w:p>
            <w:pPr>
              <w:pStyle w:val="Compact"/>
              <w:keepNext w:val="0"/>
              <w:spacing w:after="40" w:before="40" w:line="264" w:lineRule="auto"/>
              <w:jc w:val="left"/>
            </w:pPr>
            <w:r>
              <w:rPr>
                <w:color w:val="000000"/>
                <w:sz w:val="19"/>
              </w:rPr>
              <w:t xml:space="preserve">附录9个UCI主要为IID评价</w:t>
            </w:r>
          </w:p>
        </w:tc>
        <w:tc>
          <w:tcPr>
            <w:tcW w:type="dxa" w:w="3749"/>
            <w:vAlign w:val="center"/>
            <w:shd w:fill="F7F8FA"/>
          </w:tcPr>
          <w:p>
            <w:pPr>
              <w:pStyle w:val="Compact"/>
              <w:keepNext w:val="0"/>
              <w:spacing w:after="40" w:before="40" w:line="264" w:lineRule="auto"/>
              <w:jc w:val="left"/>
            </w:pPr>
            <w:r>
              <w:rPr>
                <w:color w:val="000000"/>
                <w:sz w:val="19"/>
              </w:rPr>
              <w:t xml:space="preserve">補足9データはIID評価である</w:t>
            </w:r>
          </w:p>
        </w:tc>
      </w:tr>
    </w:tbl>
    <w:bookmarkEnd w:id="58"/>
    <w:bookmarkStart w:id="59" w:name="八-查阅位置与说明"/>
    <w:p>
      <w:pPr>
        <w:pStyle w:val="Heading2"/>
        <w:widowControl/>
      </w:pPr>
      <w:r>
        <w:rPr>
          <w:color w:val="000000"/>
        </w:rPr>
        <w:t xml:space="preserve">八 查阅位置与说明</w:t>
      </w:r>
    </w:p>
    <w:p>
      <w:pPr>
        <w:pStyle w:val="FirstParagraph"/>
        <w:widowControl/>
      </w:pPr>
      <w:r>
        <w:t xml:space="preserve">方法机制和公式看PDF4–5页；算法1看5页；理论看6页与18–19页；天气及酒质看7页；深度结果看8页；效率看9页；实现与代码示例看20–21页；补充UCI看25页。数据许可、完整调查和末端压力适用条件请配合两份研究报告使用。</w:t>
      </w:r>
    </w:p>
    <w:p>
      <w:pPr>
        <w:pStyle w:val="BodyText"/>
        <w:widowControl/>
      </w:pPr>
      <w:r>
        <w:t xml:space="preserve">中文结语：</w:t>
      </w:r>
      <w:r>
        <w:t xml:space="preserve">“</w:t>
      </w:r>
      <w:r>
        <w:t xml:space="preserve">这篇对我们最有启发的是把训练覆盖程度与回归方差联系起来。我的当前判断是有条件的候选方法，下一步要验证其检测能力，而不是只沿用论文的不确定性结果。</w:t>
      </w:r>
      <w:r>
        <w:t xml:space="preserve">”</w:t>
      </w:r>
    </w:p>
    <w:p>
      <w:pPr>
        <w:pStyle w:val="BodyText"/>
        <w:widowControl/>
      </w:pPr>
      <w:r>
        <w:t xml:space="preserve">日本語の結び：「本論文の参考になる点は、学習の被覆と回帰分散を結び付けることです。現段階では条件付きの候補として位置付け、不確実性の結果をそのまま使うのではなく、検出能力を検証したいと考えています。」</w:t>
      </w:r>
    </w:p>
    <w:bookmarkEnd w:id="59"/>
    <w:sectPr w:rsidR="00FC693F" w:rsidRPr="0006063C" w:rsidSect="00034616">
      <w:footerReference r:id="rId9" w:type="default"/>
      <w:pgSz w:h="16838" w:w="11906"/>
      <w:pgMar w:bottom="1077" w:footer="454" w:gutter="0" w:header="454" w:left="1020" w:right="1020" w:top="107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6" w:lineRule="auto"/>
    </w:pPr>
    <w:rPr>
      <w:rFonts w:ascii="Times New Roman" w:eastAsia="SimSun" w:hAnsi="Times New Roman"/>
      <w:color w:val="000000"/>
      <w:sz w:val="21"/>
    </w:rPr>
  </w:style>
  <w:style w:styleId="Header" w:type="paragraph">
    <w:name w:val="header"/>
    <w:basedOn w:val="Normal"/>
    <w:link w:val="HeaderChar"/>
    <w:uiPriority w:val="99"/>
    <w:unhideWhenUsed/>
    <w:rsid w:val="00E618BF"/>
    <w:pPr>
      <w:tabs>
        <w:tab w:pos="4680" w:val="center"/>
        <w:tab w:pos="9360" w:val="right"/>
      </w:tabs>
      <w:spacing w:after="100" w:line="276" w:lineRule="auto"/>
    </w:pPr>
    <w:rPr>
      <w:rFonts w:ascii="Times New Roman" w:eastAsia="SimSun" w:hAnsi="Times New Roman"/>
      <w:color w:val="000000"/>
      <w:sz w:val="21"/>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00" w:line="276" w:lineRule="auto"/>
    </w:pPr>
    <w:rPr>
      <w:rFonts w:ascii="Times New Roman" w:eastAsia="SimSun" w:hAnsi="Times New Roman"/>
      <w:color w:val="000000"/>
      <w:sz w:val="21"/>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40" w:line="276" w:lineRule="auto"/>
      <w:outlineLvl w:val="0"/>
    </w:pPr>
    <w:rPr>
      <w:rFonts w:ascii="Times New Roman" w:eastAsia="SimSun" w:hAnsi="Times New Roman"/>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40" w:before="240" w:line="276" w:lineRule="auto"/>
      <w:outlineLvl w:val="1"/>
    </w:pPr>
    <w:rPr>
      <w:rFonts w:ascii="Times New Roman" w:eastAsia="SimSu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40" w:before="240" w:line="276" w:lineRule="auto"/>
      <w:outlineLvl w:val="2"/>
    </w:pPr>
    <w:rPr>
      <w:rFonts w:ascii="Times New Roman" w:eastAsia="SimSun" w:hAnsi="Times New Roman"/>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00" w:before="200" w:line="276" w:lineRule="auto"/>
      <w:outlineLvl w:val="3"/>
    </w:pPr>
    <w:rPr>
      <w:rFonts w:ascii="Times New Roman" w:eastAsia="SimSun" w:hAnsi="Times New Roman"/>
      <w:b/>
      <w:bCs/>
      <w:i/>
      <w:iCs/>
      <w:color w:val="000000"/>
      <w:sz w:val="21"/>
    </w:rPr>
  </w:style>
  <w:style w:styleId="Heading5" w:type="paragraph">
    <w:name w:val="heading 5"/>
    <w:basedOn w:val="Normal"/>
    <w:next w:val="Normal"/>
    <w:link w:val="Heading5Char"/>
    <w:uiPriority w:val="9"/>
    <w:semiHidden/>
    <w:unhideWhenUsed/>
    <w:qFormat/>
    <w:rsid w:val="00FC693F"/>
    <w:pPr>
      <w:keepNext/>
      <w:keepLines/>
      <w:spacing w:after="100" w:before="200" w:line="276" w:lineRule="auto"/>
      <w:outlineLvl w:val="4"/>
    </w:pPr>
    <w:rPr>
      <w:rFonts w:ascii="Times New Roman" w:eastAsia="SimSun" w:hAnsi="Times New Roman"/>
      <w:color w:val="000000"/>
      <w:sz w:val="21"/>
    </w:rPr>
  </w:style>
  <w:style w:styleId="Heading6" w:type="paragraph">
    <w:name w:val="heading 6"/>
    <w:basedOn w:val="Normal"/>
    <w:next w:val="Normal"/>
    <w:link w:val="Heading6Char"/>
    <w:uiPriority w:val="9"/>
    <w:semiHidden/>
    <w:unhideWhenUsed/>
    <w:qFormat/>
    <w:rsid w:val="00FC693F"/>
    <w:pPr>
      <w:keepNext/>
      <w:keepLines/>
      <w:spacing w:after="100" w:before="200" w:line="276" w:lineRule="auto"/>
      <w:outlineLvl w:val="5"/>
    </w:pPr>
    <w:rPr>
      <w:rFonts w:ascii="Times New Roman" w:eastAsia="SimSun" w:hAnsi="Times New Roman"/>
      <w:i/>
      <w:iCs/>
      <w:color w:val="000000"/>
      <w:sz w:val="21"/>
    </w:rPr>
  </w:style>
  <w:style w:styleId="Heading7" w:type="paragraph">
    <w:name w:val="heading 7"/>
    <w:basedOn w:val="Normal"/>
    <w:next w:val="Normal"/>
    <w:link w:val="Heading7Char"/>
    <w:uiPriority w:val="9"/>
    <w:semiHidden/>
    <w:unhideWhenUsed/>
    <w:qFormat/>
    <w:rsid w:val="00FC693F"/>
    <w:pPr>
      <w:keepNext/>
      <w:keepLines/>
      <w:spacing w:after="100" w:before="200" w:line="276" w:lineRule="auto"/>
      <w:outlineLvl w:val="6"/>
    </w:pPr>
    <w:rPr>
      <w:rFonts w:ascii="Times New Roman" w:eastAsia="SimSun" w:hAnsi="Times New Roman"/>
      <w:i/>
      <w:iCs/>
      <w:color w:val="000000"/>
      <w:sz w:val="21"/>
    </w:rPr>
  </w:style>
  <w:style w:styleId="Heading8" w:type="paragraph">
    <w:name w:val="heading 8"/>
    <w:basedOn w:val="Normal"/>
    <w:next w:val="Normal"/>
    <w:link w:val="Heading8Char"/>
    <w:uiPriority w:val="9"/>
    <w:semiHidden/>
    <w:unhideWhenUsed/>
    <w:qFormat/>
    <w:rsid w:val="00FC693F"/>
    <w:pPr>
      <w:keepNext/>
      <w:keepLines/>
      <w:spacing w:after="100" w:before="200" w:line="276" w:lineRule="auto"/>
      <w:outlineLvl w:val="7"/>
    </w:pPr>
    <w:rPr>
      <w:rFonts w:ascii="Times New Roman" w:eastAsia="SimSun" w:hAnsi="Times New Roman"/>
      <w:color w:val="000000"/>
      <w:sz w:val="21"/>
      <w:szCs w:val="20"/>
    </w:rPr>
  </w:style>
  <w:style w:styleId="Heading9" w:type="paragraph">
    <w:name w:val="heading 9"/>
    <w:basedOn w:val="Normal"/>
    <w:next w:val="Normal"/>
    <w:link w:val="Heading9Char"/>
    <w:uiPriority w:val="9"/>
    <w:semiHidden/>
    <w:unhideWhenUsed/>
    <w:qFormat/>
    <w:rsid w:val="00FC693F"/>
    <w:pPr>
      <w:keepNext/>
      <w:keepLines/>
      <w:spacing w:after="100" w:before="200" w:line="276" w:lineRule="auto"/>
      <w:outlineLvl w:val="8"/>
    </w:pPr>
    <w:rPr>
      <w:rFonts w:ascii="Times New Roman" w:eastAsia="SimSun" w:hAnsi="Times New Roman"/>
      <w:i/>
      <w:iCs/>
      <w:color w:val="000000"/>
      <w:sz w:val="21"/>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00" w:line="276" w:lineRule="auto"/>
    </w:pPr>
    <w:rPr>
      <w:rFonts w:ascii="Times New Roman" w:eastAsia="SimSun" w:hAnsi="Times New Roman"/>
      <w:color w:val="000000"/>
      <w:sz w:val="21"/>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40" w:before="0" w:line="276" w:lineRule="auto"/>
      <w:contextualSpacing/>
    </w:pPr>
    <w:rPr>
      <w:rFonts w:ascii="Times New Roman" w:eastAsia="SimSun" w:hAnsi="Times New Roman"/>
      <w:b/>
      <w:color w:val="000000"/>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240" w:line="276" w:lineRule="auto"/>
    </w:pPr>
    <w:rPr>
      <w:rFonts w:ascii="Times New Roman" w:eastAsia="SimSun" w:hAnsi="Times New Roman"/>
      <w:b w:val="0"/>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00" w:line="276" w:lineRule="auto"/>
      <w:ind w:left="720"/>
      <w:contextualSpacing/>
    </w:pPr>
    <w:rPr>
      <w:rFonts w:ascii="Times New Roman" w:eastAsia="SimSun" w:hAnsi="Times New Roman"/>
      <w:color w:val="000000"/>
      <w:sz w:val="21"/>
    </w:rPr>
  </w:style>
  <w:style w:styleId="BodyText" w:type="paragraph">
    <w:name w:val="Body Text"/>
    <w:basedOn w:val="Normal"/>
    <w:link w:val="BodyTextChar"/>
    <w:uiPriority w:val="99"/>
    <w:unhideWhenUsed/>
    <w:rsid w:val="00AA1D8D"/>
    <w:pPr>
      <w:spacing w:after="100" w:line="276" w:lineRule="auto"/>
    </w:pPr>
    <w:rPr>
      <w:rFonts w:ascii="Times New Roman" w:eastAsia="SimSun" w:hAnsi="Times New Roman"/>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00" w:line="276" w:lineRule="auto"/>
    </w:pPr>
    <w:rPr>
      <w:rFonts w:ascii="Times New Roman" w:eastAsia="SimSun" w:hAnsi="Times New Roman"/>
      <w:color w:val="000000"/>
      <w:sz w:val="21"/>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00" w:line="276" w:lineRule="auto"/>
    </w:pPr>
    <w:rPr>
      <w:rFonts w:ascii="Times New Roman" w:eastAsia="SimSun" w:hAnsi="Times New Roman"/>
      <w:color w:val="000000"/>
      <w:sz w:val="21"/>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00" w:line="276" w:lineRule="auto"/>
      <w:ind w:hanging="360" w:left="360"/>
      <w:contextualSpacing/>
    </w:pPr>
    <w:rPr>
      <w:rFonts w:ascii="Times New Roman" w:eastAsia="SimSun" w:hAnsi="Times New Roman"/>
      <w:color w:val="000000"/>
      <w:sz w:val="21"/>
    </w:rPr>
  </w:style>
  <w:style w:styleId="List2" w:type="paragraph">
    <w:name w:val="List 2"/>
    <w:basedOn w:val="Normal"/>
    <w:uiPriority w:val="99"/>
    <w:unhideWhenUsed/>
    <w:rsid w:val="00326F90"/>
    <w:pPr>
      <w:spacing w:after="100" w:line="276" w:lineRule="auto"/>
      <w:ind w:hanging="360" w:left="720"/>
      <w:contextualSpacing/>
    </w:pPr>
    <w:rPr>
      <w:rFonts w:ascii="Times New Roman" w:eastAsia="SimSun" w:hAnsi="Times New Roman"/>
      <w:color w:val="000000"/>
      <w:sz w:val="21"/>
    </w:rPr>
  </w:style>
  <w:style w:styleId="List3" w:type="paragraph">
    <w:name w:val="List 3"/>
    <w:basedOn w:val="Normal"/>
    <w:uiPriority w:val="99"/>
    <w:unhideWhenUsed/>
    <w:rsid w:val="00326F90"/>
    <w:pPr>
      <w:spacing w:after="100" w:line="276" w:lineRule="auto"/>
      <w:ind w:hanging="360" w:left="1080"/>
      <w:contextualSpacing/>
    </w:pPr>
    <w:rPr>
      <w:rFonts w:ascii="Times New Roman" w:eastAsia="SimSun" w:hAnsi="Times New Roman"/>
      <w:color w:val="000000"/>
      <w:sz w:val="21"/>
    </w:rPr>
  </w:style>
  <w:style w:styleId="ListBullet" w:type="paragraph">
    <w:name w:val="List Bullet"/>
    <w:basedOn w:val="Normal"/>
    <w:uiPriority w:val="99"/>
    <w:unhideWhenUsed/>
    <w:rsid w:val="00326F90"/>
    <w:pPr>
      <w:numPr>
        <w:numId w:val="1"/>
      </w:numPr>
      <w:spacing w:after="100" w:line="276" w:lineRule="auto"/>
      <w:contextualSpacing/>
    </w:pPr>
    <w:rPr>
      <w:rFonts w:ascii="Times New Roman" w:eastAsia="SimSun" w:hAnsi="Times New Roman"/>
      <w:color w:val="000000"/>
      <w:sz w:val="21"/>
    </w:rPr>
  </w:style>
  <w:style w:styleId="ListBullet2" w:type="paragraph">
    <w:name w:val="List Bullet 2"/>
    <w:basedOn w:val="Normal"/>
    <w:uiPriority w:val="99"/>
    <w:unhideWhenUsed/>
    <w:rsid w:val="00326F90"/>
    <w:pPr>
      <w:numPr>
        <w:numId w:val="2"/>
      </w:numPr>
      <w:spacing w:after="100" w:line="276" w:lineRule="auto"/>
      <w:contextualSpacing/>
    </w:pPr>
    <w:rPr>
      <w:rFonts w:ascii="Times New Roman" w:eastAsia="SimSun" w:hAnsi="Times New Roman"/>
      <w:color w:val="000000"/>
      <w:sz w:val="21"/>
    </w:rPr>
  </w:style>
  <w:style w:styleId="ListBullet3" w:type="paragraph">
    <w:name w:val="List Bullet 3"/>
    <w:basedOn w:val="Normal"/>
    <w:uiPriority w:val="99"/>
    <w:unhideWhenUsed/>
    <w:rsid w:val="00326F90"/>
    <w:pPr>
      <w:numPr>
        <w:numId w:val="3"/>
      </w:numPr>
      <w:spacing w:after="100" w:line="276" w:lineRule="auto"/>
      <w:contextualSpacing/>
    </w:pPr>
    <w:rPr>
      <w:rFonts w:ascii="Times New Roman" w:eastAsia="SimSun" w:hAnsi="Times New Roman"/>
      <w:color w:val="000000"/>
      <w:sz w:val="21"/>
    </w:rPr>
  </w:style>
  <w:style w:styleId="ListNumber" w:type="paragraph">
    <w:name w:val="List Number"/>
    <w:basedOn w:val="Normal"/>
    <w:uiPriority w:val="99"/>
    <w:unhideWhenUsed/>
    <w:rsid w:val="00326F90"/>
    <w:pPr>
      <w:numPr>
        <w:numId w:val="5"/>
      </w:numPr>
      <w:spacing w:after="100" w:line="276" w:lineRule="auto"/>
      <w:contextualSpacing/>
    </w:pPr>
    <w:rPr>
      <w:rFonts w:ascii="Times New Roman" w:eastAsia="SimSun" w:hAnsi="Times New Roman"/>
      <w:color w:val="000000"/>
      <w:sz w:val="21"/>
    </w:rPr>
  </w:style>
  <w:style w:styleId="ListNumber2" w:type="paragraph">
    <w:name w:val="List Number 2"/>
    <w:basedOn w:val="Normal"/>
    <w:uiPriority w:val="99"/>
    <w:unhideWhenUsed/>
    <w:rsid w:val="0029639D"/>
    <w:pPr>
      <w:numPr>
        <w:numId w:val="6"/>
      </w:numPr>
      <w:spacing w:after="100" w:line="276" w:lineRule="auto"/>
      <w:contextualSpacing/>
    </w:pPr>
    <w:rPr>
      <w:rFonts w:ascii="Times New Roman" w:eastAsia="SimSun" w:hAnsi="Times New Roman"/>
      <w:color w:val="000000"/>
      <w:sz w:val="21"/>
    </w:rPr>
  </w:style>
  <w:style w:styleId="ListNumber3" w:type="paragraph">
    <w:name w:val="List Number 3"/>
    <w:basedOn w:val="Normal"/>
    <w:uiPriority w:val="99"/>
    <w:unhideWhenUsed/>
    <w:rsid w:val="0029639D"/>
    <w:pPr>
      <w:numPr>
        <w:numId w:val="7"/>
      </w:numPr>
      <w:spacing w:after="100" w:line="276" w:lineRule="auto"/>
      <w:contextualSpacing/>
    </w:pPr>
    <w:rPr>
      <w:rFonts w:ascii="Times New Roman" w:eastAsia="SimSun" w:hAnsi="Times New Roman"/>
      <w:color w:val="000000"/>
      <w:sz w:val="21"/>
    </w:rPr>
  </w:style>
  <w:style w:styleId="ListContinue" w:type="paragraph">
    <w:name w:val="List Continue"/>
    <w:basedOn w:val="Normal"/>
    <w:uiPriority w:val="99"/>
    <w:unhideWhenUsed/>
    <w:rsid w:val="0029639D"/>
    <w:pPr>
      <w:spacing w:after="100" w:line="276" w:lineRule="auto"/>
      <w:ind w:left="360"/>
      <w:contextualSpacing/>
    </w:pPr>
    <w:rPr>
      <w:rFonts w:ascii="Times New Roman" w:eastAsia="SimSun" w:hAnsi="Times New Roman"/>
      <w:color w:val="000000"/>
      <w:sz w:val="21"/>
    </w:rPr>
  </w:style>
  <w:style w:styleId="ListContinue2" w:type="paragraph">
    <w:name w:val="List Continue 2"/>
    <w:basedOn w:val="Normal"/>
    <w:uiPriority w:val="99"/>
    <w:unhideWhenUsed/>
    <w:rsid w:val="0029639D"/>
    <w:pPr>
      <w:spacing w:after="100" w:line="276" w:lineRule="auto"/>
      <w:ind w:left="720"/>
      <w:contextualSpacing/>
    </w:pPr>
    <w:rPr>
      <w:rFonts w:ascii="Times New Roman" w:eastAsia="SimSun" w:hAnsi="Times New Roman"/>
      <w:color w:val="000000"/>
      <w:sz w:val="21"/>
    </w:rPr>
  </w:style>
  <w:style w:styleId="ListContinue3" w:type="paragraph">
    <w:name w:val="List Continue 3"/>
    <w:basedOn w:val="Normal"/>
    <w:uiPriority w:val="99"/>
    <w:unhideWhenUsed/>
    <w:rsid w:val="0029639D"/>
    <w:pPr>
      <w:spacing w:after="100" w:line="276" w:lineRule="auto"/>
      <w:ind w:left="1080"/>
      <w:contextualSpacing/>
    </w:pPr>
    <w:rPr>
      <w:rFonts w:ascii="Times New Roman" w:eastAsia="SimSun" w:hAnsi="Times New Roman"/>
      <w:color w:val="000000"/>
      <w:sz w:val="21"/>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00" w:line="276" w:lineRule="auto"/>
    </w:pPr>
    <w:rPr>
      <w:rFonts w:ascii="Times New Roman" w:eastAsia="SimSun" w:hAnsi="Times New Roman"/>
      <w:color w:val="000000"/>
      <w:sz w:val="21"/>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line="276" w:lineRule="auto"/>
    </w:pPr>
    <w:rPr>
      <w:rFonts w:ascii="Times New Roman" w:eastAsia="SimSun" w:hAnsi="Times New Roman"/>
      <w:i/>
      <w:iCs/>
      <w:color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76" w:lineRule="auto"/>
    </w:pPr>
    <w:rPr>
      <w:rFonts w:ascii="Times New Roman" w:eastAsia="SimSun" w:hAnsi="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00" w:before="200" w:line="276" w:lineRule="auto"/>
      <w:ind w:left="936" w:right="936"/>
    </w:pPr>
    <w:rPr>
      <w:rFonts w:ascii="Times New Roman" w:eastAsia="SimSun" w:hAnsi="Times New Roman"/>
      <w:b/>
      <w:bCs/>
      <w:i/>
      <w:iCs/>
      <w:color w:val="000000"/>
      <w:sz w:val="21"/>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00" w:line="276" w:lineRule="auto"/>
      <w:outlineLvl w:val="9"/>
    </w:pPr>
    <w:rPr>
      <w:rFonts w:ascii="Times New Roman" w:eastAsia="SimSun" w:hAnsi="Times New Roman"/>
      <w:color w:val="000000"/>
      <w:sz w:val="21"/>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after="100" w:line="276" w:lineRule="auto"/>
    </w:pPr>
    <w:rPr>
      <w:rFonts w:ascii="Times New Roman" w:hAnsi="Times New Roman" w:eastAsia="SimSun"/>
      <w:color w:val="000000"/>
      <w:sz w:val="21"/>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论文1 Density Regression 中日文口头汇报与问答</dc:title>
  <dc:creator/>
  <cp:keywords>Density-Regression, OOD, regression uncertainty</cp:keywords>
  <dcterms:created xsi:type="dcterms:W3CDTF">2026-09-10T22:55:59Z</dcterms:created>
  <dcterms:modified xsi:type="dcterms:W3CDTF">2026-09-10T22:55:59Z</dcterms:modified>
  <dc:subject>Density-Regression paper reading and research analysis</dc:subject>
</cp:coreProperties>
</file>

<file path=docProps/custom.xml><?xml version="1.0" encoding="utf-8"?>
<Properties xmlns="http://schemas.openxmlformats.org/officeDocument/2006/custom-properties" xmlns:vt="http://schemas.openxmlformats.org/officeDocument/2006/docPropsVTypes"/>
</file>