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pStyle w:val="Heading2"/>
        <w:rPr>
          <w:color w:val="1a703a"/>
        </w:rPr>
      </w:pPr>
      <w:bookmarkStart w:colFirst="0" w:colLast="0" w:name="_heading=h.fuuxw87etzty" w:id="0"/>
      <w:bookmarkEnd w:id="0"/>
      <w:r>
        <w:rPr>
          <w:rFonts w:ascii="Georgia" w:hAnsi="Georgia" w:eastAsia="Yu Mincho"/>
          <w:color w:val="1a703a"/>
          <w:rtl w:val="0"/>
          <w:lang w:eastAsia="ja-JP"/>
        </w:rPr>
        <w:t>USAD 論文研究</w:t>
      </w:r>
    </w:p>
    <w:p w14:paraId="00000002">
      <w:pPr>
        <w:rPr>
          <w:rFonts w:ascii="Georgia" w:cs="Georgia" w:eastAsia="Georgia" w:hAnsi="Georgia"/>
          <w:color w:val="002715"/>
        </w:rPr>
      </w:pPr>
      <w:r>
        <w:rPr>
          <w:rFonts w:ascii="Georgia" w:hAnsi="Georgia" w:eastAsia="Yu Mincho"/>
          <w:rtl w:val="0"/>
          <w:lang w:eastAsia="ja-JP"/>
        </w:rPr>
      </w:r>
    </w:p>
    <w:p w14:paraId="00000003">
      <w:pPr>
        <w:rPr>
          <w:rFonts w:ascii="Georgia" w:cs="Georgia" w:eastAsia="Georgia" w:hAnsi="Georgia"/>
          <w:color w:val="002715"/>
        </w:rPr>
      </w:pPr>
      <w:r>
        <w:rPr>
          <w:rFonts w:ascii="Georgia" w:hAnsi="Georgia" w:eastAsia="Yu Mincho"/>
          <w:rtl w:val="0"/>
          <w:lang w:eastAsia="ja-JP"/>
        </w:rPr>
      </w:r>
    </w:p>
    <w:p w14:paraId="00000004">
      <w:pPr>
        <w:rPr>
          <w:rFonts w:ascii="Georgia" w:cs="Georgia" w:eastAsia="Georgia" w:hAnsi="Georgia"/>
          <w:color w:val="002715"/>
        </w:rPr>
      </w:pPr>
      <w:r>
        <w:rPr>
          <w:rFonts w:ascii="Georgia" w:hAnsi="Georgia" w:eastAsia="Yu Mincho"/>
          <w:rtl w:val="0"/>
          <w:lang w:eastAsia="ja-JP"/>
        </w:rPr>
      </w:r>
      <w:r>
        <w:rPr>
          <w:rFonts w:ascii="Georgia" w:hAnsi="Georgia" w:eastAsia="Yu Mincho"/>
          <w:lang w:eastAsia="ja-JP"/>
        </w:rPr>
        <mc:AlternateContent>
          <mc:Choice Requires="wpg">
            <w:drawing>
              <wp:anchor allowOverlap="1" behindDoc="0" distB="228600" distT="228600" distL="228600" distR="228600" hidden="0" layoutInCell="1" locked="0" relativeHeight="0" simplePos="0">
                <wp:simplePos x="0" y="0"/>
                <wp:positionH relativeFrom="column">
                  <wp:posOffset>2600325</wp:posOffset>
                </wp:positionH>
                <wp:positionV relativeFrom="paragraph">
                  <wp:posOffset>352425</wp:posOffset>
                </wp:positionV>
                <wp:extent cx="742950" cy="16449"/>
                <wp:effectExtent b="0" l="0" r="0" t="0"/>
                <wp:wrapTopAndBottom distB="228600" distT="228600"/>
                <wp:docPr id="1" name=""/>
                <a:graphic>
                  <a:graphicData uri="http://schemas.microsoft.com/office/word/2010/wordprocessingShape">
                    <wps:wsp>
                      <wps:cNvSpPr/>
                      <wps:cNvPr id="2" name="Shape 2"/>
                      <wps:spPr>
                        <a:xfrm>
                          <a:off x="4060250" y="3527350"/>
                          <a:ext cx="2563200" cy="33900"/>
                        </a:xfrm>
                        <a:prstGeom prst="rect">
                          <a:avLst/>
                        </a:prstGeom>
                        <a:solidFill>
                          <a:srgbClr val="1A703A"/>
                        </a:solidFill>
                        <a:ln>
                          <a:noFill/>
                        </a:ln>
                      </wps:spPr>
                      <wps:txbx>
                        <w:txbxContent>
                          <w:p>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228600" distT="228600" distL="228600" distR="228600" hidden="0" layoutInCell="1" locked="0" relativeHeight="0" simplePos="0">
                <wp:simplePos x="0" y="0"/>
                <wp:positionH relativeFrom="column">
                  <wp:posOffset>2600325</wp:posOffset>
                </wp:positionH>
                <wp:positionV relativeFrom="paragraph">
                  <wp:posOffset>352425</wp:posOffset>
                </wp:positionV>
                <wp:extent cx="742950" cy="16449"/>
                <wp:effectExtent b="0" l="0" r="0" t="0"/>
                <wp:wrapTopAndBottom distB="228600" distT="22860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42950" cy="16449"/>
                        </a:xfrm>
                        <a:prstGeom prst="rect"/>
                        <a:ln/>
                      </pic:spPr>
                    </pic:pic>
                  </a:graphicData>
                </a:graphic>
              </wp:anchor>
            </w:drawing>
          </mc:Fallback>
        </mc:AlternateContent>
      </w:r>
    </w:p>
    <w:p w14:paraId="00000005">
      <w:pPr>
        <w:rPr>
          <w:rFonts w:ascii="Georgia" w:cs="Georgia" w:eastAsia="Georgia" w:hAnsi="Georgia"/>
          <w:color w:val="002715"/>
        </w:rPr>
      </w:pPr>
      <w:r>
        <w:rPr>
          <w:rFonts w:ascii="Georgia" w:hAnsi="Georgia" w:eastAsia="Yu Mincho"/>
          <w:rtl w:val="0"/>
          <w:lang w:eastAsia="ja-JP"/>
        </w:rPr>
      </w:r>
    </w:p>
    <w:p w14:paraId="00000006">
      <w:pPr>
        <w:rPr>
          <w:rFonts w:ascii="Georgia" w:cs="Georgia" w:eastAsia="Georgia" w:hAnsi="Georgia"/>
          <w:color w:val="002715"/>
        </w:rPr>
      </w:pPr>
      <w:r>
        <w:rPr>
          <w:rFonts w:ascii="Georgia" w:hAnsi="Georgia" w:eastAsia="Yu Mincho"/>
          <w:rtl w:val="0"/>
          <w:lang w:eastAsia="ja-JP"/>
        </w:rPr>
      </w:r>
    </w:p>
    <w:p w14:paraId="00000007">
      <w:pPr>
        <w:pStyle w:val="Title"/>
        <w:rPr>
          <w:rFonts w:ascii="Georgia" w:cs="Georgia" w:eastAsia="Georgia" w:hAnsi="Georgia"/>
          <w:color w:val="1a703a"/>
        </w:rPr>
      </w:pPr>
      <w:r>
        <w:rPr>
          <w:rFonts w:ascii="Georgia" w:cs="Georgia" w:eastAsia="Yu Mincho" w:hAnsi="Georgia"/>
          <w:color w:val="1a703a"/>
          <w:rtl w:val="0"/>
          <w:lang w:eastAsia="ja-JP"/>
        </w:rPr>
        <w:t>研究報告</w:t>
      </w:r>
    </w:p>
    <w:p w14:paraId="00000008">
      <w:pPr>
        <w:pStyle w:val="Title"/>
        <w:rPr>
          <w:rFonts w:ascii="Georgia" w:cs="Georgia" w:eastAsia="Georgia" w:hAnsi="Georgia"/>
          <w:color w:val="1a703a"/>
        </w:rPr>
      </w:pPr>
      <w:r>
        <w:rPr>
          <w:rFonts w:ascii="Georgia" w:cs="Georgia" w:eastAsia="Yu Mincho" w:hAnsi="Georgia"/>
          <w:color w:val="1a703a"/>
          <w:rtl w:val="0"/>
          <w:lang w:eastAsia="ja-JP"/>
        </w:rPr>
        <w:t>日本語版</w:t>
      </w:r>
    </w:p>
    <w:p w14:paraId="00000009">
      <w:pPr>
        <w:pStyle w:val="Heading3"/>
        <w:rPr>
          <w:color w:val="105128"/>
        </w:rPr>
      </w:pPr>
      <w:bookmarkStart w:colFirst="0" w:colLast="0" w:name="_heading=h.vj0y3v9ru4fn" w:id="1"/>
      <w:bookmarkEnd w:id="1"/>
      <w:r>
        <w:rPr>
          <w:rFonts w:ascii="Georgia" w:hAnsi="Georgia" w:eastAsia="Yu Mincho"/>
          <w:rtl w:val="0"/>
          <w:lang w:eastAsia="ja-JP"/>
        </w:rPr>
      </w:r>
    </w:p>
    <w:p w14:paraId="0000000A">
      <w:pPr>
        <w:pStyle w:val="Heading3"/>
        <w:rPr>
          <w:color w:val="105128"/>
        </w:rPr>
      </w:pPr>
      <w:bookmarkStart w:colFirst="0" w:colLast="0" w:name="_heading=h.r64a6lc0ytip" w:id="2"/>
      <w:bookmarkEnd w:id="2"/>
      <w:r>
        <w:rPr>
          <w:rFonts w:ascii="Georgia" w:hAnsi="Georgia" w:eastAsia="Yu Mincho"/>
          <w:rtl w:val="0"/>
          <w:lang w:eastAsia="ja-JP"/>
        </w:rPr>
      </w:r>
    </w:p>
    <w:p w14:paraId="0000000B">
      <w:pPr>
        <w:pStyle w:val="Heading3"/>
        <w:rPr>
          <w:color w:val="105128"/>
        </w:rPr>
      </w:pPr>
      <w:bookmarkStart w:colFirst="0" w:colLast="0" w:name="_heading=h.8n89tlutz5i6" w:id="3"/>
      <w:bookmarkEnd w:id="3"/>
      <w:r>
        <w:rPr>
          <w:rFonts w:ascii="Georgia" w:hAnsi="Georgia" w:eastAsia="Yu Mincho"/>
          <w:rtl w:val="0"/>
          <w:lang w:eastAsia="ja-JP"/>
        </w:rPr>
      </w:r>
    </w:p>
    <w:p w14:paraId="0000000C">
      <w:pPr>
        <w:pStyle w:val="Heading3"/>
        <w:rPr>
          <w:color w:val="053b22"/>
        </w:rPr>
      </w:pPr>
      <w:bookmarkStart w:colFirst="0" w:colLast="0" w:name="_heading=h.rnjlnh61vquq" w:id="4"/>
      <w:bookmarkEnd w:id="4"/>
      <w:r>
        <w:rPr>
          <w:rFonts w:ascii="Georgia" w:hAnsi="Georgia" w:eastAsia="Yu Mincho"/>
          <w:rtl w:val="0"/>
          <w:lang w:eastAsia="ja-JP"/>
        </w:rPr>
      </w:r>
    </w:p>
    <w:p w14:paraId="0000000D">
      <w:pPr>
        <w:rPr>
          <w:color w:val="002715"/>
        </w:rPr>
      </w:pPr>
      <w:r>
        <w:rPr>
          <w:rFonts w:ascii="Georgia" w:hAnsi="Georgia" w:eastAsia="Yu Mincho"/>
          <w:rtl w:val="0"/>
          <w:lang w:eastAsia="ja-JP"/>
        </w:rPr>
      </w:r>
    </w:p>
    <w:p w14:paraId="0000000E">
      <w:pPr>
        <w:rPr>
          <w:color w:val="002715"/>
        </w:rPr>
      </w:pPr>
      <w:r>
        <w:rPr>
          <w:rFonts w:ascii="Georgia" w:hAnsi="Georgia" w:eastAsia="Yu Mincho"/>
          <w:rtl w:val="0"/>
          <w:lang w:eastAsia="ja-JP"/>
        </w:rPr>
      </w:r>
    </w:p>
    <w:p w14:paraId="0000000F">
      <w:pPr>
        <w:rPr>
          <w:color w:val="002715"/>
        </w:rPr>
      </w:pPr>
      <w:r>
        <w:rPr>
          <w:rFonts w:ascii="Georgia" w:hAnsi="Georgia" w:eastAsia="Yu Mincho"/>
          <w:rtl w:val="0"/>
          <w:lang w:eastAsia="ja-JP"/>
        </w:rPr>
      </w:r>
    </w:p>
    <w:p w14:paraId="00000010">
      <w:pPr>
        <w:rPr>
          <w:color w:val="002715"/>
        </w:rPr>
      </w:pPr>
      <w:r>
        <w:rPr>
          <w:rFonts w:ascii="Georgia" w:hAnsi="Georgia" w:eastAsia="Yu Mincho"/>
          <w:rtl w:val="0"/>
          <w:lang w:eastAsia="ja-JP"/>
        </w:rPr>
      </w:r>
    </w:p>
    <w:p w14:paraId="00000011">
      <w:pPr>
        <w:rPr>
          <w:color w:val="002715"/>
        </w:rPr>
      </w:pPr>
      <w:r>
        <w:rPr>
          <w:rFonts w:ascii="Georgia" w:hAnsi="Georgia" w:eastAsia="Yu Mincho"/>
          <w:rtl w:val="0"/>
          <w:lang w:eastAsia="ja-JP"/>
        </w:rPr>
      </w:r>
    </w:p>
    <w:p w14:paraId="00000012">
      <w:pPr>
        <w:rPr>
          <w:color w:val="002715"/>
        </w:rPr>
      </w:pPr>
      <w:r>
        <w:rPr>
          <w:rFonts w:ascii="Georgia" w:hAnsi="Georgia" w:eastAsia="Yu Mincho"/>
          <w:rtl w:val="0"/>
          <w:lang w:eastAsia="ja-JP"/>
        </w:rPr>
      </w:r>
    </w:p>
    <w:p w14:paraId="00000013">
      <w:pPr>
        <w:rPr>
          <w:color w:val="002715"/>
        </w:rPr>
      </w:pPr>
      <w:r>
        <w:rPr>
          <w:rFonts w:ascii="Georgia" w:hAnsi="Georgia" w:eastAsia="Yu Mincho"/>
          <w:rtl w:val="0"/>
          <w:lang w:eastAsia="ja-JP"/>
        </w:rPr>
      </w:r>
    </w:p>
    <w:p w14:paraId="00000014">
      <w:pPr>
        <w:rPr>
          <w:color w:val="002715"/>
        </w:rPr>
      </w:pPr>
      <w:r>
        <w:rPr>
          <w:rFonts w:ascii="Georgia" w:hAnsi="Georgia" w:eastAsia="Yu Mincho"/>
          <w:rtl w:val="0"/>
          <w:lang w:eastAsia="ja-JP"/>
        </w:rPr>
      </w:r>
    </w:p>
    <w:p w14:paraId="00000015">
      <w:pPr>
        <w:rPr>
          <w:color w:val="002715"/>
        </w:rPr>
      </w:pPr>
      <w:r>
        <w:rPr>
          <w:rFonts w:ascii="Georgia" w:hAnsi="Georgia" w:eastAsia="Yu Mincho"/>
          <w:rtl w:val="0"/>
          <w:lang w:eastAsia="ja-JP"/>
        </w:rPr>
      </w:r>
    </w:p>
    <w:p w14:paraId="00000016">
      <w:pPr>
        <w:rPr>
          <w:color w:val="002715"/>
        </w:rPr>
      </w:pPr>
      <w:r>
        <w:rPr>
          <w:rFonts w:ascii="Georgia" w:hAnsi="Georgia" w:eastAsia="Yu Mincho"/>
          <w:rtl w:val="0"/>
          <w:lang w:eastAsia="ja-JP"/>
        </w:rPr>
      </w:r>
    </w:p>
    <w:p w14:paraId="00000017">
      <w:pPr>
        <w:rPr>
          <w:color w:val="434343"/>
        </w:rPr>
      </w:pPr>
      <w:r>
        <w:rPr>
          <w:rFonts w:ascii="Georgia" w:hAnsi="Georgia" w:eastAsia="Yu Mincho"/>
          <w:rtl w:val="0"/>
          <w:lang w:eastAsia="ja-JP"/>
        </w:rPr>
      </w:r>
    </w:p>
    <w:p w14:paraId="00000018">
      <w:pPr>
        <w:pStyle w:val="Heading3"/>
        <w:rPr>
          <w:color w:val="000000"/>
        </w:rPr>
      </w:pPr>
      <w:bookmarkStart w:colFirst="0" w:colLast="0" w:name="_heading=h.a28c2t63c20t" w:id="5"/>
      <w:bookmarkEnd w:id="5"/>
      <w:r>
        <w:rPr>
          <w:rFonts w:ascii="Georgia" w:hAnsi="Georgia" w:eastAsia="Yu Mincho"/>
          <w:color w:val="000000"/>
          <w:rtl w:val="0"/>
          <w:lang w:eastAsia="ja-JP"/>
        </w:rPr>
        <w:t>学習外入力データ</w:t>
      </w:r>
    </w:p>
    <w:p w14:paraId="00000019">
      <w:pPr>
        <w:pStyle w:val="Heading3"/>
        <w:rPr>
          <w:color w:val="000000"/>
        </w:rPr>
      </w:pPr>
      <w:bookmarkStart w:colFirst="0" w:colLast="0" w:name="_heading=h.io4lnv62zpnv" w:id="6"/>
      <w:bookmarkEnd w:id="6"/>
      <w:r>
        <w:rPr>
          <w:rFonts w:ascii="Georgia" w:hAnsi="Georgia" w:eastAsia="Yu Mincho"/>
          <w:color w:val="000000"/>
          <w:rtl w:val="0"/>
          <w:lang w:eastAsia="ja-JP"/>
        </w:rPr>
        <w:t>2026年9月10日</w:t>
      </w:r>
    </w:p>
    <w:p w14:paraId="0000001A">
      <w:pPr>
        <w:pStyle w:val="Heading3"/>
        <w:rPr>
          <w:color w:val="000000"/>
        </w:rPr>
      </w:pPr>
      <w:bookmarkStart w:colFirst="0" w:colLast="0" w:name="_heading=h.l0z5dez015hw" w:id="7"/>
      <w:bookmarkEnd w:id="7"/>
      <w:r>
        <w:rPr>
          <w:rFonts w:ascii="Georgia" w:hAnsi="Georgia" w:eastAsia="Yu Mincho"/>
          <w:lang w:eastAsia="ja-JP"/>
        </w:rPr>
        <w:br w:type="page"/>
      </w:r>
      <w:r>
        <w:rPr>
          <w:rFonts w:ascii="Georgia" w:hAnsi="Georgia" w:eastAsia="Yu Mincho"/>
          <w:rtl w:val="0"/>
          <w:lang w:eastAsia="ja-JP"/>
        </w:rPr>
      </w:r>
    </w:p>
    <w:p>
      <w:pPr>
        <w:pageBreakBefore/>
        <w:spacing w:after="0" w:line="20" w:lineRule="exact"/>
      </w:pPr>
    </w:p>
    <w:p>
      <w:pPr>
        <w:pStyle w:val="Heading1"/>
        <w:jc w:val="left"/>
      </w:pPr>
      <w:r>
        <w:t>内容一覧</w:t>
      </w:r>
    </w:p>
    <w:p>
      <w:pPr>
        <w:widowControl/>
        <w:spacing w:before="0" w:after="140" w:line="269" w:lineRule="auto"/>
      </w:pPr>
      <w:r>
        <w:rPr>
          <w:rFonts w:ascii="Georgia" w:hAnsi="Georgia" w:eastAsia="Yu Mincho"/>
          <w:b w:val="0"/>
          <w:sz w:val="20"/>
          <w:lang w:eastAsia="ja-JP"/>
        </w:rPr>
        <w:t>1 文献情報</w:t>
      </w:r>
    </w:p>
    <w:p>
      <w:pPr>
        <w:widowControl/>
        <w:spacing w:before="0" w:after="140" w:line="269" w:lineRule="auto"/>
      </w:pPr>
      <w:r>
        <w:rPr>
          <w:rFonts w:ascii="Georgia" w:hAnsi="Georgia" w:eastAsia="Yu Mincho"/>
          <w:b w:val="0"/>
          <w:sz w:val="20"/>
          <w:lang w:eastAsia="ja-JP"/>
        </w:rPr>
        <w:t>2 手法理解に必要な数式</w:t>
      </w:r>
    </w:p>
    <w:p>
      <w:pPr>
        <w:widowControl/>
        <w:spacing w:before="0" w:after="140" w:line="269" w:lineRule="auto"/>
      </w:pPr>
      <w:r>
        <w:rPr>
          <w:rFonts w:ascii="Georgia" w:hAnsi="Georgia" w:eastAsia="Yu Mincho"/>
          <w:b w:val="0"/>
          <w:sz w:val="20"/>
          <w:lang w:eastAsia="ja-JP"/>
        </w:rPr>
        <w:t>3 学習外の定義と手法分類</w:t>
      </w:r>
    </w:p>
    <w:p>
      <w:pPr>
        <w:widowControl/>
        <w:spacing w:before="0" w:after="140" w:line="269" w:lineRule="auto"/>
      </w:pPr>
      <w:r>
        <w:rPr>
          <w:rFonts w:ascii="Georgia" w:hAnsi="Georgia" w:eastAsia="Yu Mincho"/>
          <w:b w:val="0"/>
          <w:sz w:val="20"/>
          <w:lang w:eastAsia="ja-JP"/>
        </w:rPr>
        <w:t>4 検出アルゴリズムと評価</w:t>
      </w:r>
    </w:p>
    <w:p>
      <w:pPr>
        <w:widowControl/>
        <w:spacing w:before="0" w:after="140" w:line="269" w:lineRule="auto"/>
      </w:pPr>
      <w:r>
        <w:rPr>
          <w:rFonts w:ascii="Georgia" w:hAnsi="Georgia" w:eastAsia="Yu Mincho"/>
          <w:b w:val="0"/>
          <w:sz w:val="20"/>
          <w:lang w:eastAsia="ja-JP"/>
        </w:rPr>
        <w:t>5 評価データセットの詳細</w:t>
      </w:r>
    </w:p>
    <w:p>
      <w:pPr>
        <w:widowControl/>
        <w:spacing w:before="0" w:after="140" w:line="269" w:lineRule="auto"/>
      </w:pPr>
      <w:r>
        <w:rPr>
          <w:rFonts w:ascii="Georgia" w:hAnsi="Georgia" w:eastAsia="Yu Mincho"/>
          <w:b w:val="0"/>
          <w:sz w:val="20"/>
          <w:lang w:eastAsia="ja-JP"/>
        </w:rPr>
        <w:t>6 長所と短所と適用条件</w:t>
      </w:r>
    </w:p>
    <w:p>
      <w:pPr>
        <w:widowControl/>
        <w:spacing w:before="0" w:after="140" w:line="269" w:lineRule="auto"/>
      </w:pPr>
      <w:r>
        <w:rPr>
          <w:rFonts w:ascii="Georgia" w:hAnsi="Georgia" w:eastAsia="Yu Mincho"/>
          <w:b w:val="0"/>
          <w:sz w:val="20"/>
          <w:lang w:eastAsia="ja-JP"/>
        </w:rPr>
        <w:t>7 社会インフラと末端圧力推定への適用性</w:t>
      </w:r>
    </w:p>
    <w:p>
      <w:pPr>
        <w:widowControl/>
        <w:spacing w:before="0" w:after="140" w:line="269" w:lineRule="auto"/>
      </w:pPr>
      <w:r>
        <w:rPr>
          <w:rFonts w:ascii="Georgia" w:hAnsi="Georgia" w:eastAsia="Yu Mincho"/>
          <w:b w:val="0"/>
          <w:sz w:val="20"/>
          <w:lang w:eastAsia="ja-JP"/>
        </w:rPr>
        <w:t>8 原文の不整合と確認事項</w:t>
      </w:r>
    </w:p>
    <w:p>
      <w:pPr>
        <w:widowControl/>
        <w:spacing w:before="0" w:after="140" w:line="269" w:lineRule="auto"/>
      </w:pPr>
      <w:r>
        <w:rPr>
          <w:rFonts w:ascii="Georgia" w:hAnsi="Georgia" w:eastAsia="Yu Mincho"/>
          <w:b w:val="0"/>
          <w:sz w:val="20"/>
          <w:lang w:eastAsia="ja-JP"/>
        </w:rPr>
        <w:t>9 総合研究報告に向けた標準記録</w:t>
      </w:r>
    </w:p>
    <w:p>
      <w:pPr>
        <w:widowControl/>
        <w:spacing w:before="0" w:after="140" w:line="269" w:lineRule="auto"/>
      </w:pPr>
      <w:r>
        <w:rPr>
          <w:rFonts w:ascii="Georgia" w:hAnsi="Georgia" w:eastAsia="Yu Mincho"/>
          <w:b w:val="0"/>
          <w:sz w:val="20"/>
          <w:lang w:eastAsia="ja-JP"/>
        </w:rPr>
        <w:t>10 出典索引</w:t>
      </w:r>
    </w:p>
    <w:p>
      <w:pPr>
        <w:spacing w:after="80"/>
      </w:pPr>
    </w:p>
    <w:p>
      <w:pPr>
        <w:widowControl/>
        <w:spacing w:before="0" w:after="140" w:line="269" w:lineRule="auto"/>
      </w:pPr>
      <w:r>
        <w:rPr>
          <w:rFonts w:ascii="Georgia" w:hAnsi="Georgia" w:eastAsia="Yu Mincho"/>
          <w:b w:val="0"/>
          <w:sz w:val="24"/>
          <w:lang w:eastAsia="ja-JP"/>
        </w:rPr>
        <w:t>研究テーマ　学習外入力データの検出と社会インフラの監視制御への適用性</w:t>
      </w:r>
    </w:p>
    <w:p>
      <w:pPr>
        <w:widowControl/>
        <w:spacing w:before="0" w:after="140" w:line="269" w:lineRule="auto"/>
      </w:pPr>
      <w:r>
        <w:rPr>
          <w:rFonts w:ascii="Georgia" w:hAnsi="Georgia" w:eastAsia="Yu Mincho"/>
          <w:b w:val="0"/>
          <w:sz w:val="24"/>
          <w:lang w:eastAsia="ja-JP"/>
        </w:rPr>
        <w:t>文献番号 08　作成日 2026年9月10日</w:t>
      </w:r>
    </w:p>
    <w:p>
      <w:pPr>
        <w:widowControl/>
        <w:spacing w:before="0" w:after="140" w:line="269" w:lineRule="auto"/>
      </w:pPr>
      <w:r>
        <w:rPr>
          <w:rFonts w:ascii="Georgia" w:hAnsi="Georgia" w:eastAsia="Yu Mincho"/>
          <w:b w:val="0"/>
          <w:sz w:val="24"/>
          <w:lang w:eastAsia="ja-JP"/>
        </w:rPr>
        <w:t>USAD は，主として正常な多変量時系列から二つの共有エンコーダ型オートエンコーダを学習し，新しい時間窓の再構成誤差から異常を判定する手法である。本研究では，入力側の再構成誤差に基づく学習外候補の検出手法として位置付ける。ただし，再構成誤差が小さいことは，対象 AI がその入力を十分に学習していることや，末端圧力の推定が正確であることを保証しない。</w:t>
      </w:r>
    </w:p>
    <w:p>
      <w:pPr>
        <w:widowControl/>
        <w:spacing w:before="0" w:after="140" w:line="269" w:lineRule="auto"/>
      </w:pPr>
      <w:r>
        <w:rPr>
          <w:rFonts w:ascii="Georgia" w:hAnsi="Georgia" w:eastAsia="Yu Mincho"/>
          <w:b w:val="0"/>
          <w:sz w:val="24"/>
          <w:lang w:eastAsia="ja-JP"/>
        </w:rPr>
        <w:t xml:space="preserve">表記　</w:t>
      </w:r>
      <w:r>
        <w:rPr>
          <w:rFonts w:ascii="Georgia" w:hAnsi="Georgia" w:eastAsia="Yu Mincho"/>
          <w:b/>
          <w:sz w:val="24"/>
          <w:lang w:eastAsia="ja-JP"/>
        </w:rPr>
        <w:t>【論文】</w:t>
      </w:r>
      <w:r>
        <w:rPr>
          <w:rFonts w:ascii="Georgia" w:hAnsi="Georgia" w:eastAsia="Yu Mincho"/>
          <w:b w:val="0"/>
          <w:sz w:val="24"/>
          <w:lang w:eastAsia="ja-JP"/>
        </w:rPr>
        <w:t>は原論文の記載，</w:t>
      </w:r>
      <w:r>
        <w:rPr>
          <w:rFonts w:ascii="Georgia" w:hAnsi="Georgia" w:eastAsia="Yu Mincho"/>
          <w:b/>
          <w:sz w:val="24"/>
          <w:lang w:eastAsia="ja-JP"/>
        </w:rPr>
        <w:t>【外部確認】</w:t>
      </w:r>
      <w:r>
        <w:rPr>
          <w:rFonts w:ascii="Georgia" w:hAnsi="Georgia" w:eastAsia="Yu Mincho"/>
          <w:b w:val="0"/>
          <w:sz w:val="24"/>
          <w:lang w:eastAsia="ja-JP"/>
        </w:rPr>
        <w:t>は公開コードやデータ提供元による補足，</w:t>
      </w:r>
      <w:r>
        <w:rPr>
          <w:rFonts w:ascii="Georgia" w:hAnsi="Georgia" w:eastAsia="Yu Mincho"/>
          <w:b/>
          <w:sz w:val="24"/>
          <w:lang w:eastAsia="ja-JP"/>
        </w:rPr>
        <w:t>【分析】</w:t>
      </w:r>
      <w:r>
        <w:rPr>
          <w:rFonts w:ascii="Georgia" w:hAnsi="Georgia" w:eastAsia="Yu Mincho"/>
          <w:b w:val="0"/>
          <w:sz w:val="24"/>
          <w:lang w:eastAsia="ja-JP"/>
        </w:rPr>
        <w:t>は本報告の解釈・導出・提案，</w:t>
      </w:r>
      <w:r>
        <w:rPr>
          <w:rFonts w:ascii="Georgia" w:hAnsi="Georgia" w:eastAsia="Yu Mincho"/>
          <w:b/>
          <w:sz w:val="24"/>
          <w:lang w:eastAsia="ja-JP"/>
        </w:rPr>
        <w:t>【記載なし】</w:t>
      </w:r>
      <w:r>
        <w:rPr>
          <w:rFonts w:ascii="Georgia" w:hAnsi="Georgia" w:eastAsia="Yu Mincho"/>
          <w:b w:val="0"/>
          <w:sz w:val="24"/>
          <w:lang w:eastAsia="ja-JP"/>
        </w:rPr>
        <w:t>は原論文で確認できない事項を表す。PDF のページ番号と印刷ページを併記する。実験値は論文の報告値であり，本報告ではモデルの再学習による再現実験を実施していない。外部資料の確認日は2026年9月10日である。</w:t>
      </w:r>
    </w:p>
    <w:p>
      <w:bookmarkStart w:id="1" w:name="sec_1"/>
      <w:pPr>
        <w:pStyle w:val="Heading1"/>
        <w:keepNext/>
        <w:spacing w:before="300" w:after="140"/>
        <w:jc w:val="left"/>
      </w:pPr>
      <w:r>
        <w:rPr>
          <w:rFonts w:ascii="Georgia" w:hAnsi="Georgia" w:eastAsia="Yu Mincho"/>
          <w:b w:val="0"/>
          <w:lang w:eastAsia="ja-JP"/>
        </w:rPr>
        <w:t>1 文献情報</w:t>
      </w:r>
      <w:bookmarkEnd w:id="1"/>
    </w:p>
    <w:tbl>
      <w:tblPr>
        <w:tblStyle w:val="Table1"/>
        <w:tblW w:type="dxa" w:w="9360"/>
        <w:jc w:val="left"/>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338"/>
        <w:gridCol w:w="7021"/>
      </w:tblGrid>
      <w:tr>
        <w:trPr>
          <w:cantSplit/>
          <w:tblHeader/>
        </w:trPr>
        <w:tc>
          <w:tcPr>
            <w:tcW w:type="dxa" w:w="2338"/>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項目</w:t>
            </w:r>
          </w:p>
        </w:tc>
        <w:tc>
          <w:tcPr>
            <w:tcW w:type="dxa" w:w="7021"/>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内容</w:t>
            </w:r>
          </w:p>
        </w:tc>
      </w:tr>
      <w:tr>
        <w:trPr>
          <w:cantSplit/>
        </w:trPr>
        <w:tc>
          <w:tcPr>
            <w:tcW w:type="dxa" w:w="2338"/>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論文名</w:t>
            </w:r>
          </w:p>
        </w:tc>
        <w:tc>
          <w:tcPr>
            <w:tcW w:type="dxa" w:w="7021"/>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USAD : UnSupervised Anomaly Detection on Multivariate Time Series</w:t>
            </w:r>
          </w:p>
        </w:tc>
      </w:tr>
      <w:tr>
        <w:trPr>
          <w:cantSplit/>
        </w:trPr>
        <w:tc>
          <w:tcPr>
            <w:tcW w:type="dxa" w:w="2338"/>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日本語の意味</w:t>
            </w:r>
          </w:p>
        </w:tc>
        <w:tc>
          <w:tcPr>
            <w:tcW w:type="dxa" w:w="7021"/>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多変量時系列に対する教師なし異常検出</w:t>
            </w:r>
          </w:p>
        </w:tc>
      </w:tr>
      <w:tr>
        <w:trPr>
          <w:cantSplit/>
        </w:trPr>
        <w:tc>
          <w:tcPr>
            <w:tcW w:type="dxa" w:w="2338"/>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著者</w:t>
            </w:r>
          </w:p>
        </w:tc>
        <w:tc>
          <w:tcPr>
            <w:tcW w:type="dxa" w:w="7021"/>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Julien Audibert；Pietro Michiardi；Frédéric Guyard；Sébastien Marti；Maria A. Zuluaga</w:t>
            </w:r>
          </w:p>
        </w:tc>
      </w:tr>
      <w:tr>
        <w:trPr>
          <w:cantSplit/>
        </w:trPr>
        <w:tc>
          <w:tcPr>
            <w:tcW w:type="dxa" w:w="2338"/>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発表年と媒体</w:t>
            </w:r>
          </w:p>
        </w:tc>
        <w:tc>
          <w:tcPr>
            <w:tcW w:type="dxa" w:w="7021"/>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2020年，第26回 ACM SIGKDD International Conference on Knowledge Discovery &amp; Data Mining，Applied Data Science Track</w:t>
            </w:r>
          </w:p>
        </w:tc>
      </w:tr>
      <w:tr>
        <w:trPr>
          <w:cantSplit/>
        </w:trPr>
        <w:tc>
          <w:tcPr>
            <w:tcW w:type="dxa" w:w="2338"/>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ページ</w:t>
            </w:r>
          </w:p>
        </w:tc>
        <w:tc>
          <w:tcPr>
            <w:tcW w:type="dxa" w:w="7021"/>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3395–3404，再現用付録を含む10ページ</w:t>
            </w:r>
          </w:p>
        </w:tc>
      </w:tr>
      <w:tr>
        <w:trPr>
          <w:cantSplit/>
        </w:trPr>
        <w:tc>
          <w:tcPr>
            <w:tcW w:type="dxa" w:w="2338"/>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DOI</w:t>
            </w:r>
          </w:p>
        </w:tc>
        <w:tc>
          <w:tcPr>
            <w:tcW w:type="dxa" w:w="7021"/>
            <w:vAlign w:val="center"/>
            <w:tcMar>
              <w:top w:w="90" w:type="dxa"/>
              <w:bottom w:w="90" w:type="dxa"/>
              <w:left w:w="90" w:type="dxa"/>
              <w:right w:w="90" w:type="dxa"/>
            </w:tcMar>
          </w:tcPr>
          <w:p>
            <w:pPr>
              <w:widowControl/>
              <w:spacing w:before="0" w:after="100" w:line="264" w:lineRule="auto"/>
            </w:pPr>
            <w:hyperlink r:id="rId6">
              <w:r>
                <w:rPr>
                  <w:rFonts w:ascii="Georgia" w:hAnsi="Georgia" w:eastAsia="Yu Mincho"/>
                  <w:color w:val="167039"/>
                  <w:sz w:val="20"/>
                  <w:u w:val="single"/>
                  <w:lang w:eastAsia="ja-JP"/>
                </w:rPr>
                <w:t>10.1145/3394486.3403392</w:t>
              </w:r>
            </w:hyperlink>
          </w:p>
        </w:tc>
      </w:tr>
      <w:tr>
        <w:trPr>
          <w:cantSplit/>
        </w:trPr>
        <w:tc>
          <w:tcPr>
            <w:tcW w:type="dxa" w:w="2338"/>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所属</w:t>
            </w:r>
          </w:p>
        </w:tc>
        <w:tc>
          <w:tcPr>
            <w:tcW w:type="dxa" w:w="7021"/>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EURECOM，Orange／Orange Labs</w:t>
            </w:r>
          </w:p>
        </w:tc>
      </w:tr>
      <w:tr>
        <w:trPr>
          <w:cantSplit/>
        </w:trPr>
        <w:tc>
          <w:tcPr>
            <w:tcW w:type="dxa" w:w="2338"/>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研究の性質</w:t>
            </w:r>
          </w:p>
        </w:tc>
        <w:tc>
          <w:tcPr>
            <w:tcW w:type="dxa" w:w="7021"/>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手法提案，公開ベンチマーク評価，企業データによる実現可能性検証。対象 AI の予測信頼性を理論的に保証する研究ではない</w:t>
            </w:r>
          </w:p>
        </w:tc>
      </w:tr>
    </w:tbl>
    <w:p>
      <w:pPr>
        <w:spacing w:after="60" w:before="0" w:line="60" w:lineRule="exact"/>
      </w:pPr>
    </w:p>
    <w:p>
      <w:pPr>
        <w:widowControl/>
        <w:spacing w:before="0" w:after="140" w:line="269" w:lineRule="auto"/>
      </w:pPr>
      <w:r>
        <w:rPr>
          <w:rFonts w:ascii="Georgia" w:hAnsi="Georgia" w:eastAsia="Yu Mincho"/>
          <w:b w:val="0"/>
          <w:sz w:val="24"/>
          <w:lang w:eastAsia="ja-JP"/>
        </w:rPr>
        <w:t>【外部確認】</w:t>
      </w:r>
      <w:hyperlink r:id="rId10">
        <w:r>
          <w:rPr>
            <w:rFonts w:ascii="Georgia" w:hAnsi="Georgia" w:eastAsia="Yu Mincho"/>
            <w:color w:val="167039"/>
            <w:sz w:val="24"/>
            <w:u w:val="single"/>
            <w:lang w:eastAsia="ja-JP"/>
          </w:rPr>
          <w:t>著者が参加する公開実装</w:t>
        </w:r>
      </w:hyperlink>
      <w:r>
        <w:rPr>
          <w:rFonts w:ascii="Georgia" w:hAnsi="Georgia" w:eastAsia="Yu Mincho"/>
          <w:b w:val="0"/>
          <w:sz w:val="24"/>
          <w:lang w:eastAsia="ja-JP"/>
        </w:rPr>
        <w:t>は Francesco Galati が実装し，Julien Audibert と Maria A. Zuluaga が貢献している。ソフトウェアは BSD-3 ライセンスと記載されるが，これは SWaT などのデータライセンスを意味しない。</w:t>
      </w:r>
    </w:p>
    <w:p>
      <w:bookmarkStart w:id="2" w:name="sec_2"/>
      <w:pPr>
        <w:pStyle w:val="Heading1"/>
        <w:keepNext/>
        <w:spacing w:before="300" w:after="140"/>
        <w:jc w:val="left"/>
      </w:pPr>
      <w:r>
        <w:rPr>
          <w:rFonts w:ascii="Georgia" w:hAnsi="Georgia" w:eastAsia="Yu Mincho"/>
          <w:b w:val="0"/>
          <w:lang w:eastAsia="ja-JP"/>
        </w:rPr>
        <w:t>2 手法理解に必要な数式</w:t>
      </w:r>
      <w:bookmarkEnd w:id="2"/>
    </w:p>
    <w:p>
      <w:pPr>
        <w:widowControl/>
        <w:spacing w:before="0" w:after="140" w:line="269" w:lineRule="auto"/>
      </w:pPr>
      <w:r>
        <w:rPr>
          <w:rFonts w:ascii="Georgia" w:hAnsi="Georgia" w:eastAsia="Yu Mincho"/>
          <w:b w:val="0"/>
          <w:sz w:val="24"/>
          <w:lang w:eastAsia="ja-JP"/>
        </w:rPr>
        <w:t>本報告では入力変数の数を d，潜在次元を h，時間窓の長さを K，学習エポックを n とする。原文は m を入力次元と潜在次元の両方に用いているため，ここでは区別する。</w:t>
      </w:r>
    </w:p>
    <w:p>
      <w:pPr>
        <w:widowControl/>
        <w:spacing w:before="60" w:after="160" w:line="269" w:lineRule="auto"/>
        <w:jc w:val="center"/>
      </w:pPr>
      <m:oMath>
        <m:sSub>
          <m:e>
            <m:r>
              <m:rPr>
                <m:sty m:val="p"/>
              </m:rPr>
              <w:rPr>
                <w:rFonts w:ascii="Cambria Math" w:hAnsi="Cambria Math"/>
                <w:sz w:val="22"/>
              </w:rPr>
              <m:t xml:space="preserve">W</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m:t>
        </m:r>
        <m:sSub>
          <m:e>
            <m:r>
              <m:rPr>
                <m:sty m:val="p"/>
              </m:rPr>
              <w:rPr>
                <w:rFonts w:ascii="Cambria Math" w:hAnsi="Cambria Math"/>
                <w:sz w:val="22"/>
              </w:rPr>
              <m:t xml:space="preserve">x</m:t>
            </m:r>
          </m:e>
          <m:sub>
            <m:r>
              <m:rPr>
                <m:sty m:val="p"/>
              </m:rPr>
              <w:rPr>
                <w:rFonts w:ascii="Cambria Math" w:hAnsi="Cambria Math"/>
                <w:sz w:val="22"/>
              </w:rPr>
              <m:t xml:space="preserve">t</m:t>
            </m:r>
            <m:r>
              <m:rPr>
                <m:sty m:val="p"/>
              </m:rPr>
              <w:rPr>
                <w:rFonts w:ascii="Cambria Math" w:hAnsi="Cambria Math"/>
                <w:sz w:val="22"/>
              </w:rPr>
              <m:t xml:space="preserve">−</m:t>
            </m:r>
            <m:r>
              <m:rPr>
                <m:sty m:val="p"/>
              </m:rPr>
              <w:rPr>
                <w:rFonts w:ascii="Cambria Math" w:hAnsi="Cambria Math"/>
                <w:sz w:val="22"/>
              </w:rPr>
              <m:t xml:space="preserve">K</m:t>
            </m:r>
            <m:r>
              <m:rPr>
                <m:sty m:val="p"/>
              </m:rPr>
              <w:rPr>
                <w:rFonts w:ascii="Cambria Math" w:hAnsi="Cambria Math"/>
                <w:sz w:val="22"/>
              </w:rPr>
              <m:t xml:space="preserve">+</m:t>
            </m:r>
            <m:r>
              <m:rPr>
                <m:sty m:val="p"/>
              </m:rPr>
              <w:rPr>
                <w:rFonts w:ascii="Cambria Math" w:hAnsi="Cambria Math"/>
                <w:sz w:val="22"/>
              </w:rPr>
              <m:t xml:space="preserve">1</m:t>
            </m:r>
          </m:sub>
        </m:sSub>
        <m:r>
          <m:rPr>
            <m:sty m:val="p"/>
          </m:rPr>
          <w:rPr>
            <w:rFonts w:ascii="Cambria Math" w:hAnsi="Cambria Math"/>
            <w:sz w:val="22"/>
          </w:rPr>
          <m:t xml:space="preserve">,</m:t>
        </m:r>
        <m:r>
          <m:rPr>
            <m:sty m:val="p"/>
          </m:rPr>
          <w:rPr>
            <w:rFonts w:ascii="Cambria Math" w:hAnsi="Cambria Math"/>
            <w:sz w:val="22"/>
          </w:rPr>
          <m:t xml:space="preserve">…</m:t>
        </m:r>
        <m:r>
          <m:rPr>
            <m:sty m:val="p"/>
          </m:rPr>
          <w:rPr>
            <w:rFonts w:ascii="Cambria Math" w:hAnsi="Cambria Math"/>
            <w:sz w:val="22"/>
          </w:rPr>
          <m:t xml:space="preserve">,</m:t>
        </m:r>
        <m:sSub>
          <m:e>
            <m:r>
              <m:rPr>
                <m:sty m:val="p"/>
              </m:rPr>
              <w:rPr>
                <w:rFonts w:ascii="Cambria Math" w:hAnsi="Cambria Math"/>
                <w:sz w:val="22"/>
              </w:rPr>
              <m:t xml:space="preserve">x</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x</m:t>
            </m:r>
          </m:e>
          <m:sub>
            <m:r>
              <m:rPr>
                <m:sty m:val="p"/>
              </m:rPr>
              <w:rPr>
                <w:rFonts w:ascii="Cambria Math" w:hAnsi="Cambria Math"/>
                <w:sz w:val="22"/>
              </w:rPr>
              <m:t xml:space="preserve">t</m:t>
            </m:r>
          </m:sub>
        </m:sSub>
        <m:r>
          <m:rPr>
            <m:sty m:val="p"/>
          </m:rPr>
          <w:rPr>
            <w:rFonts w:ascii="Cambria Math" w:hAnsi="Cambria Math"/>
            <w:sz w:val="22"/>
          </w:rPr>
          <m:t xml:space="preserve">∈</m:t>
        </m:r>
        <m:sSup>
          <m:e>
            <m:r>
              <m:rPr>
                <m:sty m:val="p"/>
              </m:rPr>
              <w:rPr>
                <w:rFonts w:ascii="Cambria Math" w:hAnsi="Cambria Math"/>
                <w:sz w:val="22"/>
              </w:rPr>
              <m:t xml:space="preserve">ℝ</m:t>
            </m:r>
          </m:e>
          <m:sup>
            <m:r>
              <m:rPr>
                <m:sty m:val="p"/>
              </m:rPr>
              <w:rPr>
                <w:rFonts w:ascii="Cambria Math" w:hAnsi="Cambria Math"/>
                <w:sz w:val="22"/>
              </w:rPr>
              <m:t xml:space="preserve">d</m:t>
            </m:r>
          </m:sup>
        </m:sSup>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q</m:t>
        </m:r>
        <m:r>
          <m:rPr>
            <m:sty m:val="p"/>
          </m:rPr>
          <w:rPr>
            <w:rFonts w:ascii="Cambria Math" w:hAnsi="Cambria Math"/>
            <w:sz w:val="22"/>
          </w:rPr>
          <m:t xml:space="preserve">=</m:t>
        </m:r>
        <m:r>
          <m:rPr>
            <m:sty m:val="p"/>
          </m:rPr>
          <w:rPr>
            <w:rFonts w:ascii="Cambria Math" w:hAnsi="Cambria Math"/>
            <w:sz w:val="22"/>
          </w:rPr>
          <m:t xml:space="preserve">K</m:t>
        </m:r>
        <m:r>
          <m:rPr>
            <m:sty m:val="p"/>
          </m:rPr>
          <w:rPr>
            <w:rFonts w:ascii="Cambria Math" w:hAnsi="Cambria Math"/>
            <w:sz w:val="22"/>
          </w:rPr>
          <m:t xml:space="preserve">d</m:t>
        </m:r>
        <m:r>
          <m:rPr>
            <m:sty m:val="p"/>
          </m:rPr>
          <w:rPr>
            <w:rFonts w:ascii="Cambria Math" w:hAnsi="Cambria Math"/>
            <w:sz w:val="22"/>
          </w:rPr>
          <m:t xml:space="preserve">.</m:t>
        </m:r>
      </m:oMath>
    </w:p>
    <w:p>
      <w:pPr>
        <w:widowControl/>
        <w:spacing w:before="0" w:after="140" w:line="269" w:lineRule="auto"/>
      </w:pPr>
      <w:r>
        <w:rPr>
          <w:rFonts w:ascii="Georgia" w:hAnsi="Georgia" w:eastAsia="Yu Mincho"/>
          <w:b w:val="0"/>
          <w:sz w:val="24"/>
          <w:lang w:eastAsia="ja-JP"/>
        </w:rPr>
        <w:t>W は K 時点の入力を含み，順序を保持して q 次元のベクトルに展開する。単一時点だけを入力する設定ではない。</w:t>
      </w:r>
    </w:p>
    <w:p>
      <w:pPr>
        <w:widowControl/>
        <w:spacing w:before="60" w:after="160" w:line="269" w:lineRule="auto"/>
        <w:jc w:val="center"/>
      </w:pPr>
      <m:oMath>
        <m:r>
          <m:rPr>
            <m:sty m:val="p"/>
          </m:rPr>
          <w:rPr>
            <w:rFonts w:ascii="Cambria Math" w:hAnsi="Cambria Math"/>
            <w:sz w:val="22"/>
          </w:rPr>
          <m:t xml:space="preserve">A</m:t>
        </m:r>
        <m:sSub>
          <m:e>
            <m:r>
              <m:rPr>
                <m:sty m:val="p"/>
              </m:rPr>
              <w:rPr>
                <w:rFonts w:ascii="Cambria Math" w:hAnsi="Cambria Math"/>
                <w:sz w:val="22"/>
              </w:rPr>
              <m:t xml:space="preserve">E</m:t>
            </m:r>
          </m:e>
          <m:sub>
            <m:r>
              <m:rPr>
                <m:sty m:val="p"/>
              </m:rPr>
              <w:rPr>
                <w:rFonts w:ascii="Cambria Math" w:hAnsi="Cambria Math"/>
                <w:sz w:val="22"/>
              </w:rPr>
              <m:t xml:space="preserve">1</m:t>
            </m:r>
          </m:sub>
        </m:sSub>
        <m:r>
          <m:rPr>
            <m:sty m:val="p"/>
          </m:rPr>
          <w:rPr>
            <w:rFonts w:ascii="Cambria Math" w:hAnsi="Cambria Math"/>
            <w:sz w:val="22"/>
          </w:rPr>
          <m:t xml:space="preserve">(</m:t>
        </m:r>
        <m:r>
          <m:rPr>
            <m:sty m:val="p"/>
          </m:rPr>
          <w:rPr>
            <w:rFonts w:ascii="Cambria Math" w:hAnsi="Cambria Math"/>
            <w:sz w:val="22"/>
          </w:rPr>
          <m:t xml:space="preserve">W</m:t>
        </m:r>
        <m:r>
          <m:rPr>
            <m:sty m:val="p"/>
          </m:rPr>
          <w:rPr>
            <w:rFonts w:ascii="Cambria Math" w:hAnsi="Cambria Math"/>
            <w:sz w:val="22"/>
          </w:rPr>
          <m:t xml:space="preserve">)</m:t>
        </m:r>
        <m:r>
          <m:rPr>
            <m:sty m:val="p"/>
          </m:rPr>
          <w:rPr>
            <w:rFonts w:ascii="Cambria Math" w:hAnsi="Cambria Math"/>
            <w:sz w:val="22"/>
          </w:rPr>
          <m:t xml:space="preserve">=</m:t>
        </m:r>
        <m:sSub>
          <m:e>
            <m:r>
              <m:rPr>
                <m:sty m:val="p"/>
              </m:rPr>
              <w:rPr>
                <w:rFonts w:ascii="Cambria Math" w:hAnsi="Cambria Math"/>
                <w:sz w:val="22"/>
              </w:rPr>
              <m:t xml:space="preserve">D</m:t>
            </m:r>
          </m:e>
          <m:sub>
            <m:r>
              <m:rPr>
                <m:sty m:val="p"/>
              </m:rPr>
              <w:rPr>
                <w:rFonts w:ascii="Cambria Math" w:hAnsi="Cambria Math"/>
                <w:sz w:val="22"/>
              </w:rPr>
              <m:t xml:space="preserve">1</m:t>
            </m:r>
          </m:sub>
        </m:sSub>
        <m:r>
          <m:rPr>
            <m:sty m:val="p"/>
          </m:rPr>
          <w:rPr>
            <w:rFonts w:ascii="Cambria Math" w:hAnsi="Cambria Math"/>
            <w:sz w:val="22"/>
          </w:rPr>
          <m:t xml:space="preserve">(</m:t>
        </m:r>
        <m:r>
          <m:rPr>
            <m:sty m:val="p"/>
          </m:rPr>
          <w:rPr>
            <w:rFonts w:ascii="Cambria Math" w:hAnsi="Cambria Math"/>
            <w:sz w:val="22"/>
          </w:rPr>
          <m:t xml:space="preserve">E</m:t>
        </m:r>
        <m:r>
          <m:rPr>
            <m:sty m:val="p"/>
          </m:rPr>
          <w:rPr>
            <w:rFonts w:ascii="Cambria Math" w:hAnsi="Cambria Math"/>
            <w:sz w:val="22"/>
          </w:rPr>
          <m:t xml:space="preserve">(</m:t>
        </m:r>
        <m:r>
          <m:rPr>
            <m:sty m:val="p"/>
          </m:rPr>
          <w:rPr>
            <w:rFonts w:ascii="Cambria Math" w:hAnsi="Cambria Math"/>
            <w:sz w:val="22"/>
          </w:rPr>
          <m:t xml:space="preserve">W</m:t>
        </m:r>
        <m:r>
          <m:rPr>
            <m:sty m:val="p"/>
          </m:rPr>
          <w:rPr>
            <w:rFonts w:ascii="Cambria Math" w:hAnsi="Cambria Math"/>
            <w:sz w:val="22"/>
          </w:rPr>
          <m:t xml:space="preserve">)</m:t>
        </m:r>
        <m:r>
          <m:rPr>
            <m:sty m:val="p"/>
          </m:rPr>
          <w:rPr>
            <w:rFonts w:ascii="Cambria Math" w:hAnsi="Cambria Math"/>
            <w:sz w:val="22"/>
          </w:rPr>
          <m:t xml:space="preserve">)</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A</m:t>
        </m:r>
        <m:sSub>
          <m:e>
            <m:r>
              <m:rPr>
                <m:sty m:val="p"/>
              </m:rPr>
              <w:rPr>
                <w:rFonts w:ascii="Cambria Math" w:hAnsi="Cambria Math"/>
                <w:sz w:val="22"/>
              </w:rPr>
              <m:t xml:space="preserve">E</m:t>
            </m:r>
          </m:e>
          <m:sub>
            <m:r>
              <m:rPr>
                <m:sty m:val="p"/>
              </m:rPr>
              <w:rPr>
                <w:rFonts w:ascii="Cambria Math" w:hAnsi="Cambria Math"/>
                <w:sz w:val="22"/>
              </w:rPr>
              <m:t xml:space="preserve">2</m:t>
            </m:r>
          </m:sub>
        </m:sSub>
        <m:r>
          <m:rPr>
            <m:sty m:val="p"/>
          </m:rPr>
          <w:rPr>
            <w:rFonts w:ascii="Cambria Math" w:hAnsi="Cambria Math"/>
            <w:sz w:val="22"/>
          </w:rPr>
          <m:t xml:space="preserve">(</m:t>
        </m:r>
        <m:r>
          <m:rPr>
            <m:sty m:val="p"/>
          </m:rPr>
          <w:rPr>
            <w:rFonts w:ascii="Cambria Math" w:hAnsi="Cambria Math"/>
            <w:sz w:val="22"/>
          </w:rPr>
          <m:t xml:space="preserve">W</m:t>
        </m:r>
        <m:r>
          <m:rPr>
            <m:sty m:val="p"/>
          </m:rPr>
          <w:rPr>
            <w:rFonts w:ascii="Cambria Math" w:hAnsi="Cambria Math"/>
            <w:sz w:val="22"/>
          </w:rPr>
          <m:t xml:space="preserve">)</m:t>
        </m:r>
        <m:r>
          <m:rPr>
            <m:sty m:val="p"/>
          </m:rPr>
          <w:rPr>
            <w:rFonts w:ascii="Cambria Math" w:hAnsi="Cambria Math"/>
            <w:sz w:val="22"/>
          </w:rPr>
          <m:t xml:space="preserve">=</m:t>
        </m:r>
        <m:sSub>
          <m:e>
            <m:r>
              <m:rPr>
                <m:sty m:val="p"/>
              </m:rPr>
              <w:rPr>
                <w:rFonts w:ascii="Cambria Math" w:hAnsi="Cambria Math"/>
                <w:sz w:val="22"/>
              </w:rPr>
              <m:t xml:space="preserve">D</m:t>
            </m:r>
          </m:e>
          <m:sub>
            <m:r>
              <m:rPr>
                <m:sty m:val="p"/>
              </m:rPr>
              <w:rPr>
                <w:rFonts w:ascii="Cambria Math" w:hAnsi="Cambria Math"/>
                <w:sz w:val="22"/>
              </w:rPr>
              <m:t xml:space="preserve">2</m:t>
            </m:r>
          </m:sub>
        </m:sSub>
        <m:r>
          <m:rPr>
            <m:sty m:val="p"/>
          </m:rPr>
          <w:rPr>
            <w:rFonts w:ascii="Cambria Math" w:hAnsi="Cambria Math"/>
            <w:sz w:val="22"/>
          </w:rPr>
          <m:t xml:space="preserve">(</m:t>
        </m:r>
        <m:r>
          <m:rPr>
            <m:sty m:val="p"/>
          </m:rPr>
          <w:rPr>
            <w:rFonts w:ascii="Cambria Math" w:hAnsi="Cambria Math"/>
            <w:sz w:val="22"/>
          </w:rPr>
          <m:t xml:space="preserve">E</m:t>
        </m:r>
        <m:r>
          <m:rPr>
            <m:sty m:val="p"/>
          </m:rPr>
          <w:rPr>
            <w:rFonts w:ascii="Cambria Math" w:hAnsi="Cambria Math"/>
            <w:sz w:val="22"/>
          </w:rPr>
          <m:t xml:space="preserve">(</m:t>
        </m:r>
        <m:r>
          <m:rPr>
            <m:sty m:val="p"/>
          </m:rPr>
          <w:rPr>
            <w:rFonts w:ascii="Cambria Math" w:hAnsi="Cambria Math"/>
            <w:sz w:val="22"/>
          </w:rPr>
          <m:t xml:space="preserve">W</m:t>
        </m:r>
        <m:r>
          <m:rPr>
            <m:sty m:val="p"/>
          </m:rPr>
          <w:rPr>
            <w:rFonts w:ascii="Cambria Math" w:hAnsi="Cambria Math"/>
            <w:sz w:val="22"/>
          </w:rPr>
          <m:t xml:space="preserve">)</m:t>
        </m:r>
        <m:r>
          <m:rPr>
            <m:sty m:val="p"/>
          </m:rPr>
          <w:rPr>
            <w:rFonts w:ascii="Cambria Math" w:hAnsi="Cambria Math"/>
            <w:sz w:val="22"/>
          </w:rPr>
          <m:t xml:space="preserve">)</m:t>
        </m:r>
        <m:r>
          <m:rPr>
            <m:sty m:val="p"/>
          </m:rPr>
          <w:rPr>
            <w:rFonts w:ascii="Cambria Math" w:hAnsi="Cambria Math"/>
            <w:sz w:val="22"/>
          </w:rPr>
          <m:t xml:space="preserve">.</m:t>
        </m:r>
      </m:oMath>
    </w:p>
    <w:p>
      <w:pPr>
        <w:widowControl/>
        <w:spacing w:before="0" w:after="140" w:line="269" w:lineRule="auto"/>
      </w:pPr>
      <w:r>
        <w:rPr>
          <w:rFonts w:ascii="Georgia" w:hAnsi="Georgia" w:eastAsia="Yu Mincho"/>
          <w:b w:val="0"/>
          <w:sz w:val="24"/>
          <w:lang w:eastAsia="ja-JP"/>
        </w:rPr>
        <w:t>E は共有エンコーダ，D1 と D2 は二つのデコーダである。直接再構成と直列再構成の誤差を次のように定義する。</w:t>
      </w:r>
    </w:p>
    <w:p>
      <w:pPr>
        <w:widowControl/>
        <w:spacing w:before="60" w:after="160" w:line="269" w:lineRule="auto"/>
        <w:jc w:val="center"/>
      </w:pPr>
      <m:oMath>
        <m:sSub>
          <m:e>
            <m:r>
              <m:rPr>
                <m:sty m:val="p"/>
              </m:rPr>
              <w:rPr>
                <w:rFonts w:ascii="Cambria Math" w:hAnsi="Cambria Math"/>
                <w:sz w:val="22"/>
              </w:rPr>
              <m:t xml:space="preserve">e</m:t>
            </m:r>
          </m:e>
          <m:sub>
            <m:r>
              <m:rPr>
                <m:sty m:val="p"/>
              </m:rPr>
              <w:rPr>
                <w:rFonts w:ascii="Cambria Math" w:hAnsi="Cambria Math"/>
                <w:sz w:val="22"/>
              </w:rPr>
              <m:t xml:space="preserve">1</m:t>
            </m:r>
          </m:sub>
        </m:sSub>
        <m:r>
          <m:rPr>
            <m:sty m:val="p"/>
          </m:rPr>
          <w:rPr>
            <w:rFonts w:ascii="Cambria Math" w:hAnsi="Cambria Math"/>
            <w:sz w:val="22"/>
          </w:rPr>
          <m:t xml:space="preserve">=</m:t>
        </m:r>
        <m:r>
          <m:rPr>
            <m:sty m:val="p"/>
          </m:rPr>
          <w:rPr>
            <w:rFonts w:ascii="Cambria Math" w:hAnsi="Cambria Math"/>
            <w:sz w:val="22"/>
          </w:rPr>
          <m:t xml:space="preserve">‖</m:t>
        </m:r>
        <m:r>
          <m:rPr>
            <m:sty m:val="p"/>
          </m:rPr>
          <w:rPr>
            <w:rFonts w:ascii="Cambria Math" w:hAnsi="Cambria Math"/>
            <w:sz w:val="22"/>
          </w:rPr>
          <m:t xml:space="preserve">W</m:t>
        </m:r>
        <m:r>
          <m:rPr>
            <m:sty m:val="p"/>
          </m:rPr>
          <w:rPr>
            <w:rFonts w:ascii="Cambria Math" w:hAnsi="Cambria Math"/>
            <w:sz w:val="22"/>
          </w:rPr>
          <m:t xml:space="preserve">−</m:t>
        </m:r>
        <m:r>
          <m:rPr>
            <m:sty m:val="p"/>
          </m:rPr>
          <w:rPr>
            <w:rFonts w:ascii="Cambria Math" w:hAnsi="Cambria Math"/>
            <w:sz w:val="22"/>
          </w:rPr>
          <m:t xml:space="preserve">A</m:t>
        </m:r>
        <m:sSub>
          <m:e>
            <m:r>
              <m:rPr>
                <m:sty m:val="p"/>
              </m:rPr>
              <w:rPr>
                <w:rFonts w:ascii="Cambria Math" w:hAnsi="Cambria Math"/>
                <w:sz w:val="22"/>
              </w:rPr>
              <m:t xml:space="preserve">E</m:t>
            </m:r>
          </m:e>
          <m:sub>
            <m:r>
              <m:rPr>
                <m:sty m:val="p"/>
              </m:rPr>
              <w:rPr>
                <w:rFonts w:ascii="Cambria Math" w:hAnsi="Cambria Math"/>
                <w:sz w:val="22"/>
              </w:rPr>
              <m:t xml:space="preserve">1</m:t>
            </m:r>
          </m:sub>
        </m:sSub>
        <m:r>
          <m:rPr>
            <m:sty m:val="p"/>
          </m:rPr>
          <w:rPr>
            <w:rFonts w:ascii="Cambria Math" w:hAnsi="Cambria Math"/>
            <w:sz w:val="22"/>
          </w:rPr>
          <m:t xml:space="preserve">(</m:t>
        </m:r>
        <m:r>
          <m:rPr>
            <m:sty m:val="p"/>
          </m:rPr>
          <w:rPr>
            <w:rFonts w:ascii="Cambria Math" w:hAnsi="Cambria Math"/>
            <w:sz w:val="22"/>
          </w:rPr>
          <m:t xml:space="preserve">W</m:t>
        </m:r>
        <m:r>
          <m:rPr>
            <m:sty m:val="p"/>
          </m:rPr>
          <w:rPr>
            <w:rFonts w:ascii="Cambria Math" w:hAnsi="Cambria Math"/>
            <w:sz w:val="22"/>
          </w:rPr>
          <m:t xml:space="preserve">)</m:t>
        </m:r>
        <m:sSub>
          <m:e>
            <m:r>
              <m:rPr>
                <m:sty m:val="p"/>
              </m:rPr>
              <w:rPr>
                <w:rFonts w:ascii="Cambria Math" w:hAnsi="Cambria Math"/>
                <w:sz w:val="22"/>
              </w:rPr>
              <m:t xml:space="preserve">‖</m:t>
            </m:r>
          </m:e>
          <m:sub>
            <m:r>
              <m:rPr>
                <m:sty m:val="p"/>
              </m:rPr>
              <w:rPr>
                <w:rFonts w:ascii="Cambria Math" w:hAnsi="Cambria Math"/>
                <w:sz w:val="22"/>
              </w:rPr>
              <m:t xml:space="preserve">2</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e</m:t>
            </m:r>
          </m:e>
          <m:sub>
            <m:r>
              <m:rPr>
                <m:sty m:val="p"/>
              </m:rPr>
              <w:rPr>
                <w:rFonts w:ascii="Cambria Math" w:hAnsi="Cambria Math"/>
                <w:sz w:val="22"/>
              </w:rPr>
              <m:t xml:space="preserve">2</m:t>
            </m:r>
          </m:sub>
        </m:sSub>
        <m:r>
          <m:rPr>
            <m:sty m:val="p"/>
          </m:rPr>
          <w:rPr>
            <w:rFonts w:ascii="Cambria Math" w:hAnsi="Cambria Math"/>
            <w:sz w:val="22"/>
          </w:rPr>
          <m:t xml:space="preserve">=</m:t>
        </m:r>
        <m:r>
          <m:rPr>
            <m:sty m:val="p"/>
          </m:rPr>
          <w:rPr>
            <w:rFonts w:ascii="Cambria Math" w:hAnsi="Cambria Math"/>
            <w:sz w:val="22"/>
          </w:rPr>
          <m:t xml:space="preserve">‖</m:t>
        </m:r>
        <m:r>
          <m:rPr>
            <m:sty m:val="p"/>
          </m:rPr>
          <w:rPr>
            <w:rFonts w:ascii="Cambria Math" w:hAnsi="Cambria Math"/>
            <w:sz w:val="22"/>
          </w:rPr>
          <m:t xml:space="preserve">W</m:t>
        </m:r>
        <m:r>
          <m:rPr>
            <m:sty m:val="p"/>
          </m:rPr>
          <w:rPr>
            <w:rFonts w:ascii="Cambria Math" w:hAnsi="Cambria Math"/>
            <w:sz w:val="22"/>
          </w:rPr>
          <m:t xml:space="preserve">−</m:t>
        </m:r>
        <m:r>
          <m:rPr>
            <m:sty m:val="p"/>
          </m:rPr>
          <w:rPr>
            <w:rFonts w:ascii="Cambria Math" w:hAnsi="Cambria Math"/>
            <w:sz w:val="22"/>
          </w:rPr>
          <m:t xml:space="preserve">A</m:t>
        </m:r>
        <m:sSub>
          <m:e>
            <m:r>
              <m:rPr>
                <m:sty m:val="p"/>
              </m:rPr>
              <w:rPr>
                <w:rFonts w:ascii="Cambria Math" w:hAnsi="Cambria Math"/>
                <w:sz w:val="22"/>
              </w:rPr>
              <m:t xml:space="preserve">E</m:t>
            </m:r>
          </m:e>
          <m:sub>
            <m:r>
              <m:rPr>
                <m:sty m:val="p"/>
              </m:rPr>
              <w:rPr>
                <w:rFonts w:ascii="Cambria Math" w:hAnsi="Cambria Math"/>
                <w:sz w:val="22"/>
              </w:rPr>
              <m:t xml:space="preserve">2</m:t>
            </m:r>
          </m:sub>
        </m:sSub>
        <m:r>
          <m:rPr>
            <m:sty m:val="p"/>
          </m:rPr>
          <w:rPr>
            <w:rFonts w:ascii="Cambria Math" w:hAnsi="Cambria Math"/>
            <w:sz w:val="22"/>
          </w:rPr>
          <m:t xml:space="preserve">(</m:t>
        </m:r>
        <m:r>
          <m:rPr>
            <m:sty m:val="p"/>
          </m:rPr>
          <w:rPr>
            <w:rFonts w:ascii="Cambria Math" w:hAnsi="Cambria Math"/>
            <w:sz w:val="22"/>
          </w:rPr>
          <m:t xml:space="preserve">W</m:t>
        </m:r>
        <m:r>
          <m:rPr>
            <m:sty m:val="p"/>
          </m:rPr>
          <w:rPr>
            <w:rFonts w:ascii="Cambria Math" w:hAnsi="Cambria Math"/>
            <w:sz w:val="22"/>
          </w:rPr>
          <m:t xml:space="preserve">)</m:t>
        </m:r>
        <m:sSub>
          <m:e>
            <m:r>
              <m:rPr>
                <m:sty m:val="p"/>
              </m:rPr>
              <w:rPr>
                <w:rFonts w:ascii="Cambria Math" w:hAnsi="Cambria Math"/>
                <w:sz w:val="22"/>
              </w:rPr>
              <m:t xml:space="preserve">‖</m:t>
            </m:r>
          </m:e>
          <m:sub>
            <m:r>
              <m:rPr>
                <m:sty m:val="p"/>
              </m:rPr>
              <w:rPr>
                <w:rFonts w:ascii="Cambria Math" w:hAnsi="Cambria Math"/>
                <w:sz w:val="22"/>
              </w:rPr>
              <m:t xml:space="preserve">2</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e</m:t>
            </m:r>
          </m:e>
          <m:sub>
            <m:r>
              <m:rPr>
                <m:sty m:val="p"/>
              </m:rPr>
              <w:rPr>
                <w:rFonts w:ascii="Cambria Math" w:hAnsi="Cambria Math"/>
                <w:sz w:val="22"/>
              </w:rPr>
              <m:t xml:space="preserve">1</m:t>
            </m:r>
            <m:r>
              <m:rPr>
                <m:sty m:val="p"/>
              </m:rPr>
              <w:rPr>
                <w:rFonts w:ascii="Cambria Math" w:hAnsi="Cambria Math"/>
                <w:sz w:val="22"/>
              </w:rPr>
              <m:t xml:space="preserve">2</m:t>
            </m:r>
          </m:sub>
        </m:sSub>
        <m:r>
          <m:rPr>
            <m:sty m:val="p"/>
          </m:rPr>
          <w:rPr>
            <w:rFonts w:ascii="Cambria Math" w:hAnsi="Cambria Math"/>
            <w:sz w:val="22"/>
          </w:rPr>
          <m:t xml:space="preserve">=</m:t>
        </m:r>
        <m:r>
          <m:rPr>
            <m:sty m:val="p"/>
          </m:rPr>
          <w:rPr>
            <w:rFonts w:ascii="Cambria Math" w:hAnsi="Cambria Math"/>
            <w:sz w:val="22"/>
          </w:rPr>
          <m:t xml:space="preserve">‖</m:t>
        </m:r>
        <m:r>
          <m:rPr>
            <m:sty m:val="p"/>
          </m:rPr>
          <w:rPr>
            <w:rFonts w:ascii="Cambria Math" w:hAnsi="Cambria Math"/>
            <w:sz w:val="22"/>
          </w:rPr>
          <m:t xml:space="preserve">W</m:t>
        </m:r>
        <m:r>
          <m:rPr>
            <m:sty m:val="p"/>
          </m:rPr>
          <w:rPr>
            <w:rFonts w:ascii="Cambria Math" w:hAnsi="Cambria Math"/>
            <w:sz w:val="22"/>
          </w:rPr>
          <m:t xml:space="preserve">−</m:t>
        </m:r>
        <m:r>
          <m:rPr>
            <m:sty m:val="p"/>
          </m:rPr>
          <w:rPr>
            <w:rFonts w:ascii="Cambria Math" w:hAnsi="Cambria Math"/>
            <w:sz w:val="22"/>
          </w:rPr>
          <m:t xml:space="preserve">A</m:t>
        </m:r>
        <m:sSub>
          <m:e>
            <m:r>
              <m:rPr>
                <m:sty m:val="p"/>
              </m:rPr>
              <w:rPr>
                <w:rFonts w:ascii="Cambria Math" w:hAnsi="Cambria Math"/>
                <w:sz w:val="22"/>
              </w:rPr>
              <m:t xml:space="preserve">E</m:t>
            </m:r>
          </m:e>
          <m:sub>
            <m:r>
              <m:rPr>
                <m:sty m:val="p"/>
              </m:rPr>
              <w:rPr>
                <w:rFonts w:ascii="Cambria Math" w:hAnsi="Cambria Math"/>
                <w:sz w:val="22"/>
              </w:rPr>
              <m:t xml:space="preserve">2</m:t>
            </m:r>
          </m:sub>
        </m:sSub>
        <m:r>
          <m:rPr>
            <m:sty m:val="p"/>
          </m:rPr>
          <w:rPr>
            <w:rFonts w:ascii="Cambria Math" w:hAnsi="Cambria Math"/>
            <w:sz w:val="22"/>
          </w:rPr>
          <m:t xml:space="preserve">(</m:t>
        </m:r>
        <m:r>
          <m:rPr>
            <m:sty m:val="p"/>
          </m:rPr>
          <w:rPr>
            <w:rFonts w:ascii="Cambria Math" w:hAnsi="Cambria Math"/>
            <w:sz w:val="22"/>
          </w:rPr>
          <m:t xml:space="preserve">A</m:t>
        </m:r>
        <m:sSub>
          <m:e>
            <m:r>
              <m:rPr>
                <m:sty m:val="p"/>
              </m:rPr>
              <w:rPr>
                <w:rFonts w:ascii="Cambria Math" w:hAnsi="Cambria Math"/>
                <w:sz w:val="22"/>
              </w:rPr>
              <m:t xml:space="preserve">E</m:t>
            </m:r>
          </m:e>
          <m:sub>
            <m:r>
              <m:rPr>
                <m:sty m:val="p"/>
              </m:rPr>
              <w:rPr>
                <w:rFonts w:ascii="Cambria Math" w:hAnsi="Cambria Math"/>
                <w:sz w:val="22"/>
              </w:rPr>
              <m:t xml:space="preserve">1</m:t>
            </m:r>
          </m:sub>
        </m:sSub>
        <m:r>
          <m:rPr>
            <m:sty m:val="p"/>
          </m:rPr>
          <w:rPr>
            <w:rFonts w:ascii="Cambria Math" w:hAnsi="Cambria Math"/>
            <w:sz w:val="22"/>
          </w:rPr>
          <m:t xml:space="preserve">(</m:t>
        </m:r>
        <m:r>
          <m:rPr>
            <m:sty m:val="p"/>
          </m:rPr>
          <w:rPr>
            <w:rFonts w:ascii="Cambria Math" w:hAnsi="Cambria Math"/>
            <w:sz w:val="22"/>
          </w:rPr>
          <m:t xml:space="preserve">W</m:t>
        </m:r>
        <m:r>
          <m:rPr>
            <m:sty m:val="p"/>
          </m:rPr>
          <w:rPr>
            <w:rFonts w:ascii="Cambria Math" w:hAnsi="Cambria Math"/>
            <w:sz w:val="22"/>
          </w:rPr>
          <m:t xml:space="preserve">)</m:t>
        </m:r>
        <m:r>
          <m:rPr>
            <m:sty m:val="p"/>
          </m:rPr>
          <w:rPr>
            <w:rFonts w:ascii="Cambria Math" w:hAnsi="Cambria Math"/>
            <w:sz w:val="22"/>
          </w:rPr>
          <m:t xml:space="preserve">)</m:t>
        </m:r>
        <m:sSub>
          <m:e>
            <m:r>
              <m:rPr>
                <m:sty m:val="p"/>
              </m:rPr>
              <w:rPr>
                <w:rFonts w:ascii="Cambria Math" w:hAnsi="Cambria Math"/>
                <w:sz w:val="22"/>
              </w:rPr>
              <m:t xml:space="preserve">‖</m:t>
            </m:r>
          </m:e>
          <m:sub>
            <m:r>
              <m:rPr>
                <m:sty m:val="p"/>
              </m:rPr>
              <w:rPr>
                <w:rFonts w:ascii="Cambria Math" w:hAnsi="Cambria Math"/>
                <w:sz w:val="22"/>
              </w:rPr>
              <m:t xml:space="preserve">2</m:t>
            </m:r>
          </m:sub>
        </m:sSub>
        <m:r>
          <m:rPr>
            <m:sty m:val="p"/>
          </m:rPr>
          <w:rPr>
            <w:rFonts w:ascii="Cambria Math" w:hAnsi="Cambria Math"/>
            <w:sz w:val="22"/>
          </w:rPr>
          <m:t xml:space="preserve">.</m:t>
        </m:r>
      </m:oMath>
    </w:p>
    <w:p>
      <w:pPr>
        <w:widowControl/>
        <w:spacing w:before="0" w:after="140" w:line="269" w:lineRule="auto"/>
      </w:pPr>
      <w:r>
        <w:rPr>
          <w:rFonts w:ascii="Georgia" w:hAnsi="Georgia" w:eastAsia="Yu Mincho"/>
          <w:b w:val="0"/>
          <w:sz w:val="24"/>
          <w:lang w:eastAsia="ja-JP"/>
        </w:rPr>
        <w:t>直列誤差も元の W との差であり，二つの AE 出力同士の差ではない。原文の学習目的は次のとおりである。</w:t>
      </w:r>
    </w:p>
    <w:p>
      <w:pPr>
        <w:widowControl/>
        <w:spacing w:before="60" w:after="160" w:line="269" w:lineRule="auto"/>
        <w:jc w:val="center"/>
      </w:pPr>
      <m:oMath>
        <m:sSub>
          <m:e>
            <m:r>
              <m:rPr>
                <m:sty m:val="p"/>
              </m:rPr>
              <w:rPr>
                <w:rFonts w:ascii="Cambria Math" w:hAnsi="Cambria Math"/>
                <w:sz w:val="22"/>
              </w:rPr>
              <m:t xml:space="preserve">L</m:t>
            </m:r>
          </m:e>
          <m:sub>
            <m:r>
              <m:rPr>
                <m:sty m:val="p"/>
              </m:rPr>
              <w:rPr>
                <w:rFonts w:ascii="Cambria Math" w:hAnsi="Cambria Math"/>
                <w:sz w:val="22"/>
              </w:rPr>
              <m:t xml:space="preserve">1</m:t>
            </m:r>
          </m:sub>
        </m:sSub>
        <m:r>
          <m:rPr>
            <m:sty m:val="p"/>
          </m:rPr>
          <w:rPr>
            <w:rFonts w:ascii="Cambria Math" w:hAnsi="Cambria Math"/>
            <w:sz w:val="22"/>
          </w:rPr>
          <m:t xml:space="preserve">=</m:t>
        </m:r>
        <m:f>
          <m:num>
            <m:r>
              <m:rPr>
                <m:sty m:val="p"/>
              </m:rPr>
              <w:rPr>
                <w:rFonts w:ascii="Cambria Math" w:hAnsi="Cambria Math"/>
                <w:sz w:val="22"/>
              </w:rPr>
              <m:t xml:space="preserve">1</m:t>
            </m:r>
          </m:num>
          <m:den>
            <m:r>
              <m:rPr>
                <m:sty m:val="p"/>
              </m:rPr>
              <w:rPr>
                <w:rFonts w:ascii="Cambria Math" w:hAnsi="Cambria Math"/>
                <w:sz w:val="22"/>
              </w:rPr>
              <m:t xml:space="preserve">n</m:t>
            </m:r>
          </m:den>
        </m:f>
        <m:sSub>
          <m:e>
            <m:r>
              <m:rPr>
                <m:sty m:val="p"/>
              </m:rPr>
              <w:rPr>
                <w:rFonts w:ascii="Cambria Math" w:hAnsi="Cambria Math"/>
                <w:sz w:val="22"/>
              </w:rPr>
              <m:t xml:space="preserve">e</m:t>
            </m:r>
          </m:e>
          <m:sub>
            <m:r>
              <m:rPr>
                <m:sty m:val="p"/>
              </m:rPr>
              <w:rPr>
                <w:rFonts w:ascii="Cambria Math" w:hAnsi="Cambria Math"/>
                <w:sz w:val="22"/>
              </w:rPr>
              <m:t xml:space="preserve">1</m:t>
            </m:r>
          </m:sub>
        </m:sSub>
        <m:r>
          <m:rPr>
            <m:sty m:val="p"/>
          </m:rPr>
          <w:rPr>
            <w:rFonts w:ascii="Cambria Math" w:hAnsi="Cambria Math"/>
            <w:sz w:val="22"/>
          </w:rPr>
          <m:t xml:space="preserve">+</m:t>
        </m:r>
        <m:r>
          <m:rPr>
            <m:sty m:val="p"/>
          </m:rPr>
          <w:rPr>
            <w:rFonts w:ascii="Cambria Math" w:hAnsi="Cambria Math"/>
            <w:sz w:val="22"/>
          </w:rPr>
          <m:t xml:space="preserve">(</m:t>
        </m:r>
        <m:r>
          <m:rPr>
            <m:sty m:val="p"/>
          </m:rPr>
          <w:rPr>
            <w:rFonts w:ascii="Cambria Math" w:hAnsi="Cambria Math"/>
            <w:sz w:val="22"/>
          </w:rPr>
          <m:t xml:space="preserve">1</m:t>
        </m:r>
        <m:r>
          <m:rPr>
            <m:sty m:val="p"/>
          </m:rPr>
          <w:rPr>
            <w:rFonts w:ascii="Cambria Math" w:hAnsi="Cambria Math"/>
            <w:sz w:val="22"/>
          </w:rPr>
          <m:t xml:space="preserve">−</m:t>
        </m:r>
        <m:f>
          <m:num>
            <m:r>
              <m:rPr>
                <m:sty m:val="p"/>
              </m:rPr>
              <w:rPr>
                <w:rFonts w:ascii="Cambria Math" w:hAnsi="Cambria Math"/>
                <w:sz w:val="22"/>
              </w:rPr>
              <m:t xml:space="preserve">1</m:t>
            </m:r>
          </m:num>
          <m:den>
            <m:r>
              <m:rPr>
                <m:sty m:val="p"/>
              </m:rPr>
              <w:rPr>
                <w:rFonts w:ascii="Cambria Math" w:hAnsi="Cambria Math"/>
                <w:sz w:val="22"/>
              </w:rPr>
              <m:t xml:space="preserve">n</m:t>
            </m:r>
          </m:den>
        </m:f>
        <m:r>
          <m:rPr>
            <m:sty m:val="p"/>
          </m:rPr>
          <w:rPr>
            <w:rFonts w:ascii="Cambria Math" w:hAnsi="Cambria Math"/>
            <w:sz w:val="22"/>
          </w:rPr>
          <m:t xml:space="preserve">)</m:t>
        </m:r>
        <m:sSub>
          <m:e>
            <m:r>
              <m:rPr>
                <m:sty m:val="p"/>
              </m:rPr>
              <w:rPr>
                <w:rFonts w:ascii="Cambria Math" w:hAnsi="Cambria Math"/>
                <w:sz w:val="22"/>
              </w:rPr>
              <m:t xml:space="preserve">e</m:t>
            </m:r>
          </m:e>
          <m:sub>
            <m:r>
              <m:rPr>
                <m:sty m:val="p"/>
              </m:rPr>
              <w:rPr>
                <w:rFonts w:ascii="Cambria Math" w:hAnsi="Cambria Math"/>
                <w:sz w:val="22"/>
              </w:rPr>
              <m:t xml:space="preserve">1</m:t>
            </m:r>
            <m:r>
              <m:rPr>
                <m:sty m:val="p"/>
              </m:rPr>
              <w:rPr>
                <w:rFonts w:ascii="Cambria Math" w:hAnsi="Cambria Math"/>
                <w:sz w:val="22"/>
              </w:rPr>
              <m:t xml:space="preserve">2</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L</m:t>
            </m:r>
          </m:e>
          <m:sub>
            <m:r>
              <m:rPr>
                <m:sty m:val="p"/>
              </m:rPr>
              <w:rPr>
                <w:rFonts w:ascii="Cambria Math" w:hAnsi="Cambria Math"/>
                <w:sz w:val="22"/>
              </w:rPr>
              <m:t xml:space="preserve">2</m:t>
            </m:r>
          </m:sub>
        </m:sSub>
        <m:r>
          <m:rPr>
            <m:sty m:val="p"/>
          </m:rPr>
          <w:rPr>
            <w:rFonts w:ascii="Cambria Math" w:hAnsi="Cambria Math"/>
            <w:sz w:val="22"/>
          </w:rPr>
          <m:t xml:space="preserve">=</m:t>
        </m:r>
        <m:f>
          <m:num>
            <m:r>
              <m:rPr>
                <m:sty m:val="p"/>
              </m:rPr>
              <w:rPr>
                <w:rFonts w:ascii="Cambria Math" w:hAnsi="Cambria Math"/>
                <w:sz w:val="22"/>
              </w:rPr>
              <m:t xml:space="preserve">1</m:t>
            </m:r>
          </m:num>
          <m:den>
            <m:r>
              <m:rPr>
                <m:sty m:val="p"/>
              </m:rPr>
              <w:rPr>
                <w:rFonts w:ascii="Cambria Math" w:hAnsi="Cambria Math"/>
                <w:sz w:val="22"/>
              </w:rPr>
              <m:t xml:space="preserve">n</m:t>
            </m:r>
          </m:den>
        </m:f>
        <m:sSub>
          <m:e>
            <m:r>
              <m:rPr>
                <m:sty m:val="p"/>
              </m:rPr>
              <w:rPr>
                <w:rFonts w:ascii="Cambria Math" w:hAnsi="Cambria Math"/>
                <w:sz w:val="22"/>
              </w:rPr>
              <m:t xml:space="preserve">e</m:t>
            </m:r>
          </m:e>
          <m:sub>
            <m:r>
              <m:rPr>
                <m:sty m:val="p"/>
              </m:rPr>
              <w:rPr>
                <w:rFonts w:ascii="Cambria Math" w:hAnsi="Cambria Math"/>
                <w:sz w:val="22"/>
              </w:rPr>
              <m:t xml:space="preserve">2</m:t>
            </m:r>
          </m:sub>
        </m:sSub>
        <m:r>
          <m:rPr>
            <m:sty m:val="p"/>
          </m:rPr>
          <w:rPr>
            <w:rFonts w:ascii="Cambria Math" w:hAnsi="Cambria Math"/>
            <w:sz w:val="22"/>
          </w:rPr>
          <m:t xml:space="preserve">−</m:t>
        </m:r>
        <m:r>
          <m:rPr>
            <m:sty m:val="p"/>
          </m:rPr>
          <w:rPr>
            <w:rFonts w:ascii="Cambria Math" w:hAnsi="Cambria Math"/>
            <w:sz w:val="22"/>
          </w:rPr>
          <m:t xml:space="preserve">(</m:t>
        </m:r>
        <m:r>
          <m:rPr>
            <m:sty m:val="p"/>
          </m:rPr>
          <w:rPr>
            <w:rFonts w:ascii="Cambria Math" w:hAnsi="Cambria Math"/>
            <w:sz w:val="22"/>
          </w:rPr>
          <m:t xml:space="preserve">1</m:t>
        </m:r>
        <m:r>
          <m:rPr>
            <m:sty m:val="p"/>
          </m:rPr>
          <w:rPr>
            <w:rFonts w:ascii="Cambria Math" w:hAnsi="Cambria Math"/>
            <w:sz w:val="22"/>
          </w:rPr>
          <m:t xml:space="preserve">−</m:t>
        </m:r>
        <m:f>
          <m:num>
            <m:r>
              <m:rPr>
                <m:sty m:val="p"/>
              </m:rPr>
              <w:rPr>
                <w:rFonts w:ascii="Cambria Math" w:hAnsi="Cambria Math"/>
                <w:sz w:val="22"/>
              </w:rPr>
              <m:t xml:space="preserve">1</m:t>
            </m:r>
          </m:num>
          <m:den>
            <m:r>
              <m:rPr>
                <m:sty m:val="p"/>
              </m:rPr>
              <w:rPr>
                <w:rFonts w:ascii="Cambria Math" w:hAnsi="Cambria Math"/>
                <w:sz w:val="22"/>
              </w:rPr>
              <m:t xml:space="preserve">n</m:t>
            </m:r>
          </m:den>
        </m:f>
        <m:r>
          <m:rPr>
            <m:sty m:val="p"/>
          </m:rPr>
          <w:rPr>
            <w:rFonts w:ascii="Cambria Math" w:hAnsi="Cambria Math"/>
            <w:sz w:val="22"/>
          </w:rPr>
          <m:t xml:space="preserve">)</m:t>
        </m:r>
        <m:sSub>
          <m:e>
            <m:r>
              <m:rPr>
                <m:sty m:val="p"/>
              </m:rPr>
              <w:rPr>
                <w:rFonts w:ascii="Cambria Math" w:hAnsi="Cambria Math"/>
                <w:sz w:val="22"/>
              </w:rPr>
              <m:t xml:space="preserve">e</m:t>
            </m:r>
          </m:e>
          <m:sub>
            <m:r>
              <m:rPr>
                <m:sty m:val="p"/>
              </m:rPr>
              <w:rPr>
                <w:rFonts w:ascii="Cambria Math" w:hAnsi="Cambria Math"/>
                <w:sz w:val="22"/>
              </w:rPr>
              <m:t xml:space="preserve">1</m:t>
            </m:r>
            <m:r>
              <m:rPr>
                <m:sty m:val="p"/>
              </m:rPr>
              <w:rPr>
                <w:rFonts w:ascii="Cambria Math" w:hAnsi="Cambria Math"/>
                <w:sz w:val="22"/>
              </w:rPr>
              <m:t xml:space="preserve">2</m:t>
            </m:r>
          </m:sub>
        </m:sSub>
        <m:r>
          <m:rPr>
            <m:sty m:val="p"/>
          </m:rPr>
          <w:rPr>
            <w:rFonts w:ascii="Cambria Math" w:hAnsi="Cambria Math"/>
            <w:sz w:val="22"/>
          </w:rPr>
          <m:t xml:space="preserve">.</m:t>
        </m:r>
      </m:oMath>
    </w:p>
    <w:p>
      <w:pPr>
        <w:widowControl/>
        <w:spacing w:before="0" w:after="140" w:line="269" w:lineRule="auto"/>
      </w:pPr>
      <w:r>
        <w:rPr>
          <w:rFonts w:ascii="Georgia" w:hAnsi="Georgia" w:eastAsia="Yu Mincho"/>
          <w:b w:val="0"/>
          <w:sz w:val="24"/>
          <w:lang w:eastAsia="ja-JP"/>
        </w:rPr>
        <w:t>第1エポックは直接再構成のみであり，以後は敵対項の重みが増加する。AE1 は直列誤差を小さくしようとし，AE2 は直接再構成を学びながら直列誤差を大きくしようとする。「二段階」は，完全に独立した二つの学習期間を必ず順番に実行するという意味ではない。</w:t>
      </w:r>
    </w:p>
    <w:p>
      <w:pPr>
        <w:widowControl/>
        <w:spacing w:before="60" w:after="160" w:line="269" w:lineRule="auto"/>
        <w:jc w:val="center"/>
      </w:pPr>
      <m:oMath>
        <m:r>
          <m:rPr>
            <m:sty m:val="p"/>
          </m:rPr>
          <w:rPr>
            <w:rFonts w:ascii="Cambria Math" w:hAnsi="Cambria Math"/>
            <w:sz w:val="22"/>
          </w:rPr>
          <m:t xml:space="preserve">s</m:t>
        </m:r>
        <m:r>
          <m:rPr>
            <m:sty m:val="p"/>
          </m:rPr>
          <w:rPr>
            <w:rFonts w:ascii="Cambria Math" w:hAnsi="Cambria Math"/>
            <w:sz w:val="22"/>
          </w:rPr>
          <m:t xml:space="preserve">(</m:t>
        </m:r>
        <m:acc>
          <m:accPr>
            <m:chr m:val="̂"/>
          </m:accPr>
          <m:e>
            <m:r>
              <m:rPr>
                <m:sty m:val="p"/>
              </m:rPr>
              <w:rPr>
                <w:rFonts w:ascii="Cambria Math" w:hAnsi="Cambria Math"/>
                <w:sz w:val="22"/>
              </w:rPr>
              <m:t xml:space="preserve">W</m:t>
            </m:r>
          </m:e>
        </m:acc>
        <m:r>
          <m:rPr>
            <m:sty m:val="p"/>
          </m:rPr>
          <w:rPr>
            <w:rFonts w:ascii="Cambria Math" w:hAnsi="Cambria Math"/>
            <w:sz w:val="22"/>
          </w:rPr>
          <m:t xml:space="preserve">)</m:t>
        </m:r>
        <m:r>
          <m:rPr>
            <m:sty m:val="p"/>
          </m:rPr>
          <w:rPr>
            <w:rFonts w:ascii="Cambria Math" w:hAnsi="Cambria Math"/>
            <w:sz w:val="22"/>
          </w:rPr>
          <m:t xml:space="preserve">=</m:t>
        </m:r>
        <m:r>
          <m:rPr>
            <m:sty m:val="p"/>
          </m:rPr>
          <w:rPr>
            <w:rFonts w:ascii="Cambria Math" w:hAnsi="Cambria Math"/>
            <w:sz w:val="22"/>
          </w:rPr>
          <m:t xml:space="preserve">α</m:t>
        </m:r>
        <m:sSub>
          <m:e>
            <m:r>
              <m:rPr>
                <m:sty m:val="p"/>
              </m:rPr>
              <w:rPr>
                <w:rFonts w:ascii="Cambria Math" w:hAnsi="Cambria Math"/>
                <w:sz w:val="22"/>
              </w:rPr>
              <m:t xml:space="preserve">e</m:t>
            </m:r>
          </m:e>
          <m:sub>
            <m:r>
              <m:rPr>
                <m:sty m:val="p"/>
              </m:rPr>
              <w:rPr>
                <w:rFonts w:ascii="Cambria Math" w:hAnsi="Cambria Math"/>
                <w:sz w:val="22"/>
              </w:rPr>
              <m:t xml:space="preserve">1</m:t>
            </m:r>
          </m:sub>
        </m:sSub>
        <m:r>
          <m:rPr>
            <m:sty m:val="p"/>
          </m:rPr>
          <w:rPr>
            <w:rFonts w:ascii="Cambria Math" w:hAnsi="Cambria Math"/>
            <w:sz w:val="22"/>
          </w:rPr>
          <m:t xml:space="preserve">(</m:t>
        </m:r>
        <m:acc>
          <m:accPr>
            <m:chr m:val="̂"/>
          </m:accPr>
          <m:e>
            <m:r>
              <m:rPr>
                <m:sty m:val="p"/>
              </m:rPr>
              <w:rPr>
                <w:rFonts w:ascii="Cambria Math" w:hAnsi="Cambria Math"/>
                <w:sz w:val="22"/>
              </w:rPr>
              <m:t xml:space="preserve">W</m:t>
            </m:r>
          </m:e>
        </m:acc>
        <m:r>
          <m:rPr>
            <m:sty m:val="p"/>
          </m:rPr>
          <w:rPr>
            <w:rFonts w:ascii="Cambria Math" w:hAnsi="Cambria Math"/>
            <w:sz w:val="22"/>
          </w:rPr>
          <m:t xml:space="preserve">)</m:t>
        </m:r>
        <m:r>
          <m:rPr>
            <m:sty m:val="p"/>
          </m:rPr>
          <w:rPr>
            <w:rFonts w:ascii="Cambria Math" w:hAnsi="Cambria Math"/>
            <w:sz w:val="22"/>
          </w:rPr>
          <m:t xml:space="preserve">+</m:t>
        </m:r>
        <m:r>
          <m:rPr>
            <m:sty m:val="p"/>
          </m:rPr>
          <w:rPr>
            <w:rFonts w:ascii="Cambria Math" w:hAnsi="Cambria Math"/>
            <w:sz w:val="22"/>
          </w:rPr>
          <m:t xml:space="preserve">β</m:t>
        </m:r>
        <m:sSub>
          <m:e>
            <m:r>
              <m:rPr>
                <m:sty m:val="p"/>
              </m:rPr>
              <w:rPr>
                <w:rFonts w:ascii="Cambria Math" w:hAnsi="Cambria Math"/>
                <w:sz w:val="22"/>
              </w:rPr>
              <m:t xml:space="preserve">e</m:t>
            </m:r>
          </m:e>
          <m:sub>
            <m:r>
              <m:rPr>
                <m:sty m:val="p"/>
              </m:rPr>
              <w:rPr>
                <w:rFonts w:ascii="Cambria Math" w:hAnsi="Cambria Math"/>
                <w:sz w:val="22"/>
              </w:rPr>
              <m:t xml:space="preserve">1</m:t>
            </m:r>
            <m:r>
              <m:rPr>
                <m:sty m:val="p"/>
              </m:rPr>
              <w:rPr>
                <w:rFonts w:ascii="Cambria Math" w:hAnsi="Cambria Math"/>
                <w:sz w:val="22"/>
              </w:rPr>
              <m:t xml:space="preserve">2</m:t>
            </m:r>
          </m:sub>
        </m:sSub>
        <m:r>
          <m:rPr>
            <m:sty m:val="p"/>
          </m:rPr>
          <w:rPr>
            <w:rFonts w:ascii="Cambria Math" w:hAnsi="Cambria Math"/>
            <w:sz w:val="22"/>
          </w:rPr>
          <m:t xml:space="preserve">(</m:t>
        </m:r>
        <m:acc>
          <m:accPr>
            <m:chr m:val="̂"/>
          </m:accPr>
          <m:e>
            <m:r>
              <m:rPr>
                <m:sty m:val="p"/>
              </m:rPr>
              <w:rPr>
                <w:rFonts w:ascii="Cambria Math" w:hAnsi="Cambria Math"/>
                <w:sz w:val="22"/>
              </w:rPr>
              <m:t xml:space="preserve">W</m:t>
            </m:r>
          </m:e>
        </m:acc>
        <m:r>
          <m:rPr>
            <m:sty m:val="p"/>
          </m:rPr>
          <w:rPr>
            <w:rFonts w:ascii="Cambria Math" w:hAnsi="Cambria Math"/>
            <w:sz w:val="22"/>
          </w:rPr>
          <m:t xml:space="preserve">)</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α</m:t>
        </m:r>
        <m:r>
          <m:rPr>
            <m:sty m:val="p"/>
          </m:rPr>
          <w:rPr>
            <w:rFonts w:ascii="Cambria Math" w:hAnsi="Cambria Math"/>
            <w:sz w:val="22"/>
          </w:rPr>
          <m:t xml:space="preserve">+</m:t>
        </m:r>
        <m:r>
          <m:rPr>
            <m:sty m:val="p"/>
          </m:rPr>
          <w:rPr>
            <w:rFonts w:ascii="Cambria Math" w:hAnsi="Cambria Math"/>
            <w:sz w:val="22"/>
          </w:rPr>
          <m:t xml:space="preserve">β</m:t>
        </m:r>
        <m:r>
          <m:rPr>
            <m:sty m:val="p"/>
          </m:rPr>
          <w:rPr>
            <w:rFonts w:ascii="Cambria Math" w:hAnsi="Cambria Math"/>
            <w:sz w:val="22"/>
          </w:rPr>
          <m:t xml:space="preserve">=</m:t>
        </m:r>
        <m:r>
          <m:rPr>
            <m:sty m:val="p"/>
          </m:rPr>
          <w:rPr>
            <w:rFonts w:ascii="Cambria Math" w:hAnsi="Cambria Math"/>
            <w:sz w:val="22"/>
          </w:rPr>
          <m:t xml:space="preserve">1</m:t>
        </m:r>
        <m:r>
          <m:rPr>
            <m:sty m:val="p"/>
          </m:rPr>
          <w:rPr>
            <w:rFonts w:ascii="Cambria Math" w:hAnsi="Cambria Math"/>
            <w:sz w:val="22"/>
          </w:rPr>
          <m:t xml:space="preserve">,</m:t>
        </m:r>
      </m:oMath>
    </w:p>
    <w:p>
      <w:pPr>
        <w:widowControl/>
        <w:spacing w:before="60" w:after="160" w:line="269" w:lineRule="auto"/>
        <w:jc w:val="center"/>
      </w:pPr>
      <m:oMath>
        <m:sSub>
          <m:e>
            <m:acc>
              <m:accPr>
                <m:chr m:val="̂"/>
              </m:accPr>
              <m:e>
                <m:r>
                  <m:rPr>
                    <m:sty m:val="p"/>
                  </m:rPr>
                  <w:rPr>
                    <w:rFonts w:ascii="Cambria Math" w:hAnsi="Cambria Math"/>
                    <w:sz w:val="22"/>
                  </w:rPr>
                  <m:t xml:space="preserve">y</m:t>
                </m:r>
              </m:e>
            </m:acc>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1</m:t>
        </m:r>
        <m:r>
          <m:rPr>
            <m:sty m:val="p"/>
          </m:rPr>
          <w:rPr>
            <w:rFonts w:ascii="Cambria Math" w:hAnsi="Cambria Math"/>
            <w:sz w:val="22"/>
          </w:rPr>
          <m:t xml:space="preserve">[</m:t>
        </m:r>
        <m:r>
          <m:rPr>
            <m:sty m:val="p"/>
          </m:rPr>
          <w:rPr>
            <w:rFonts w:ascii="Cambria Math" w:hAnsi="Cambria Math"/>
            <w:sz w:val="22"/>
          </w:rPr>
          <m:t xml:space="preserve">s</m:t>
        </m:r>
        <m:r>
          <m:rPr>
            <m:sty m:val="p"/>
          </m:rPr>
          <w:rPr>
            <w:rFonts w:ascii="Cambria Math" w:hAnsi="Cambria Math"/>
            <w:sz w:val="22"/>
          </w:rPr>
          <m:t xml:space="preserve">(</m:t>
        </m:r>
        <m:sSub>
          <m:e>
            <m:acc>
              <m:accPr>
                <m:chr m:val="̂"/>
              </m:accPr>
              <m:e>
                <m:r>
                  <m:rPr>
                    <m:sty m:val="p"/>
                  </m:rPr>
                  <w:rPr>
                    <w:rFonts w:ascii="Cambria Math" w:hAnsi="Cambria Math"/>
                    <w:sz w:val="22"/>
                  </w:rPr>
                  <m:t xml:space="preserve">W</m:t>
                </m:r>
              </m:e>
            </m:acc>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m:t>
        </m:r>
        <m:r>
          <m:rPr>
            <m:sty m:val="p"/>
          </m:rPr>
          <w:rPr>
            <w:rFonts w:ascii="Cambria Math" w:hAnsi="Cambria Math"/>
            <w:sz w:val="22"/>
          </w:rPr>
          <m:t xml:space="preserve">λ</m:t>
        </m:r>
        <m:r>
          <m:rPr>
            <m:sty m:val="p"/>
          </m:rPr>
          <w:rPr>
            <w:rFonts w:ascii="Cambria Math" w:hAnsi="Cambria Math"/>
            <w:sz w:val="22"/>
          </w:rPr>
          <m:t xml:space="preserve">]</m:t>
        </m:r>
        <m:r>
          <m:rPr>
            <m:sty m:val="p"/>
          </m:rPr>
          <w:rPr>
            <w:rFonts w:ascii="Cambria Math" w:hAnsi="Cambria Math"/>
            <w:sz w:val="22"/>
          </w:rPr>
          <m:t xml:space="preserve">.</m:t>
        </m:r>
      </m:oMath>
    </w:p>
    <w:p>
      <w:pPr>
        <w:widowControl/>
        <w:spacing w:before="0" w:after="140" w:line="269" w:lineRule="auto"/>
      </w:pPr>
      <w:r>
        <w:rPr>
          <w:rFonts w:ascii="Georgia" w:hAnsi="Georgia" w:eastAsia="Yu Mincho"/>
          <w:b w:val="0"/>
          <w:sz w:val="24"/>
          <w:lang w:eastAsia="ja-JP"/>
        </w:rPr>
        <w:t>α と β はスコアの重みであり，λ が判定しきい値である。スコアが大きいほど異常と判定されやすい。推論時は学習済みのネットワークを固定する。</w:t>
      </w:r>
    </w:p>
    <w:p>
      <w:pPr>
        <w:widowControl/>
        <w:spacing w:before="0" w:after="140" w:line="269" w:lineRule="auto"/>
      </w:pPr>
      <w:r>
        <w:rPr>
          <w:rFonts w:ascii="Georgia" w:hAnsi="Georgia" w:eastAsia="Yu Mincho"/>
          <w:b w:val="0"/>
          <w:sz w:val="24"/>
          <w:lang w:eastAsia="ja-JP"/>
        </w:rPr>
        <w:t>【外部確認】</w:t>
      </w:r>
      <w:hyperlink r:id="rId11">
        <w:r>
          <w:rPr>
            <w:rFonts w:ascii="Georgia" w:hAnsi="Georgia" w:eastAsia="Yu Mincho"/>
            <w:color w:val="167039"/>
            <w:sz w:val="24"/>
            <w:u w:val="single"/>
            <w:lang w:eastAsia="ja-JP"/>
          </w:rPr>
          <w:t>公開モデルコード</w:t>
        </w:r>
      </w:hyperlink>
      <w:r>
        <w:rPr>
          <w:rFonts w:ascii="Georgia" w:hAnsi="Georgia" w:eastAsia="Yu Mincho"/>
          <w:b w:val="0"/>
          <w:sz w:val="24"/>
          <w:lang w:eastAsia="ja-JP"/>
        </w:rPr>
        <w:t>は，論文記載の L2 ノルムではなく MSE を使用する。分数・平方・平均の扱いによってスコアの尺度が異なるため，しきい値をそのまま流用できない。原文式3，7–9とアルゴリズム2は PDF 3–4ページにある。</w:t>
      </w:r>
    </w:p>
    <w:p>
      <w:bookmarkStart w:id="3" w:name="sec_3"/>
      <w:pPr>
        <w:pStyle w:val="Heading1"/>
        <w:keepNext/>
        <w:spacing w:before="300" w:after="140"/>
        <w:jc w:val="left"/>
      </w:pPr>
      <w:r>
        <w:rPr>
          <w:rFonts w:ascii="Georgia" w:hAnsi="Georgia" w:eastAsia="Yu Mincho"/>
          <w:b w:val="0"/>
          <w:lang w:eastAsia="ja-JP"/>
        </w:rPr>
        <w:t>3 学習外の定義と手法分類</w:t>
      </w:r>
      <w:bookmarkEnd w:id="3"/>
    </w:p>
    <w:p>
      <w:bookmarkStart w:id="4" w:name="sec_4"/>
      <w:pPr>
        <w:pStyle w:val="Heading2"/>
        <w:keepNext/>
        <w:spacing w:before="200" w:after="140"/>
        <w:jc w:val="left"/>
      </w:pPr>
      <w:r>
        <w:rPr>
          <w:rFonts w:ascii="Georgia" w:hAnsi="Georgia" w:eastAsia="Yu Mincho"/>
          <w:b w:val="0"/>
          <w:lang w:eastAsia="ja-JP"/>
        </w:rPr>
        <w:t>3.1 原文における学習外の定義</w:t>
      </w:r>
      <w:bookmarkEnd w:id="4"/>
    </w:p>
    <w:p>
      <w:pPr>
        <w:widowControl/>
        <w:spacing w:before="0" w:after="140" w:line="269" w:lineRule="auto"/>
      </w:pPr>
      <w:r>
        <w:rPr>
          <w:rFonts w:ascii="Georgia" w:hAnsi="Georgia" w:eastAsia="Yu Mincho"/>
          <w:b w:val="0"/>
          <w:sz w:val="24"/>
          <w:lang w:eastAsia="ja-JP"/>
        </w:rPr>
        <w:t>【論文 §3.1】学習集合には正常点のみが含まれると仮定し，新しい観測が学習集合から大きく異なる場合に異常候補とする。異常スコアとしきい値で判定するが，対象 AI に固有の学習外の定義，学習分布の支持集合，密度の下限，カバレッジや予測誤差の上限は与えていない。</w:t>
      </w:r>
    </w:p>
    <w:p>
      <w:pPr>
        <w:widowControl/>
        <w:spacing w:before="0" w:after="140" w:line="269" w:lineRule="auto"/>
      </w:pPr>
      <w:r>
        <w:rPr>
          <w:rFonts w:ascii="Georgia" w:hAnsi="Georgia" w:eastAsia="Yu Mincho"/>
          <w:b w:val="0"/>
          <w:sz w:val="24"/>
          <w:lang w:eastAsia="ja-JP"/>
        </w:rPr>
        <w:t>総合報告では，</w:t>
      </w:r>
      <w:r>
        <w:rPr>
          <w:rFonts w:ascii="Georgia" w:hAnsi="Georgia" w:eastAsia="Yu Mincho"/>
          <w:b/>
          <w:sz w:val="24"/>
          <w:lang w:eastAsia="ja-JP"/>
        </w:rPr>
        <w:t>検出器が正常学習窓から獲得したパターンからの顕著な逸脱を，再構成誤差によって操作的に定義する手法</w:t>
      </w:r>
      <w:r>
        <w:rPr>
          <w:rFonts w:ascii="Georgia" w:hAnsi="Georgia" w:eastAsia="Yu Mincho"/>
          <w:b w:val="0"/>
          <w:sz w:val="24"/>
          <w:lang w:eastAsia="ja-JP"/>
        </w:rPr>
        <w:t>と記録するのが適切である。「学習内／学習外」は本研究からの対応付けであり，元の正解ラベルは「正常／異常」である。</w:t>
      </w:r>
    </w:p>
    <w:tbl>
      <w:tblPr>
        <w:tblStyle w:val="Table1"/>
        <w:tblW w:type="dxa" w:w="9360"/>
        <w:jc w:val="left"/>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805"/>
        <w:gridCol w:w="3092"/>
        <w:gridCol w:w="4461"/>
      </w:tblGrid>
      <w:tr>
        <w:trPr>
          <w:cantSplit/>
          <w:tblHeader/>
        </w:trPr>
        <w:tc>
          <w:tcPr>
            <w:tcW w:type="dxa" w:w="1805"/>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本研究の分類</w:t>
            </w:r>
          </w:p>
        </w:tc>
        <w:tc>
          <w:tcPr>
            <w:tcW w:type="dxa" w:w="3092"/>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本論文との対応</w:t>
            </w:r>
          </w:p>
        </w:tc>
        <w:tc>
          <w:tcPr>
            <w:tcW w:type="dxa" w:w="4461"/>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根拠と限界</w:t>
            </w:r>
          </w:p>
        </w:tc>
      </w:tr>
      <w:tr>
        <w:trPr>
          <w:cantSplit/>
        </w:trPr>
        <w:tc>
          <w:tcPr>
            <w:tcW w:type="dxa" w:w="1805"/>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入力範囲外</w:t>
            </w:r>
          </w:p>
        </w:tc>
        <w:tc>
          <w:tcPr>
            <w:tcW w:type="dxa" w:w="3092"/>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検出する可能性はあるが，明示的な範囲判定ではない</w:t>
            </w:r>
          </w:p>
        </w:tc>
        <w:tc>
          <w:tcPr>
            <w:tcW w:type="dxa" w:w="4461"/>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各変数の学習時最小値・最大値と直接比較しない。正規化と出力範囲が誤差に影響する</w:t>
            </w:r>
          </w:p>
        </w:tc>
      </w:tr>
      <w:tr>
        <w:trPr>
          <w:cantSplit/>
        </w:trPr>
        <w:tc>
          <w:tcPr>
            <w:tcW w:type="dxa" w:w="1805"/>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低密度領域または学習不足領域</w:t>
            </w:r>
          </w:p>
        </w:tc>
        <w:tc>
          <w:tcPr>
            <w:tcW w:type="dxa" w:w="3092"/>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関連する可能性はあるが，直接測定しない</w:t>
            </w:r>
          </w:p>
        </w:tc>
        <w:tc>
          <w:tcPr>
            <w:tcW w:type="dxa" w:w="4461"/>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密度推定，近傍数，対象モデルの知識量を計算しない。疎な正常領域も良好に再構成され得る</w:t>
            </w:r>
          </w:p>
        </w:tc>
      </w:tr>
      <w:tr>
        <w:trPr>
          <w:cantSplit/>
        </w:trPr>
        <w:tc>
          <w:tcPr>
            <w:tcW w:type="dxa" w:w="1805"/>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未知の変数組合せや相関関係</w:t>
            </w:r>
          </w:p>
        </w:tc>
        <w:tc>
          <w:tcPr>
            <w:tcW w:type="dxa" w:w="3092"/>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手法と特に関係が深い潜在的な対象</w:t>
            </w:r>
          </w:p>
        </w:tc>
        <w:tc>
          <w:tcPr>
            <w:tcW w:type="dxa" w:w="4461"/>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多変量窓から関係を学習できるが，関係だけを変えた異常に対する独立した評価はない</w:t>
            </w:r>
          </w:p>
        </w:tc>
      </w:tr>
      <w:tr>
        <w:trPr>
          <w:cantSplit/>
        </w:trPr>
        <w:tc>
          <w:tcPr>
            <w:tcW w:type="dxa" w:w="1805"/>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分布変化</w:t>
            </w:r>
          </w:p>
        </w:tc>
        <w:tc>
          <w:tcPr>
            <w:tcW w:type="dxa" w:w="3092"/>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再構成誤差を増加させる変化には反応し得る</w:t>
            </w:r>
          </w:p>
        </w:tc>
        <w:tc>
          <w:tcPr>
            <w:tcW w:type="dxa" w:w="4461"/>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二標本検定を行わず，正常な新運転条件と故障を区別しない</w:t>
            </w:r>
          </w:p>
        </w:tc>
      </w:tr>
      <w:tr>
        <w:trPr>
          <w:cantSplit/>
        </w:trPr>
        <w:tc>
          <w:tcPr>
            <w:tcW w:type="dxa" w:w="1805"/>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その他</w:t>
            </w:r>
          </w:p>
        </w:tc>
        <w:tc>
          <w:tcPr>
            <w:tcW w:type="dxa" w:w="3092"/>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時間パターンの逸脱や持続的イベント</w:t>
            </w:r>
          </w:p>
        </w:tc>
        <w:tc>
          <w:tcPr>
            <w:tcW w:type="dxa" w:w="4461"/>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有限窓の外にある長周期の依存関係は捉えられない可能性がある</w:t>
            </w:r>
          </w:p>
        </w:tc>
      </w:tr>
    </w:tbl>
    <w:p>
      <w:pPr>
        <w:spacing w:after="60" w:before="0" w:line="60" w:lineRule="exact"/>
      </w:pPr>
    </w:p>
    <w:p>
      <w:pPr>
        <w:widowControl/>
        <w:spacing w:before="0" w:after="140" w:line="269" w:lineRule="auto"/>
      </w:pPr>
      <w:r>
        <w:rPr>
          <w:rFonts w:ascii="Georgia" w:hAnsi="Georgia" w:eastAsia="Yu Mincho"/>
          <w:b w:val="0"/>
          <w:sz w:val="24"/>
          <w:lang w:eastAsia="ja-JP"/>
        </w:rPr>
        <w:t>【分析】入力窓分布 p(W) が同じまま p(Y|X) だけが変化する場合，入力のみを観測する USAD は検出できない可能性がある。例えば管路特性が変わり，同じ入力に対して異なる実圧力が生じる状況である。</w:t>
      </w:r>
    </w:p>
    <w:p>
      <w:bookmarkStart w:id="5" w:name="sec_5"/>
      <w:pPr>
        <w:pStyle w:val="Heading2"/>
        <w:keepNext/>
        <w:spacing w:before="200" w:after="140"/>
        <w:jc w:val="left"/>
      </w:pPr>
      <w:r>
        <w:rPr>
          <w:rFonts w:ascii="Georgia" w:hAnsi="Georgia" w:eastAsia="Yu Mincho"/>
          <w:b w:val="0"/>
          <w:lang w:eastAsia="ja-JP"/>
        </w:rPr>
        <w:t>3.2 今後の文献にも適用する分類基準</w:t>
      </w:r>
      <w:bookmarkEnd w:id="5"/>
    </w:p>
    <w:p>
      <w:pPr>
        <w:widowControl/>
        <w:spacing w:before="0" w:after="140" w:line="269" w:lineRule="auto"/>
      </w:pPr>
      <w:r>
        <w:rPr>
          <w:rFonts w:ascii="Georgia" w:hAnsi="Georgia" w:eastAsia="Yu Mincho"/>
          <w:b w:val="0"/>
          <w:sz w:val="24"/>
          <w:lang w:eastAsia="ja-JP"/>
        </w:rPr>
        <w:t>第一に「スコアが実際に何を測定するか」で分類し，次に入力単位，学習仮定，アクセス要件を付記する。</w:t>
      </w:r>
    </w:p>
    <w:tbl>
      <w:tblPr>
        <w:tblStyle w:val="Table1"/>
        <w:tblW w:type="dxa" w:w="9360"/>
        <w:jc w:val="left"/>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150"/>
        <w:gridCol w:w="3615"/>
        <w:gridCol w:w="3594"/>
      </w:tblGrid>
      <w:tr>
        <w:trPr>
          <w:cantSplit/>
          <w:tblHeader/>
        </w:trPr>
        <w:tc>
          <w:tcPr>
            <w:tcW w:type="dxa" w:w="2150"/>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主分類</w:t>
            </w:r>
          </w:p>
        </w:tc>
        <w:tc>
          <w:tcPr>
            <w:tcW w:type="dxa" w:w="3615"/>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スコアの根拠</w:t>
            </w:r>
          </w:p>
        </w:tc>
        <w:tc>
          <w:tcPr>
            <w:tcW w:type="dxa" w:w="3594"/>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本論文との関係</w:t>
            </w:r>
          </w:p>
        </w:tc>
      </w:tr>
      <w:tr>
        <w:trPr>
          <w:cantSplit/>
        </w:trPr>
        <w:tc>
          <w:tcPr>
            <w:tcW w:type="dxa" w:w="2150"/>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範囲 距離 境界</w:t>
            </w:r>
          </w:p>
        </w:tc>
        <w:tc>
          <w:tcPr>
            <w:tcW w:type="dxa" w:w="3615"/>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範囲逸脱，近傍距離，正常領域境界までの距離</w:t>
            </w:r>
          </w:p>
        </w:tc>
        <w:tc>
          <w:tcPr>
            <w:tcW w:type="dxa" w:w="3594"/>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学習サンプルへの距離を直接計算する手法ではない</w:t>
            </w:r>
          </w:p>
        </w:tc>
      </w:tr>
      <w:tr>
        <w:trPr>
          <w:cantSplit/>
        </w:trPr>
        <w:tc>
          <w:tcPr>
            <w:tcW w:type="dxa" w:w="2150"/>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確率密度</w:t>
            </w:r>
          </w:p>
        </w:tc>
        <w:tc>
          <w:tcPr>
            <w:tcW w:type="dxa" w:w="3615"/>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p(x)，負の対数尤度，局所密度</w:t>
            </w:r>
          </w:p>
        </w:tc>
        <w:tc>
          <w:tcPr>
            <w:tcW w:type="dxa" w:w="3594"/>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明示的な密度を出力しない</w:t>
            </w:r>
          </w:p>
        </w:tc>
      </w:tr>
      <w:tr>
        <w:trPr>
          <w:cantSplit/>
        </w:trPr>
        <w:tc>
          <w:tcPr>
            <w:tcW w:type="dxa" w:w="2150"/>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対象 AI の予測不確実性</w:t>
            </w:r>
          </w:p>
        </w:tc>
        <w:tc>
          <w:tcPr>
            <w:tcW w:type="dxa" w:w="3615"/>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予測分布，事後分布，アンサンブル間の差など</w:t>
            </w:r>
          </w:p>
        </w:tc>
        <w:tc>
          <w:tcPr>
            <w:tcW w:type="dxa" w:w="3594"/>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対象 AI の不確実性を参照しない</w:t>
            </w:r>
          </w:p>
        </w:tc>
      </w:tr>
      <w:tr>
        <w:trPr>
          <w:cantSplit/>
        </w:trPr>
        <w:tc>
          <w:tcPr>
            <w:tcW w:type="dxa" w:w="2150"/>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再構成誤差</w:t>
            </w:r>
          </w:p>
        </w:tc>
        <w:tc>
          <w:tcPr>
            <w:tcW w:type="dxa" w:w="3615"/>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入力と再構成入力の差</w:t>
            </w:r>
          </w:p>
        </w:tc>
        <w:tc>
          <w:tcPr>
            <w:tcW w:type="dxa" w:w="3594"/>
            <w:vAlign w:val="center"/>
            <w:tcMar>
              <w:top w:w="90" w:type="dxa"/>
              <w:bottom w:w="90" w:type="dxa"/>
              <w:left w:w="90" w:type="dxa"/>
              <w:right w:w="90" w:type="dxa"/>
            </w:tcMar>
          </w:tcPr>
          <w:p>
            <w:pPr>
              <w:widowControl/>
              <w:spacing w:before="0" w:after="100" w:line="264" w:lineRule="auto"/>
            </w:pPr>
            <w:r>
              <w:rPr>
                <w:rFonts w:ascii="Georgia" w:hAnsi="Georgia" w:eastAsia="Yu Mincho"/>
                <w:b/>
                <w:sz w:val="20"/>
                <w:lang w:eastAsia="ja-JP"/>
              </w:rPr>
              <w:t>USAD の主分類</w:t>
            </w:r>
          </w:p>
        </w:tc>
      </w:tr>
      <w:tr>
        <w:trPr>
          <w:cantSplit/>
        </w:trPr>
        <w:tc>
          <w:tcPr>
            <w:tcW w:type="dxa" w:w="2150"/>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予測誤差</w:t>
            </w:r>
          </w:p>
        </w:tc>
        <w:tc>
          <w:tcPr>
            <w:tcW w:type="dxa" w:w="3615"/>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過去から予測した次の値と実測値の差</w:t>
            </w:r>
          </w:p>
        </w:tc>
        <w:tc>
          <w:tcPr>
            <w:tcW w:type="dxa" w:w="3594"/>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入力窓を再構成し，次時点予測を主目的としない</w:t>
            </w:r>
          </w:p>
        </w:tc>
      </w:tr>
      <w:tr>
        <w:trPr>
          <w:cantSplit/>
        </w:trPr>
        <w:tc>
          <w:tcPr>
            <w:tcW w:type="dxa" w:w="2150"/>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その他</w:t>
            </w:r>
          </w:p>
        </w:tc>
        <w:tc>
          <w:tcPr>
            <w:tcW w:type="dxa" w:w="3615"/>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隔離，変化点，物理制約，統計検定など</w:t>
            </w:r>
          </w:p>
        </w:tc>
        <w:tc>
          <w:tcPr>
            <w:tcW w:type="dxa" w:w="3594"/>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今後の文献用に独立分類を残す</w:t>
            </w:r>
          </w:p>
        </w:tc>
      </w:tr>
    </w:tbl>
    <w:p>
      <w:pPr>
        <w:spacing w:after="60" w:before="0" w:line="60" w:lineRule="exact"/>
      </w:pPr>
    </w:p>
    <w:p>
      <w:pPr>
        <w:widowControl/>
        <w:spacing w:before="0" w:after="140" w:line="269" w:lineRule="auto"/>
      </w:pPr>
      <w:r>
        <w:rPr>
          <w:rFonts w:ascii="Georgia" w:hAnsi="Georgia" w:eastAsia="Yu Mincho"/>
          <w:b w:val="0"/>
          <w:sz w:val="24"/>
          <w:lang w:eastAsia="ja-JP"/>
        </w:rPr>
        <w:t>誤差計算に距離を使うという理由だけで USAD を「学習サンプルとの直接距離法」とすると，学習済みモデルによる再構成という重要な特徴を失う。</w:t>
      </w:r>
    </w:p>
    <w:p>
      <w:pPr>
        <w:widowControl/>
        <w:spacing w:before="0" w:after="140" w:line="269" w:lineRule="auto"/>
      </w:pPr>
      <w:r>
        <w:rPr>
          <w:rFonts w:ascii="Georgia" w:hAnsi="Georgia" w:eastAsia="Yu Mincho"/>
          <w:b/>
          <w:sz w:val="24"/>
          <w:lang w:eastAsia="ja-JP"/>
        </w:rPr>
        <w:t>統一記録：</w:t>
      </w:r>
      <w:r>
        <w:rPr>
          <w:rFonts w:ascii="Georgia" w:hAnsi="Georgia" w:eastAsia="Yu Mincho"/>
          <w:b w:val="0"/>
          <w:sz w:val="24"/>
          <w:lang w:eastAsia="ja-JP"/>
        </w:rPr>
        <w:t>深層再構成／AE と敵対学習，多変量固定窓，正常または主として正常なデータで学習，独立検出器の学習が必要，対象 AI の内部・出力に非依存，連続スコアと二値異常ラベルを出力，実運用しきい値は別途校正が必要。</w:t>
      </w:r>
    </w:p>
    <w:p>
      <w:bookmarkStart w:id="6" w:name="sec_6"/>
      <w:pPr>
        <w:pStyle w:val="Heading1"/>
        <w:keepNext/>
        <w:spacing w:before="300" w:after="140"/>
        <w:jc w:val="left"/>
      </w:pPr>
      <w:r>
        <w:rPr>
          <w:rFonts w:ascii="Georgia" w:hAnsi="Georgia" w:eastAsia="Yu Mincho"/>
          <w:b w:val="0"/>
          <w:lang w:eastAsia="ja-JP"/>
        </w:rPr>
        <w:t>4 検出アルゴリズムと評価</w:t>
      </w:r>
      <w:bookmarkEnd w:id="6"/>
    </w:p>
    <w:p>
      <w:bookmarkStart w:id="7" w:name="sec_7"/>
      <w:pPr>
        <w:pStyle w:val="Heading2"/>
        <w:keepNext/>
        <w:spacing w:before="200" w:after="140"/>
        <w:jc w:val="left"/>
      </w:pPr>
      <w:r>
        <w:rPr>
          <w:rFonts w:ascii="Georgia" w:hAnsi="Georgia" w:eastAsia="Yu Mincho"/>
          <w:b w:val="0"/>
          <w:lang w:eastAsia="ja-JP"/>
        </w:rPr>
        <w:t>4.1 実行可能な処理手順</w:t>
      </w:r>
      <w:bookmarkEnd w:id="7"/>
    </w:p>
    <w:p>
      <w:pPr>
        <w:widowControl/>
        <w:spacing w:before="0" w:after="140" w:line="269" w:lineRule="auto"/>
      </w:pPr>
      <w:r>
        <w:rPr>
          <w:rFonts w:ascii="Georgia" w:hAnsi="Georgia" w:eastAsia="Yu Mincho"/>
          <w:b w:val="0"/>
          <w:sz w:val="24"/>
          <w:lang w:eastAsia="ja-JP"/>
        </w:rPr>
        <w:t>1. 監視変数，時刻基準，サンプリング周期，正常学習期間，エンティティの境界を定義する。</w:t>
      </w:r>
    </w:p>
    <w:p>
      <w:pPr>
        <w:widowControl/>
        <w:spacing w:before="0" w:after="140" w:line="269" w:lineRule="auto"/>
      </w:pPr>
      <w:r>
        <w:rPr>
          <w:rFonts w:ascii="Georgia" w:hAnsi="Georgia" w:eastAsia="Yu Mincho"/>
          <w:b w:val="0"/>
          <w:sz w:val="24"/>
          <w:lang w:eastAsia="ja-JP"/>
        </w:rPr>
        <w:t>2. 正規化し，実験設定に応じて中央値によるダウンサンプリングを行い，順序を保持した固定窓を作る。すべてのデータの正規化パラメータ推定範囲，欠測処理，ラベル集約規則は原文に十分な記載がない。</w:t>
      </w:r>
    </w:p>
    <w:p>
      <w:pPr>
        <w:widowControl/>
        <w:spacing w:before="0" w:after="140" w:line="269" w:lineRule="auto"/>
      </w:pPr>
      <w:r>
        <w:rPr>
          <w:rFonts w:ascii="Georgia" w:hAnsi="Georgia" w:eastAsia="Yu Mincho"/>
          <w:b w:val="0"/>
          <w:sz w:val="24"/>
          <w:lang w:eastAsia="ja-JP"/>
        </w:rPr>
        <w:t>3. 共有エンコーダと二つのデコーダを初期化する。</w:t>
      </w:r>
    </w:p>
    <w:p>
      <w:pPr>
        <w:widowControl/>
        <w:spacing w:before="0" w:after="140" w:line="269" w:lineRule="auto"/>
      </w:pPr>
      <w:r>
        <w:rPr>
          <w:rFonts w:ascii="Georgia" w:hAnsi="Georgia" w:eastAsia="Yu Mincho"/>
          <w:b w:val="0"/>
          <w:sz w:val="24"/>
          <w:lang w:eastAsia="ja-JP"/>
        </w:rPr>
        <w:t>4. 第 n エポックで直接再構成と直列再構成を計算し，L1 と L2 により更新する。</w:t>
      </w:r>
    </w:p>
    <w:p>
      <w:pPr>
        <w:widowControl/>
        <w:spacing w:before="0" w:after="140" w:line="269" w:lineRule="auto"/>
      </w:pPr>
      <w:r>
        <w:rPr>
          <w:rFonts w:ascii="Georgia" w:hAnsi="Georgia" w:eastAsia="Yu Mincho"/>
          <w:b w:val="0"/>
          <w:sz w:val="24"/>
          <w:lang w:eastAsia="ja-JP"/>
        </w:rPr>
        <w:t>5. パラメータを固定し，新しい窓のスコア s を計算する。</w:t>
      </w:r>
    </w:p>
    <w:p>
      <w:pPr>
        <w:widowControl/>
        <w:spacing w:before="0" w:after="140" w:line="269" w:lineRule="auto"/>
      </w:pPr>
      <w:r>
        <w:rPr>
          <w:rFonts w:ascii="Georgia" w:hAnsi="Georgia" w:eastAsia="Yu Mincho"/>
          <w:b w:val="0"/>
          <w:sz w:val="24"/>
          <w:lang w:eastAsia="ja-JP"/>
        </w:rPr>
        <w:t>6. あらかじめ設定した α，β，λ で二値判定する。</w:t>
      </w:r>
    </w:p>
    <w:p>
      <w:pPr>
        <w:widowControl/>
        <w:spacing w:before="0" w:after="140" w:line="269" w:lineRule="auto"/>
      </w:pPr>
      <w:r>
        <w:rPr>
          <w:rFonts w:ascii="Georgia" w:hAnsi="Georgia" w:eastAsia="Yu Mincho"/>
          <w:b w:val="0"/>
          <w:sz w:val="24"/>
          <w:lang w:eastAsia="ja-JP"/>
        </w:rPr>
        <w:t>7. 最新 K 個の有効時点を保持し，スコアを更新する。アラームの重複排除，持続条件，欠測時対応，再学習の開始条件は追加設計事項である。</w:t>
      </w:r>
    </w:p>
    <w:p>
      <w:pPr>
        <w:widowControl/>
        <w:spacing w:before="0" w:after="140" w:line="269" w:lineRule="auto"/>
      </w:pPr>
      <w:r>
        <w:rPr>
          <w:rFonts w:ascii="Georgia" w:hAnsi="Georgia" w:eastAsia="Yu Mincho"/>
          <w:b/>
          <w:sz w:val="24"/>
          <w:lang w:eastAsia="ja-JP"/>
        </w:rPr>
        <w:t>二つの学習集合の区別。</w:t>
      </w:r>
      <w:r>
        <w:rPr>
          <w:rFonts w:ascii="Georgia" w:hAnsi="Georgia" w:eastAsia="Yu Mincho"/>
          <w:b w:val="0"/>
          <w:sz w:val="24"/>
          <w:lang w:eastAsia="ja-JP"/>
        </w:rPr>
        <w:t>末端圧力推定モデルは (X,Y) で学習する可能性があるが，USAD は選択された正常 X の窓を自己再構成する。学習期間や入力変数が異なれば，「既知の領域」も異なる。USAD の正常学習集合と対象 AI の学習集合を自動的に同一視できない。</w:t>
      </w:r>
    </w:p>
    <w:p>
      <w:bookmarkStart w:id="8" w:name="sec_8"/>
      <w:pPr>
        <w:pStyle w:val="Heading2"/>
        <w:keepNext/>
        <w:spacing w:before="200" w:after="140"/>
        <w:jc w:val="left"/>
      </w:pPr>
      <w:r>
        <w:rPr>
          <w:rFonts w:ascii="Georgia" w:hAnsi="Georgia" w:eastAsia="Yu Mincho"/>
          <w:b w:val="0"/>
          <w:lang w:eastAsia="ja-JP"/>
        </w:rPr>
        <w:t>4.2 学習時と運用時に必要な情報</w:t>
      </w:r>
      <w:bookmarkEnd w:id="8"/>
    </w:p>
    <w:tbl>
      <w:tblPr>
        <w:tblStyle w:val="Table1"/>
        <w:tblW w:type="dxa" w:w="9360"/>
        <w:jc w:val="left"/>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101"/>
        <w:gridCol w:w="2875"/>
        <w:gridCol w:w="3382"/>
      </w:tblGrid>
      <w:tr>
        <w:trPr>
          <w:cantSplit/>
          <w:tblHeader/>
        </w:trPr>
        <w:tc>
          <w:tcPr>
            <w:tcW w:type="dxa" w:w="3101"/>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情報</w:t>
            </w:r>
          </w:p>
        </w:tc>
        <w:tc>
          <w:tcPr>
            <w:tcW w:type="dxa" w:w="2875"/>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USAD の学習時</w:t>
            </w:r>
          </w:p>
        </w:tc>
        <w:tc>
          <w:tcPr>
            <w:tcW w:type="dxa" w:w="3382"/>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オンライン検出時</w:t>
            </w:r>
          </w:p>
        </w:tc>
      </w:tr>
      <w:tr>
        <w:trPr>
          <w:cantSplit/>
        </w:trPr>
        <w:tc>
          <w:tcPr>
            <w:tcW w:type="dxa" w:w="3101"/>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主として正常な過去入力系列</w:t>
            </w:r>
          </w:p>
        </w:tc>
        <w:tc>
          <w:tcPr>
            <w:tcW w:type="dxa" w:w="2875"/>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必須。正常変動を網羅する必要がある</w:t>
            </w:r>
          </w:p>
        </w:tc>
        <w:tc>
          <w:tcPr>
            <w:tcW w:type="dxa" w:w="3382"/>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学習履歴全体を毎回検索する必要はない</w:t>
            </w:r>
          </w:p>
        </w:tc>
      </w:tr>
      <w:tr>
        <w:trPr>
          <w:cantSplit/>
        </w:trPr>
        <w:tc>
          <w:tcPr>
            <w:tcW w:type="dxa" w:w="3101"/>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異常ラベル</w:t>
            </w:r>
          </w:p>
        </w:tc>
        <w:tc>
          <w:tcPr>
            <w:tcW w:type="dxa" w:w="2875"/>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損失には不要。論文の評価と最大 F1 によるしきい値選択には必要</w:t>
            </w:r>
          </w:p>
        </w:tc>
        <w:tc>
          <w:tcPr>
            <w:tcW w:type="dxa" w:w="3382"/>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オンラインの正解異常ラベルは不要</w:t>
            </w:r>
          </w:p>
        </w:tc>
      </w:tr>
      <w:tr>
        <w:trPr>
          <w:cantSplit/>
        </w:trPr>
        <w:tc>
          <w:tcPr>
            <w:tcW w:type="dxa" w:w="3101"/>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列の定義 順序 尺度 周期</w:t>
            </w:r>
          </w:p>
        </w:tc>
        <w:tc>
          <w:tcPr>
            <w:tcW w:type="dxa" w:w="2875"/>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必須</w:t>
            </w:r>
          </w:p>
        </w:tc>
        <w:tc>
          <w:tcPr>
            <w:tcW w:type="dxa" w:w="3382"/>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学習時と一致させる</w:t>
            </w:r>
          </w:p>
        </w:tc>
      </w:tr>
      <w:tr>
        <w:trPr>
          <w:cantSplit/>
        </w:trPr>
        <w:tc>
          <w:tcPr>
            <w:tcW w:type="dxa" w:w="3101"/>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USAD の内部パラメータ</w:t>
            </w:r>
          </w:p>
        </w:tc>
        <w:tc>
          <w:tcPr>
            <w:tcW w:type="dxa" w:w="2875"/>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必須</w:t>
            </w:r>
          </w:p>
        </w:tc>
        <w:tc>
          <w:tcPr>
            <w:tcW w:type="dxa" w:w="3382"/>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学習済み E，D1，D2 が必要</w:t>
            </w:r>
          </w:p>
        </w:tc>
      </w:tr>
      <w:tr>
        <w:trPr>
          <w:cantSplit/>
        </w:trPr>
        <w:tc>
          <w:tcPr>
            <w:tcW w:type="dxa" w:w="3101"/>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対象 AI の内部 勾配 中間層</w:t>
            </w:r>
          </w:p>
        </w:tc>
        <w:tc>
          <w:tcPr>
            <w:tcW w:type="dxa" w:w="2875"/>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不要</w:t>
            </w:r>
          </w:p>
        </w:tc>
        <w:tc>
          <w:tcPr>
            <w:tcW w:type="dxa" w:w="3382"/>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不要</w:t>
            </w:r>
          </w:p>
        </w:tc>
      </w:tr>
      <w:tr>
        <w:trPr>
          <w:cantSplit/>
        </w:trPr>
        <w:tc>
          <w:tcPr>
            <w:tcW w:type="dxa" w:w="3101"/>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対象 AI の出力と正解 Y</w:t>
            </w:r>
          </w:p>
        </w:tc>
        <w:tc>
          <w:tcPr>
            <w:tcW w:type="dxa" w:w="2875"/>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不要</w:t>
            </w:r>
          </w:p>
        </w:tc>
        <w:tc>
          <w:tcPr>
            <w:tcW w:type="dxa" w:w="3382"/>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原手法では不要</w:t>
            </w:r>
          </w:p>
        </w:tc>
      </w:tr>
      <w:tr>
        <w:trPr>
          <w:cantSplit/>
        </w:trPr>
        <w:tc>
          <w:tcPr>
            <w:tcW w:type="dxa" w:w="3101"/>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過去入力バッファ</w:t>
            </w:r>
          </w:p>
        </w:tc>
        <w:tc>
          <w:tcPr>
            <w:tcW w:type="dxa" w:w="2875"/>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窓の作成に必要</w:t>
            </w:r>
          </w:p>
        </w:tc>
        <w:tc>
          <w:tcPr>
            <w:tcW w:type="dxa" w:w="3382"/>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直近 K 個の有効時点</w:t>
            </w:r>
          </w:p>
        </w:tc>
      </w:tr>
      <w:tr>
        <w:trPr>
          <w:cantSplit/>
        </w:trPr>
        <w:tc>
          <w:tcPr>
            <w:tcW w:type="dxa" w:w="3101"/>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重みとしきい値</w:t>
            </w:r>
          </w:p>
        </w:tc>
        <w:tc>
          <w:tcPr>
            <w:tcW w:type="dxa" w:w="2875"/>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設定と校正が必要</w:t>
            </w:r>
          </w:p>
        </w:tc>
        <w:tc>
          <w:tcPr>
            <w:tcW w:type="dxa" w:w="3382"/>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固定値，または管理された手順で更新</w:t>
            </w:r>
          </w:p>
        </w:tc>
      </w:tr>
    </w:tbl>
    <w:p>
      <w:pPr>
        <w:spacing w:after="60" w:before="0" w:line="60" w:lineRule="exact"/>
      </w:pPr>
    </w:p>
    <w:p>
      <w:pPr>
        <w:widowControl/>
        <w:spacing w:before="0" w:after="140" w:line="269" w:lineRule="auto"/>
      </w:pPr>
      <w:r>
        <w:rPr>
          <w:rFonts w:ascii="Georgia" w:hAnsi="Georgia" w:eastAsia="Yu Mincho"/>
          <w:b w:val="0"/>
          <w:sz w:val="24"/>
          <w:lang w:eastAsia="ja-JP"/>
        </w:rPr>
        <w:t>「入力のみで検出可能」とは，入力窓と検出器自体を利用するという意味であり，現在の単一数値だけを使うことや，学習済みネットワークが不要であることを意味しない。</w:t>
      </w:r>
    </w:p>
    <w:p>
      <w:bookmarkStart w:id="9" w:name="sec_9"/>
      <w:pPr>
        <w:pStyle w:val="Heading2"/>
        <w:keepNext/>
        <w:spacing w:before="200" w:after="140"/>
        <w:jc w:val="left"/>
      </w:pPr>
      <w:r>
        <w:rPr>
          <w:rFonts w:ascii="Georgia" w:hAnsi="Georgia" w:eastAsia="Yu Mincho"/>
          <w:b w:val="0"/>
          <w:lang w:eastAsia="ja-JP"/>
        </w:rPr>
        <w:t>4.3 しきい値の決定</w:t>
      </w:r>
      <w:bookmarkEnd w:id="9"/>
    </w:p>
    <w:p>
      <w:pPr>
        <w:widowControl/>
        <w:spacing w:before="0" w:after="140" w:line="269" w:lineRule="auto"/>
      </w:pPr>
      <w:r>
        <w:rPr>
          <w:rFonts w:ascii="Georgia" w:hAnsi="Georgia" w:eastAsia="Yu Mincho"/>
          <w:b w:val="0"/>
          <w:sz w:val="24"/>
          <w:lang w:eastAsia="ja-JP"/>
        </w:rPr>
        <w:t>【論文 §5.1】各モデルについて可能なしきい値を試し，最高 F1 に対応する結果を報告している。独立した校正集合と探索グリッドは説明されていないため，「ラベル付き評価に基づく最良しきい値の結果」と記録する。USAD が運用しきい値を教師なしで自動決定すると説明してはならない。OmniAnomaly の POT を USAD の原手法として扱うこともできない。</w:t>
      </w:r>
    </w:p>
    <w:p>
      <w:pPr>
        <w:widowControl/>
        <w:spacing w:before="0" w:after="140" w:line="269" w:lineRule="auto"/>
      </w:pPr>
      <w:r>
        <w:rPr>
          <w:rFonts w:ascii="Georgia" w:hAnsi="Georgia" w:eastAsia="Yu Mincho"/>
          <w:b w:val="0"/>
          <w:sz w:val="24"/>
          <w:lang w:eastAsia="ja-JP"/>
        </w:rPr>
        <w:t>【分析 運用提案】時間的に分離した正常校正集合の高い分位点を使い，例えば λ=Q(1−ε) とするか，異常を含む検証集合でアラーム予算に基づいて選択する。正常分位点法は異常ラベルを必要としないが，校正データ上の裾の割合を決めるだけであり，時系列依存や分布変化の下で将来 FPR が ε になる保証はない。テスト集合は選択に使用しない。</w:t>
      </w:r>
    </w:p>
    <w:p>
      <w:pPr>
        <w:widowControl/>
        <w:spacing w:before="0" w:after="140" w:line="269" w:lineRule="auto"/>
      </w:pPr>
      <w:r>
        <w:rPr>
          <w:rFonts w:ascii="Georgia" w:hAnsi="Georgia" w:eastAsia="Yu Mincho"/>
          <w:b w:val="0"/>
          <w:sz w:val="24"/>
          <w:lang w:eastAsia="ja-JP"/>
        </w:rPr>
        <w:t>α と β を変更するとスコア分布も変わるため，しきい値を含めて再評価する。単一窓では s=e12+α(e1−e12) なので，α の増加でスコアが下がるのは e1&lt;e12 の場合に限られる。すべてのサンプルで単調に感度が下がるわけではない。</w:t>
      </w:r>
    </w:p>
    <w:p>
      <w:bookmarkStart w:id="10" w:name="sec_10"/>
      <w:pPr>
        <w:pStyle w:val="Heading2"/>
        <w:keepNext/>
        <w:spacing w:before="200" w:after="140"/>
        <w:jc w:val="left"/>
      </w:pPr>
      <w:r>
        <w:rPr>
          <w:rFonts w:ascii="Georgia" w:hAnsi="Georgia" w:eastAsia="Yu Mincho"/>
          <w:b w:val="0"/>
          <w:lang w:eastAsia="ja-JP"/>
        </w:rPr>
        <w:t>4.4 比較手法の分類と比較範囲</w:t>
      </w:r>
      <w:bookmarkEnd w:id="10"/>
    </w:p>
    <w:tbl>
      <w:tblPr>
        <w:tblStyle w:val="Table1"/>
        <w:tblW w:type="dxa" w:w="9360"/>
        <w:jc w:val="left"/>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078"/>
        <w:gridCol w:w="3236"/>
        <w:gridCol w:w="4045"/>
      </w:tblGrid>
      <w:tr>
        <w:trPr>
          <w:cantSplit/>
          <w:tblHeader/>
        </w:trPr>
        <w:tc>
          <w:tcPr>
            <w:tcW w:type="dxa" w:w="2078"/>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比較手法</w:t>
            </w:r>
          </w:p>
        </w:tc>
        <w:tc>
          <w:tcPr>
            <w:tcW w:type="dxa" w:w="3236"/>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本論文での分類と役割</w:t>
            </w:r>
          </w:p>
        </w:tc>
        <w:tc>
          <w:tcPr>
            <w:tcW w:type="dxa" w:w="4045"/>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解釈上の注意</w:t>
            </w:r>
          </w:p>
        </w:tc>
      </w:tr>
      <w:tr>
        <w:trPr>
          <w:cantSplit/>
        </w:trPr>
        <w:tc>
          <w:tcPr>
            <w:tcW w:type="dxa" w:w="2078"/>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IF</w:t>
            </w:r>
          </w:p>
        </w:tc>
        <w:tc>
          <w:tcPr>
            <w:tcW w:type="dxa" w:w="3236"/>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ランダム隔離型。非ニューラル手法との比較</w:t>
            </w:r>
          </w:p>
        </w:tc>
        <w:tc>
          <w:tcPr>
            <w:tcW w:type="dxa" w:w="4045"/>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本実験では逐点処理で，窓の履歴を明示的に利用しない</w:t>
            </w:r>
          </w:p>
        </w:tc>
      </w:tr>
      <w:tr>
        <w:trPr>
          <w:cantSplit/>
        </w:trPr>
        <w:tc>
          <w:tcPr>
            <w:tcW w:type="dxa" w:w="2078"/>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AE</w:t>
            </w:r>
          </w:p>
        </w:tc>
        <w:tc>
          <w:tcPr>
            <w:tcW w:type="dxa" w:w="3236"/>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再構成型。敵対目的の効果を確認</w:t>
            </w:r>
          </w:p>
        </w:tc>
        <w:tc>
          <w:tcPr>
            <w:tcW w:type="dxa" w:w="4045"/>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最も直接的な方法論上の比較対象</w:t>
            </w:r>
          </w:p>
        </w:tc>
      </w:tr>
      <w:tr>
        <w:trPr>
          <w:cantSplit/>
        </w:trPr>
        <w:tc>
          <w:tcPr>
            <w:tcW w:type="dxa" w:w="2078"/>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LSTM-VAE</w:t>
            </w:r>
          </w:p>
        </w:tc>
        <w:tc>
          <w:tcPr>
            <w:tcW w:type="dxa" w:w="3236"/>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時系列潜在変数と再構成</w:t>
            </w:r>
          </w:p>
        </w:tc>
        <w:tc>
          <w:tcPr>
            <w:tcW w:type="dxa" w:w="4045"/>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詳細なスコアと設定は当該手法の原論文・実装を確認する</w:t>
            </w:r>
          </w:p>
        </w:tc>
      </w:tr>
      <w:tr>
        <w:trPr>
          <w:cantSplit/>
        </w:trPr>
        <w:tc>
          <w:tcPr>
            <w:tcW w:type="dxa" w:w="2078"/>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DAGMM</w:t>
            </w:r>
          </w:p>
        </w:tc>
        <w:tc>
          <w:tcPr>
            <w:tcW w:type="dxa" w:w="3236"/>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AE 表現とガウス混合密度</w:t>
            </w:r>
          </w:p>
        </w:tc>
        <w:tc>
          <w:tcPr>
            <w:tcW w:type="dxa" w:w="4045"/>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表現学習と密度モデルを組み合わせ，単純な AE ではない</w:t>
            </w:r>
          </w:p>
        </w:tc>
      </w:tr>
      <w:tr>
        <w:trPr>
          <w:cantSplit/>
        </w:trPr>
        <w:tc>
          <w:tcPr>
            <w:tcW w:type="dxa" w:w="2078"/>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OmniAnomaly</w:t>
            </w:r>
          </w:p>
        </w:tc>
        <w:tc>
          <w:tcPr>
            <w:tcW w:type="dxa" w:w="3236"/>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確率的再帰モデルと再構成確率</w:t>
            </w:r>
          </w:p>
        </w:tc>
        <w:tc>
          <w:tcPr>
            <w:tcW w:type="dxa" w:w="4045"/>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性能と学習時間の主要な深層比較対象</w:t>
            </w:r>
          </w:p>
        </w:tc>
      </w:tr>
    </w:tbl>
    <w:p>
      <w:pPr>
        <w:spacing w:after="60" w:before="0" w:line="60" w:lineRule="exact"/>
      </w:pPr>
    </w:p>
    <w:p>
      <w:pPr>
        <w:widowControl/>
        <w:spacing w:before="0" w:after="140" w:line="269" w:lineRule="auto"/>
      </w:pPr>
      <w:r>
        <w:rPr>
          <w:rFonts w:ascii="Georgia" w:hAnsi="Georgia" w:eastAsia="Yu Mincho"/>
          <w:b w:val="0"/>
          <w:sz w:val="24"/>
          <w:lang w:eastAsia="ja-JP"/>
        </w:rPr>
        <w:t>本論文だけでは，各比較手法の全しきい値，前処理，ライセンスを網羅できない。それぞれの精読報告の代替にはならない。</w:t>
      </w:r>
    </w:p>
    <w:p>
      <w:bookmarkStart w:id="11" w:name="sec_11"/>
      <w:pPr>
        <w:pStyle w:val="Heading2"/>
        <w:keepNext/>
        <w:spacing w:before="200" w:after="140"/>
        <w:jc w:val="left"/>
      </w:pPr>
      <w:r>
        <w:rPr>
          <w:rFonts w:ascii="Georgia" w:hAnsi="Georgia" w:eastAsia="Yu Mincho"/>
          <w:b w:val="0"/>
          <w:lang w:eastAsia="ja-JP"/>
        </w:rPr>
        <w:t>4.5 主な検出結果と評価条件</w:t>
      </w:r>
      <w:bookmarkEnd w:id="11"/>
    </w:p>
    <w:p>
      <w:pPr>
        <w:widowControl/>
        <w:spacing w:before="0" w:after="140" w:line="269" w:lineRule="auto"/>
      </w:pPr>
      <w:r>
        <w:rPr>
          <w:rFonts w:ascii="Georgia" w:hAnsi="Georgia" w:eastAsia="Yu Mincho"/>
          <w:b w:val="0"/>
          <w:sz w:val="24"/>
          <w:lang w:eastAsia="ja-JP"/>
        </w:rPr>
        <w:t>【論文 表2，PDF 6／3400。Orange は表6】</w:t>
      </w:r>
    </w:p>
    <w:tbl>
      <w:tblPr>
        <w:tblStyle w:val="Table1"/>
        <w:tblW w:type="dxa" w:w="9360"/>
        <w:jc w:val="left"/>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323"/>
        <w:gridCol w:w="1323"/>
        <w:gridCol w:w="1323"/>
        <w:gridCol w:w="1323"/>
        <w:gridCol w:w="1323"/>
        <w:gridCol w:w="2740"/>
      </w:tblGrid>
      <w:tr>
        <w:trPr>
          <w:cantSplit/>
          <w:tblHeader/>
        </w:trPr>
        <w:tc>
          <w:tcPr>
            <w:tcW w:type="dxa" w:w="1323"/>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データ</w:t>
            </w:r>
          </w:p>
        </w:tc>
        <w:tc>
          <w:tcPr>
            <w:tcW w:type="dxa" w:w="1323"/>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Point-adjust</w:t>
            </w:r>
          </w:p>
        </w:tc>
        <w:tc>
          <w:tcPr>
            <w:tcW w:type="dxa" w:w="1323"/>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USAD P</w:t>
            </w:r>
          </w:p>
        </w:tc>
        <w:tc>
          <w:tcPr>
            <w:tcW w:type="dxa" w:w="1323"/>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USAD R</w:t>
            </w:r>
          </w:p>
        </w:tc>
        <w:tc>
          <w:tcPr>
            <w:tcW w:type="dxa" w:w="1323"/>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USAD F1</w:t>
            </w:r>
          </w:p>
        </w:tc>
        <w:tc>
          <w:tcPr>
            <w:tcW w:type="dxa" w:w="2740"/>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主な比較値</w:t>
            </w:r>
          </w:p>
        </w:tc>
      </w:tr>
      <w:tr>
        <w:trPr>
          <w:cantSplit/>
        </w:trPr>
        <w:tc>
          <w:tcPr>
            <w:tcW w:type="dxa" w:w="1323"/>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SWaT</w:t>
            </w:r>
          </w:p>
        </w:tc>
        <w:tc>
          <w:tcPr>
            <w:tcW w:type="dxa" w:w="1323"/>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なし</w:t>
            </w:r>
          </w:p>
        </w:tc>
        <w:tc>
          <w:tcPr>
            <w:tcW w:type="dxa" w:w="1323"/>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0.9851</w:t>
            </w:r>
          </w:p>
        </w:tc>
        <w:tc>
          <w:tcPr>
            <w:tcW w:type="dxa" w:w="1323"/>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0.6618</w:t>
            </w:r>
          </w:p>
        </w:tc>
        <w:tc>
          <w:tcPr>
            <w:tcW w:type="dxa" w:w="1323"/>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0.7917</w:t>
            </w:r>
          </w:p>
        </w:tc>
        <w:tc>
          <w:tcPr>
            <w:tcW w:type="dxa" w:w="2740"/>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OmniAnomaly 0.7822；AE 0.7697</w:t>
            </w:r>
          </w:p>
        </w:tc>
      </w:tr>
      <w:tr>
        <w:trPr>
          <w:cantSplit/>
        </w:trPr>
        <w:tc>
          <w:tcPr>
            <w:tcW w:type="dxa" w:w="1323"/>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SWaT</w:t>
            </w:r>
          </w:p>
        </w:tc>
        <w:tc>
          <w:tcPr>
            <w:tcW w:type="dxa" w:w="1323"/>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あり</w:t>
            </w:r>
          </w:p>
        </w:tc>
        <w:tc>
          <w:tcPr>
            <w:tcW w:type="dxa" w:w="1323"/>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0.9870</w:t>
            </w:r>
          </w:p>
        </w:tc>
        <w:tc>
          <w:tcPr>
            <w:tcW w:type="dxa" w:w="1323"/>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0.7402</w:t>
            </w:r>
          </w:p>
        </w:tc>
        <w:tc>
          <w:tcPr>
            <w:tcW w:type="dxa" w:w="1323"/>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0.8460</w:t>
            </w:r>
          </w:p>
        </w:tc>
        <w:tc>
          <w:tcPr>
            <w:tcW w:type="dxa" w:w="2740"/>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OmniAnomaly 0.8328</w:t>
            </w:r>
          </w:p>
        </w:tc>
      </w:tr>
      <w:tr>
        <w:trPr>
          <w:cantSplit/>
        </w:trPr>
        <w:tc>
          <w:tcPr>
            <w:tcW w:type="dxa" w:w="1323"/>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WADI</w:t>
            </w:r>
          </w:p>
        </w:tc>
        <w:tc>
          <w:tcPr>
            <w:tcW w:type="dxa" w:w="1323"/>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なし</w:t>
            </w:r>
          </w:p>
        </w:tc>
        <w:tc>
          <w:tcPr>
            <w:tcW w:type="dxa" w:w="1323"/>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0.9947</w:t>
            </w:r>
          </w:p>
        </w:tc>
        <w:tc>
          <w:tcPr>
            <w:tcW w:type="dxa" w:w="1323"/>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0.1318</w:t>
            </w:r>
          </w:p>
        </w:tc>
        <w:tc>
          <w:tcPr>
            <w:tcW w:type="dxa" w:w="1323"/>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0.2328</w:t>
            </w:r>
          </w:p>
        </w:tc>
        <w:tc>
          <w:tcPr>
            <w:tcW w:type="dxa" w:w="2740"/>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AE 0.2315；OmniAnomaly 0.2296</w:t>
            </w:r>
          </w:p>
        </w:tc>
      </w:tr>
      <w:tr>
        <w:trPr>
          <w:cantSplit/>
        </w:trPr>
        <w:tc>
          <w:tcPr>
            <w:tcW w:type="dxa" w:w="1323"/>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WADI</w:t>
            </w:r>
          </w:p>
        </w:tc>
        <w:tc>
          <w:tcPr>
            <w:tcW w:type="dxa" w:w="1323"/>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あり</w:t>
            </w:r>
          </w:p>
        </w:tc>
        <w:tc>
          <w:tcPr>
            <w:tcW w:type="dxa" w:w="1323"/>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0.6451</w:t>
            </w:r>
          </w:p>
        </w:tc>
        <w:tc>
          <w:tcPr>
            <w:tcW w:type="dxa" w:w="1323"/>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0.3220</w:t>
            </w:r>
          </w:p>
        </w:tc>
        <w:tc>
          <w:tcPr>
            <w:tcW w:type="dxa" w:w="1323"/>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0.4296</w:t>
            </w:r>
          </w:p>
        </w:tc>
        <w:tc>
          <w:tcPr>
            <w:tcW w:type="dxa" w:w="2740"/>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IF 0.6198 は USAD より高い</w:t>
            </w:r>
          </w:p>
        </w:tc>
      </w:tr>
      <w:tr>
        <w:trPr>
          <w:cantSplit/>
        </w:trPr>
        <w:tc>
          <w:tcPr>
            <w:tcW w:type="dxa" w:w="1323"/>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SMD</w:t>
            </w:r>
          </w:p>
        </w:tc>
        <w:tc>
          <w:tcPr>
            <w:tcW w:type="dxa" w:w="1323"/>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あり</w:t>
            </w:r>
          </w:p>
        </w:tc>
        <w:tc>
          <w:tcPr>
            <w:tcW w:type="dxa" w:w="1323"/>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0.9314</w:t>
            </w:r>
          </w:p>
        </w:tc>
        <w:tc>
          <w:tcPr>
            <w:tcW w:type="dxa" w:w="1323"/>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0.9617</w:t>
            </w:r>
          </w:p>
        </w:tc>
        <w:tc>
          <w:tcPr>
            <w:tcW w:type="dxa" w:w="1323"/>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0.9382</w:t>
            </w:r>
          </w:p>
        </w:tc>
        <w:tc>
          <w:tcPr>
            <w:tcW w:type="dxa" w:w="2740"/>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OmniAnomaly 0.9441 は USAD より高い</w:t>
            </w:r>
          </w:p>
        </w:tc>
      </w:tr>
      <w:tr>
        <w:trPr>
          <w:cantSplit/>
        </w:trPr>
        <w:tc>
          <w:tcPr>
            <w:tcW w:type="dxa" w:w="1323"/>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SMAP</w:t>
            </w:r>
          </w:p>
        </w:tc>
        <w:tc>
          <w:tcPr>
            <w:tcW w:type="dxa" w:w="1323"/>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あり</w:t>
            </w:r>
          </w:p>
        </w:tc>
        <w:tc>
          <w:tcPr>
            <w:tcW w:type="dxa" w:w="1323"/>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0.7697</w:t>
            </w:r>
          </w:p>
        </w:tc>
        <w:tc>
          <w:tcPr>
            <w:tcW w:type="dxa" w:w="1323"/>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0.9831</w:t>
            </w:r>
          </w:p>
        </w:tc>
        <w:tc>
          <w:tcPr>
            <w:tcW w:type="dxa" w:w="1323"/>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0.8186</w:t>
            </w:r>
          </w:p>
        </w:tc>
        <w:tc>
          <w:tcPr>
            <w:tcW w:type="dxa" w:w="2740"/>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OmniAnomaly 0.8054</w:t>
            </w:r>
          </w:p>
        </w:tc>
      </w:tr>
      <w:tr>
        <w:trPr>
          <w:cantSplit/>
        </w:trPr>
        <w:tc>
          <w:tcPr>
            <w:tcW w:type="dxa" w:w="1323"/>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MSL</w:t>
            </w:r>
          </w:p>
        </w:tc>
        <w:tc>
          <w:tcPr>
            <w:tcW w:type="dxa" w:w="1323"/>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あり</w:t>
            </w:r>
          </w:p>
        </w:tc>
        <w:tc>
          <w:tcPr>
            <w:tcW w:type="dxa" w:w="1323"/>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0.8810</w:t>
            </w:r>
          </w:p>
        </w:tc>
        <w:tc>
          <w:tcPr>
            <w:tcW w:type="dxa" w:w="1323"/>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0.9786</w:t>
            </w:r>
          </w:p>
        </w:tc>
        <w:tc>
          <w:tcPr>
            <w:tcW w:type="dxa" w:w="1323"/>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0.9109</w:t>
            </w:r>
          </w:p>
        </w:tc>
        <w:tc>
          <w:tcPr>
            <w:tcW w:type="dxa" w:w="2740"/>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OmniAnomaly 0.8952</w:t>
            </w:r>
          </w:p>
        </w:tc>
      </w:tr>
      <w:tr>
        <w:trPr>
          <w:cantSplit/>
        </w:trPr>
        <w:tc>
          <w:tcPr>
            <w:tcW w:type="dxa" w:w="1323"/>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Orange</w:t>
            </w:r>
          </w:p>
        </w:tc>
        <w:tc>
          <w:tcPr>
            <w:tcW w:type="dxa" w:w="1323"/>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なし</w:t>
            </w:r>
          </w:p>
        </w:tc>
        <w:tc>
          <w:tcPr>
            <w:tcW w:type="dxa" w:w="1323"/>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0.7448</w:t>
            </w:r>
          </w:p>
        </w:tc>
        <w:tc>
          <w:tcPr>
            <w:tcW w:type="dxa" w:w="1323"/>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0.6428</w:t>
            </w:r>
          </w:p>
        </w:tc>
        <w:tc>
          <w:tcPr>
            <w:tcW w:type="dxa" w:w="1323"/>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0.6901</w:t>
            </w:r>
          </w:p>
        </w:tc>
        <w:tc>
          <w:tcPr>
            <w:tcW w:type="dxa" w:w="2740"/>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表6には USAD のみを記載し，他手法との比較はない</w:t>
            </w:r>
          </w:p>
        </w:tc>
      </w:tr>
    </w:tbl>
    <w:p>
      <w:pPr>
        <w:spacing w:after="60" w:before="0" w:line="60" w:lineRule="exact"/>
      </w:pPr>
    </w:p>
    <w:p>
      <w:pPr>
        <w:widowControl/>
        <w:spacing w:before="0" w:after="140" w:line="269" w:lineRule="auto"/>
      </w:pPr>
      <w:r>
        <w:rPr>
          <w:rFonts w:ascii="Georgia" w:hAnsi="Georgia" w:eastAsia="Yu Mincho"/>
          <w:b w:val="0"/>
          <w:sz w:val="24"/>
          <w:lang w:eastAsia="ja-JP"/>
        </w:rPr>
        <w:t>SMD，SMAP，MSL の USAD F1* は，それぞれ 0.9463，0.8634，0.9272 である。F1* と F1 を入れ替えて比較してはならない。Precision は TP/(TP+FP)，Recall は TP/(TP+FN)，F1 は両者の調和平均である。複数エンティティの F1 を平均することと，平均 Precision・平均 Recall から F1* を計算することは通常一致しない。</w:t>
      </w:r>
    </w:p>
    <w:p>
      <w:pPr>
        <w:widowControl/>
        <w:spacing w:before="0" w:after="140" w:line="269" w:lineRule="auto"/>
      </w:pPr>
      <w:r>
        <w:rPr>
          <w:rFonts w:ascii="Georgia" w:hAnsi="Georgia" w:eastAsia="Yu Mincho"/>
          <w:b/>
          <w:sz w:val="24"/>
          <w:lang w:eastAsia="ja-JP"/>
        </w:rPr>
        <w:t>結果の意味。</w:t>
      </w:r>
      <w:r>
        <w:rPr>
          <w:rFonts w:ascii="Georgia" w:hAnsi="Georgia" w:eastAsia="Yu Mincho"/>
          <w:b w:val="0"/>
          <w:sz w:val="24"/>
          <w:lang w:eastAsia="ja-JP"/>
        </w:rPr>
        <w:t>SWaT の未調整 Recall は約66%であり，WADI は未調整 F1 がわずかに高くても Recall は13.18%にとどまる。SWaT の OmniAnomaly に対する F1 の絶対差は0.0095，WADI は0.0032である。「最良」という順位だけで，差の大きさと絶対性能を見失ってはならない。</w:t>
      </w:r>
    </w:p>
    <w:p>
      <w:pPr>
        <w:widowControl/>
        <w:spacing w:before="0" w:after="140" w:line="269" w:lineRule="auto"/>
      </w:pPr>
      <w:r>
        <w:rPr>
          <w:rFonts w:ascii="Georgia" w:hAnsi="Georgia" w:eastAsia="Yu Mincho"/>
          <w:b/>
          <w:sz w:val="24"/>
          <w:lang w:eastAsia="ja-JP"/>
        </w:rPr>
        <w:t>Point-adjust。</w:t>
      </w:r>
      <w:r>
        <w:rPr>
          <w:rFonts w:ascii="Georgia" w:hAnsi="Georgia" w:eastAsia="Yu Mincho"/>
          <w:b w:val="0"/>
          <w:sz w:val="24"/>
          <w:lang w:eastAsia="ja-JP"/>
        </w:rPr>
        <w:t>真の連続異常区間内で1点でも検出すれば，区間全体を検出済みと扱う離線評価規則である。例えば100点の異常区間で最後の1点のみ検出し，正常区間に誤報がない場合，未調整 Recall は1%，F1 は約1.98%だが，調整後はともに100%になり得る。最初のアラームが遅いという事実は変わらない。原文は窓内に異常がある場合のラベル付けにも言及するが，ダウンサンプリングと時点・窓の対応を十分には規定していない。</w:t>
      </w:r>
    </w:p>
    <w:p>
      <w:pPr>
        <w:widowControl/>
        <w:spacing w:before="0" w:after="140" w:line="269" w:lineRule="auto"/>
      </w:pPr>
      <w:r>
        <w:rPr>
          <w:rFonts w:ascii="Georgia" w:hAnsi="Georgia" w:eastAsia="Yu Mincho"/>
          <w:b w:val="0"/>
          <w:sz w:val="24"/>
          <w:lang w:eastAsia="ja-JP"/>
        </w:rPr>
        <w:t>【再計算】表2の5データに対する point-adjust F1 の単純平均は USAD=0.78866，OmniAnomaly=0.77898，差は約0.00968である。§5.1の「0.096上回る」という記述とは整合せず，桁の誤記の可能性がある。表3のデータセット間標準偏差は，乱数シードを変えた反復実験の不確実性ではない。</w:t>
      </w:r>
    </w:p>
    <w:p>
      <w:bookmarkStart w:id="12" w:name="sec_12"/>
      <w:pPr>
        <w:pStyle w:val="Heading2"/>
        <w:keepNext/>
        <w:spacing w:before="200" w:after="140"/>
        <w:jc w:val="left"/>
      </w:pPr>
      <w:r>
        <w:rPr>
          <w:rFonts w:ascii="Georgia" w:hAnsi="Georgia" w:eastAsia="Yu Mincho"/>
          <w:b w:val="0"/>
          <w:lang w:eastAsia="ja-JP"/>
        </w:rPr>
        <w:t>4.6 検出と誤報のトレードオフ</w:t>
      </w:r>
      <w:bookmarkEnd w:id="12"/>
    </w:p>
    <w:p>
      <w:pPr>
        <w:widowControl/>
        <w:spacing w:before="0" w:after="140" w:line="269" w:lineRule="auto"/>
      </w:pPr>
      <w:r>
        <w:rPr>
          <w:rFonts w:ascii="Georgia" w:hAnsi="Georgia" w:eastAsia="Yu Mincho"/>
          <w:b w:val="0"/>
          <w:sz w:val="24"/>
          <w:lang w:eastAsia="ja-JP"/>
        </w:rPr>
        <w:t>【論文 表4，SWaT】</w:t>
      </w:r>
    </w:p>
    <w:tbl>
      <w:tblPr>
        <w:tblStyle w:val="Table1"/>
        <w:tblW w:type="dxa" w:w="9360"/>
        <w:jc w:val="left"/>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872"/>
        <w:gridCol w:w="1872"/>
        <w:gridCol w:w="1872"/>
        <w:gridCol w:w="1872"/>
        <w:gridCol w:w="1872"/>
      </w:tblGrid>
      <w:tr>
        <w:trPr>
          <w:cantSplit/>
          <w:tblHeader/>
        </w:trPr>
        <w:tc>
          <w:tcPr>
            <w:tcW w:type="dxa" w:w="1872"/>
            <w:vAlign w:val="center"/>
            <w:tcMar>
              <w:top w:w="90" w:type="dxa"/>
              <w:bottom w:w="90" w:type="dxa"/>
              <w:left w:w="90" w:type="dxa"/>
              <w:right w:w="90" w:type="dxa"/>
            </w:tcMar>
            <w:shd w:fill="E7EDE8"/>
          </w:tcPr>
          <w:p>
            <w:pPr>
              <w:widowControl/>
              <w:spacing w:before="0" w:after="100" w:line="264" w:lineRule="auto"/>
              <w:jc w:val="center"/>
            </w:pPr>
            <w:r>
              <w:rPr>
                <w:rFonts w:ascii="Georgia" w:hAnsi="Georgia" w:eastAsia="Yu Mincho"/>
                <w:b/>
                <w:sz w:val="20"/>
                <w:lang w:eastAsia="ja-JP"/>
              </w:rPr>
              <w:t>α</w:t>
            </w:r>
          </w:p>
        </w:tc>
        <w:tc>
          <w:tcPr>
            <w:tcW w:type="dxa" w:w="1872"/>
            <w:vAlign w:val="center"/>
            <w:tcMar>
              <w:top w:w="90" w:type="dxa"/>
              <w:bottom w:w="90" w:type="dxa"/>
              <w:left w:w="90" w:type="dxa"/>
              <w:right w:w="90" w:type="dxa"/>
            </w:tcMar>
            <w:shd w:fill="E7EDE8"/>
          </w:tcPr>
          <w:p>
            <w:pPr>
              <w:widowControl/>
              <w:spacing w:before="0" w:after="100" w:line="264" w:lineRule="auto"/>
              <w:jc w:val="center"/>
            </w:pPr>
            <w:r>
              <w:rPr>
                <w:rFonts w:ascii="Georgia" w:hAnsi="Georgia" w:eastAsia="Yu Mincho"/>
                <w:b/>
                <w:sz w:val="20"/>
                <w:lang w:eastAsia="ja-JP"/>
              </w:rPr>
              <w:t>β</w:t>
            </w:r>
          </w:p>
        </w:tc>
        <w:tc>
          <w:tcPr>
            <w:tcW w:type="dxa" w:w="1872"/>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FP</w:t>
            </w:r>
          </w:p>
        </w:tc>
        <w:tc>
          <w:tcPr>
            <w:tcW w:type="dxa" w:w="1872"/>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TP</w:t>
            </w:r>
          </w:p>
        </w:tc>
        <w:tc>
          <w:tcPr>
            <w:tcW w:type="dxa" w:w="1872"/>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F1</w:t>
            </w:r>
          </w:p>
        </w:tc>
      </w:tr>
      <w:tr>
        <w:trPr>
          <w:cantSplit/>
        </w:trPr>
        <w:tc>
          <w:tcPr>
            <w:tcW w:type="dxa" w:w="1872"/>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0.0</w:t>
            </w:r>
          </w:p>
        </w:tc>
        <w:tc>
          <w:tcPr>
            <w:tcW w:type="dxa" w:w="1872"/>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1.0</w:t>
            </w:r>
          </w:p>
        </w:tc>
        <w:tc>
          <w:tcPr>
            <w:tcW w:type="dxa" w:w="1872"/>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604</w:t>
            </w:r>
          </w:p>
        </w:tc>
        <w:tc>
          <w:tcPr>
            <w:tcW w:type="dxa" w:w="1872"/>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35,616</w:t>
            </w:r>
          </w:p>
        </w:tc>
        <w:tc>
          <w:tcPr>
            <w:tcW w:type="dxa" w:w="1872"/>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0.7875</w:t>
            </w:r>
          </w:p>
        </w:tc>
      </w:tr>
      <w:tr>
        <w:trPr>
          <w:cantSplit/>
        </w:trPr>
        <w:tc>
          <w:tcPr>
            <w:tcW w:type="dxa" w:w="1872"/>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0.1</w:t>
            </w:r>
          </w:p>
        </w:tc>
        <w:tc>
          <w:tcPr>
            <w:tcW w:type="dxa" w:w="1872"/>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0.9</w:t>
            </w:r>
          </w:p>
        </w:tc>
        <w:tc>
          <w:tcPr>
            <w:tcW w:type="dxa" w:w="1872"/>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580</w:t>
            </w:r>
          </w:p>
        </w:tc>
        <w:tc>
          <w:tcPr>
            <w:tcW w:type="dxa" w:w="1872"/>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35,529</w:t>
            </w:r>
          </w:p>
        </w:tc>
        <w:tc>
          <w:tcPr>
            <w:tcW w:type="dxa" w:w="1872"/>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0.7853</w:t>
            </w:r>
          </w:p>
        </w:tc>
      </w:tr>
      <w:tr>
        <w:trPr>
          <w:cantSplit/>
        </w:trPr>
        <w:tc>
          <w:tcPr>
            <w:tcW w:type="dxa" w:w="1872"/>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0.2</w:t>
            </w:r>
          </w:p>
        </w:tc>
        <w:tc>
          <w:tcPr>
            <w:tcW w:type="dxa" w:w="1872"/>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0.8</w:t>
            </w:r>
          </w:p>
        </w:tc>
        <w:tc>
          <w:tcPr>
            <w:tcW w:type="dxa" w:w="1872"/>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571</w:t>
            </w:r>
          </w:p>
        </w:tc>
        <w:tc>
          <w:tcPr>
            <w:tcW w:type="dxa" w:w="1872"/>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35,285</w:t>
            </w:r>
          </w:p>
        </w:tc>
        <w:tc>
          <w:tcPr>
            <w:tcW w:type="dxa" w:w="1872"/>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0.7833</w:t>
            </w:r>
          </w:p>
        </w:tc>
      </w:tr>
      <w:tr>
        <w:trPr>
          <w:cantSplit/>
        </w:trPr>
        <w:tc>
          <w:tcPr>
            <w:tcW w:type="dxa" w:w="1872"/>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0.5</w:t>
            </w:r>
          </w:p>
        </w:tc>
        <w:tc>
          <w:tcPr>
            <w:tcW w:type="dxa" w:w="1872"/>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0.5</w:t>
            </w:r>
          </w:p>
        </w:tc>
        <w:tc>
          <w:tcPr>
            <w:tcW w:type="dxa" w:w="1872"/>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548</w:t>
            </w:r>
          </w:p>
        </w:tc>
        <w:tc>
          <w:tcPr>
            <w:tcW w:type="dxa" w:w="1872"/>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34,590</w:t>
            </w:r>
          </w:p>
        </w:tc>
        <w:tc>
          <w:tcPr>
            <w:tcW w:type="dxa" w:w="1872"/>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0.7741</w:t>
            </w:r>
          </w:p>
        </w:tc>
      </w:tr>
      <w:tr>
        <w:trPr>
          <w:cantSplit/>
        </w:trPr>
        <w:tc>
          <w:tcPr>
            <w:tcW w:type="dxa" w:w="1872"/>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0.7</w:t>
            </w:r>
          </w:p>
        </w:tc>
        <w:tc>
          <w:tcPr>
            <w:tcW w:type="dxa" w:w="1872"/>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0.3</w:t>
            </w:r>
          </w:p>
        </w:tc>
        <w:tc>
          <w:tcPr>
            <w:tcW w:type="dxa" w:w="1872"/>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506</w:t>
            </w:r>
          </w:p>
        </w:tc>
        <w:tc>
          <w:tcPr>
            <w:tcW w:type="dxa" w:w="1872"/>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34,548</w:t>
            </w:r>
          </w:p>
        </w:tc>
        <w:tc>
          <w:tcPr>
            <w:tcW w:type="dxa" w:w="1872"/>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0.7738</w:t>
            </w:r>
          </w:p>
        </w:tc>
      </w:tr>
      <w:tr>
        <w:trPr>
          <w:cantSplit/>
        </w:trPr>
        <w:tc>
          <w:tcPr>
            <w:tcW w:type="dxa" w:w="1872"/>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0.9</w:t>
            </w:r>
          </w:p>
        </w:tc>
        <w:tc>
          <w:tcPr>
            <w:tcW w:type="dxa" w:w="1872"/>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0.1</w:t>
            </w:r>
          </w:p>
        </w:tc>
        <w:tc>
          <w:tcPr>
            <w:tcW w:type="dxa" w:w="1872"/>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299</w:t>
            </w:r>
          </w:p>
        </w:tc>
        <w:tc>
          <w:tcPr>
            <w:tcW w:type="dxa" w:w="1872"/>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34,028</w:t>
            </w:r>
          </w:p>
        </w:tc>
        <w:tc>
          <w:tcPr>
            <w:tcW w:type="dxa" w:w="1872"/>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0.7684</w:t>
            </w:r>
          </w:p>
        </w:tc>
      </w:tr>
    </w:tbl>
    <w:p>
      <w:pPr>
        <w:spacing w:after="60" w:before="0" w:line="60" w:lineRule="exact"/>
      </w:pPr>
    </w:p>
    <w:p>
      <w:pPr>
        <w:widowControl/>
        <w:spacing w:before="0" w:after="140" w:line="269" w:lineRule="auto"/>
      </w:pPr>
      <w:r>
        <w:rPr>
          <w:rFonts w:ascii="Georgia" w:hAnsi="Georgia" w:eastAsia="Yu Mincho"/>
          <w:b w:val="0"/>
          <w:sz w:val="24"/>
          <w:lang w:eastAsia="ja-JP"/>
        </w:rPr>
        <w:t>最初と最後の行を比べると FP は約50.50%，TP は約4.46%減少する。本文の TP「3%減少」と表の計算値は一致しない。表4には再現に必要なしきい値設定の詳細がなく，表2の最大 F1 と同じ動作点とは仮定できない。同一評価単位の TN が示されていないため，FP の数から直接 FPR を計算できない。</w:t>
      </w:r>
    </w:p>
    <w:p>
      <w:pPr>
        <w:widowControl/>
        <w:spacing w:before="0" w:after="140" w:line="269" w:lineRule="auto"/>
      </w:pPr>
      <w:r>
        <w:rPr>
          <w:rFonts w:ascii="Georgia" w:hAnsi="Georgia" w:eastAsia="Yu Mincho"/>
          <w:b w:val="0"/>
          <w:sz w:val="24"/>
          <w:lang w:eastAsia="ja-JP"/>
        </w:rPr>
        <w:t>誤検知率 FPR=FP/(FP+TN) は，アラーム中の誤り割合 1−Precision とは分母が異なる。スコアを固定して λ を上げると通常 TP と FP はともに減るが，重み変更では各サンプルの単調性は保証されない。運用時は，1日当たり許容する誤アラーム数，見逃し可能なイベント，許容検出遅延に基づいて動作点を選ぶ。【分析】</w:t>
      </w:r>
    </w:p>
    <w:p>
      <w:bookmarkStart w:id="13" w:name="sec_13"/>
      <w:pPr>
        <w:pStyle w:val="Heading2"/>
        <w:keepNext/>
        <w:spacing w:before="200" w:after="140"/>
        <w:jc w:val="left"/>
      </w:pPr>
      <w:r>
        <w:rPr>
          <w:rFonts w:ascii="Georgia" w:hAnsi="Georgia" w:eastAsia="Yu Mincho"/>
          <w:b w:val="0"/>
          <w:lang w:eastAsia="ja-JP"/>
        </w:rPr>
        <w:t>4.7 パラメータとアブレーションと安定性</w:t>
      </w:r>
      <w:bookmarkEnd w:id="13"/>
    </w:p>
    <w:p>
      <w:pPr>
        <w:widowControl/>
        <w:spacing w:before="0" w:after="140" w:line="269" w:lineRule="auto"/>
      </w:pPr>
      <w:r>
        <w:rPr>
          <w:rFonts w:ascii="Georgia" w:hAnsi="Georgia" w:eastAsia="Yu Mincho"/>
          <w:b w:val="0"/>
          <w:sz w:val="24"/>
          <w:lang w:eastAsia="ja-JP"/>
        </w:rPr>
        <w:t>【論文 §5.2，図2】パラメータ評価は SWaT のみである。ダウンサンプリング率は1，5，10，20，50，窓長は5，10，20，50，100，潜在次元は5，10，20，40，100を比較した。短い窓は応答を速める一方，文脈が不足し得る。長い窓は短時間異常を薄め，計算量を増やし得る。本文は K=10 が最良とするが，付録の SWaT 設定は K=12 であり，両方を記録する。</w:t>
      </w:r>
    </w:p>
    <w:p>
      <w:pPr>
        <w:widowControl/>
        <w:spacing w:before="0" w:after="140" w:line="269" w:lineRule="auto"/>
      </w:pPr>
      <w:r>
        <w:rPr>
          <w:rFonts w:ascii="Georgia" w:hAnsi="Georgia" w:eastAsia="Yu Mincho"/>
          <w:b w:val="0"/>
          <w:sz w:val="24"/>
          <w:lang w:eastAsia="ja-JP"/>
        </w:rPr>
        <w:t>ダウンサンプリング後の学習時点の1%–30%をランダムに選び，平均0，標準偏差0.3のガウス雑音を注入した。約5%以内では比較的安定し，10%から低下し，30%で明確に悪化した。この結果を，同率の実故障，持続的ドリフト，構造的な誤ラベルへの耐性と解釈してはならない。</w:t>
      </w:r>
    </w:p>
    <w:p>
      <w:pPr>
        <w:widowControl/>
        <w:spacing w:before="0" w:after="140" w:line="269" w:lineRule="auto"/>
      </w:pPr>
      <w:r>
        <w:rPr>
          <w:rFonts w:ascii="Georgia" w:hAnsi="Georgia" w:eastAsia="Yu Mincho"/>
          <w:b w:val="0"/>
          <w:sz w:val="24"/>
          <w:lang w:eastAsia="ja-JP"/>
        </w:rPr>
        <w:t>【論文 図3，PDF 8】</w:t>
      </w:r>
    </w:p>
    <w:tbl>
      <w:tblPr>
        <w:tblStyle w:val="Table1"/>
        <w:tblW w:type="dxa" w:w="9360"/>
        <w:jc w:val="left"/>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181"/>
        <w:gridCol w:w="2181"/>
        <w:gridCol w:w="2522"/>
        <w:gridCol w:w="2474"/>
      </w:tblGrid>
      <w:tr>
        <w:trPr>
          <w:cantSplit/>
          <w:tblHeader/>
        </w:trPr>
        <w:tc>
          <w:tcPr>
            <w:tcW w:type="dxa" w:w="2181"/>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データ</w:t>
            </w:r>
          </w:p>
        </w:tc>
        <w:tc>
          <w:tcPr>
            <w:tcW w:type="dxa" w:w="2181"/>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Combined</w:t>
            </w:r>
          </w:p>
        </w:tc>
        <w:tc>
          <w:tcPr>
            <w:tcW w:type="dxa" w:w="2522"/>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Auto-encoder only</w:t>
            </w:r>
          </w:p>
        </w:tc>
        <w:tc>
          <w:tcPr>
            <w:tcW w:type="dxa" w:w="2474"/>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Adversarial only</w:t>
            </w:r>
          </w:p>
        </w:tc>
      </w:tr>
      <w:tr>
        <w:trPr>
          <w:cantSplit/>
        </w:trPr>
        <w:tc>
          <w:tcPr>
            <w:tcW w:type="dxa" w:w="2181"/>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SMD</w:t>
            </w:r>
          </w:p>
        </w:tc>
        <w:tc>
          <w:tcPr>
            <w:tcW w:type="dxa" w:w="2181"/>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0.9382</w:t>
            </w:r>
          </w:p>
        </w:tc>
        <w:tc>
          <w:tcPr>
            <w:tcW w:type="dxa" w:w="2522"/>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0.8280</w:t>
            </w:r>
          </w:p>
        </w:tc>
        <w:tc>
          <w:tcPr>
            <w:tcW w:type="dxa" w:w="2474"/>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0.3852</w:t>
            </w:r>
          </w:p>
        </w:tc>
      </w:tr>
      <w:tr>
        <w:trPr>
          <w:cantSplit/>
        </w:trPr>
        <w:tc>
          <w:tcPr>
            <w:tcW w:type="dxa" w:w="2181"/>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SMAP</w:t>
            </w:r>
          </w:p>
        </w:tc>
        <w:tc>
          <w:tcPr>
            <w:tcW w:type="dxa" w:w="2181"/>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0.8186</w:t>
            </w:r>
          </w:p>
        </w:tc>
        <w:tc>
          <w:tcPr>
            <w:tcW w:type="dxa" w:w="2522"/>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0.7843</w:t>
            </w:r>
          </w:p>
        </w:tc>
        <w:tc>
          <w:tcPr>
            <w:tcW w:type="dxa" w:w="2474"/>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0.7562</w:t>
            </w:r>
          </w:p>
        </w:tc>
      </w:tr>
      <w:tr>
        <w:trPr>
          <w:cantSplit/>
        </w:trPr>
        <w:tc>
          <w:tcPr>
            <w:tcW w:type="dxa" w:w="2181"/>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MSL</w:t>
            </w:r>
          </w:p>
        </w:tc>
        <w:tc>
          <w:tcPr>
            <w:tcW w:type="dxa" w:w="2181"/>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0.9109</w:t>
            </w:r>
          </w:p>
        </w:tc>
        <w:tc>
          <w:tcPr>
            <w:tcW w:type="dxa" w:w="2522"/>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0.8791</w:t>
            </w:r>
          </w:p>
        </w:tc>
        <w:tc>
          <w:tcPr>
            <w:tcW w:type="dxa" w:w="2474"/>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0.8125</w:t>
            </w:r>
          </w:p>
        </w:tc>
      </w:tr>
    </w:tbl>
    <w:p>
      <w:pPr>
        <w:spacing w:after="60" w:before="0" w:line="60" w:lineRule="exact"/>
      </w:pPr>
    </w:p>
    <w:p>
      <w:pPr>
        <w:widowControl/>
        <w:spacing w:before="0" w:after="140" w:line="269" w:lineRule="auto"/>
      </w:pPr>
      <w:r>
        <w:rPr>
          <w:rFonts w:ascii="Georgia" w:hAnsi="Georgia" w:eastAsia="Yu Mincho"/>
          <w:b w:val="0"/>
          <w:sz w:val="24"/>
          <w:lang w:eastAsia="ja-JP"/>
        </w:rPr>
        <w:t>【再計算】3データ平均 F1 の絶対増分は，AE-only に対して約0.05877，すなわち5.88ポイント，adversarial-only に対して約0.23793，すなわち23.79ポイントである。本文の24.09%とは読み取れる図値が少し異なる。図3の AE-only を表2の AE とすべて同一視できない。複数シードの誤差棒がなく，統計的有意差が示されたとはいえない。</w:t>
      </w:r>
    </w:p>
    <w:p>
      <w:bookmarkStart w:id="14" w:name="sec_14"/>
      <w:pPr>
        <w:pStyle w:val="Heading2"/>
        <w:keepNext/>
        <w:spacing w:before="200" w:after="140"/>
        <w:jc w:val="left"/>
      </w:pPr>
      <w:r>
        <w:rPr>
          <w:rFonts w:ascii="Georgia" w:hAnsi="Georgia" w:eastAsia="Yu Mincho"/>
          <w:b w:val="0"/>
          <w:lang w:eastAsia="ja-JP"/>
        </w:rPr>
        <w:t>4.8 学習時間とリアルタイム性</w:t>
      </w:r>
      <w:bookmarkEnd w:id="14"/>
    </w:p>
    <w:p>
      <w:pPr>
        <w:widowControl/>
        <w:spacing w:before="0" w:after="140" w:line="269" w:lineRule="auto"/>
      </w:pPr>
      <w:r>
        <w:rPr>
          <w:rFonts w:ascii="Georgia" w:hAnsi="Georgia" w:eastAsia="Yu Mincho"/>
          <w:b w:val="0"/>
          <w:sz w:val="24"/>
          <w:lang w:eastAsia="ja-JP"/>
        </w:rPr>
        <w:t>【論文 表5】単位は分／epoch。両手法とも GTX 1080 Ti を使用した。</w:t>
      </w:r>
    </w:p>
    <w:tbl>
      <w:tblPr>
        <w:tblStyle w:val="Table1"/>
        <w:tblW w:type="dxa" w:w="9360"/>
        <w:jc w:val="left"/>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340"/>
        <w:gridCol w:w="2340"/>
        <w:gridCol w:w="2340"/>
        <w:gridCol w:w="2340"/>
      </w:tblGrid>
      <w:tr>
        <w:trPr>
          <w:cantSplit/>
          <w:tblHeader/>
        </w:trPr>
        <w:tc>
          <w:tcPr>
            <w:tcW w:type="dxa" w:w="2340"/>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データ</w:t>
            </w:r>
          </w:p>
        </w:tc>
        <w:tc>
          <w:tcPr>
            <w:tcW w:type="dxa" w:w="2340"/>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OmniAnomaly</w:t>
            </w:r>
          </w:p>
        </w:tc>
        <w:tc>
          <w:tcPr>
            <w:tcW w:type="dxa" w:w="2340"/>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USAD</w:t>
            </w:r>
          </w:p>
        </w:tc>
        <w:tc>
          <w:tcPr>
            <w:tcW w:type="dxa" w:w="2340"/>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原文の高速化倍率</w:t>
            </w:r>
          </w:p>
        </w:tc>
      </w:tr>
      <w:tr>
        <w:trPr>
          <w:cantSplit/>
        </w:trPr>
        <w:tc>
          <w:tcPr>
            <w:tcW w:type="dxa" w:w="2340"/>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SWaT</w:t>
            </w:r>
          </w:p>
        </w:tc>
        <w:tc>
          <w:tcPr>
            <w:tcW w:type="dxa" w:w="2340"/>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13</w:t>
            </w:r>
          </w:p>
        </w:tc>
        <w:tc>
          <w:tcPr>
            <w:tcW w:type="dxa" w:w="2340"/>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0.06</w:t>
            </w:r>
          </w:p>
        </w:tc>
        <w:tc>
          <w:tcPr>
            <w:tcW w:type="dxa" w:w="2340"/>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216</w:t>
            </w:r>
          </w:p>
        </w:tc>
      </w:tr>
      <w:tr>
        <w:trPr>
          <w:cantSplit/>
        </w:trPr>
        <w:tc>
          <w:tcPr>
            <w:tcW w:type="dxa" w:w="2340"/>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WADI</w:t>
            </w:r>
          </w:p>
        </w:tc>
        <w:tc>
          <w:tcPr>
            <w:tcW w:type="dxa" w:w="2340"/>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31</w:t>
            </w:r>
          </w:p>
        </w:tc>
        <w:tc>
          <w:tcPr>
            <w:tcW w:type="dxa" w:w="2340"/>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0.12</w:t>
            </w:r>
          </w:p>
        </w:tc>
        <w:tc>
          <w:tcPr>
            <w:tcW w:type="dxa" w:w="2340"/>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258</w:t>
            </w:r>
          </w:p>
        </w:tc>
      </w:tr>
      <w:tr>
        <w:trPr>
          <w:cantSplit/>
        </w:trPr>
        <w:tc>
          <w:tcPr>
            <w:tcW w:type="dxa" w:w="2340"/>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SMD</w:t>
            </w:r>
          </w:p>
        </w:tc>
        <w:tc>
          <w:tcPr>
            <w:tcW w:type="dxa" w:w="2340"/>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87</w:t>
            </w:r>
          </w:p>
        </w:tc>
        <w:tc>
          <w:tcPr>
            <w:tcW w:type="dxa" w:w="2340"/>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0.06</w:t>
            </w:r>
          </w:p>
        </w:tc>
        <w:tc>
          <w:tcPr>
            <w:tcW w:type="dxa" w:w="2340"/>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1331</w:t>
            </w:r>
          </w:p>
        </w:tc>
      </w:tr>
      <w:tr>
        <w:trPr>
          <w:cantSplit/>
        </w:trPr>
        <w:tc>
          <w:tcPr>
            <w:tcW w:type="dxa" w:w="2340"/>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SMAP</w:t>
            </w:r>
          </w:p>
        </w:tc>
        <w:tc>
          <w:tcPr>
            <w:tcW w:type="dxa" w:w="2340"/>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48</w:t>
            </w:r>
          </w:p>
        </w:tc>
        <w:tc>
          <w:tcPr>
            <w:tcW w:type="dxa" w:w="2340"/>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0.08</w:t>
            </w:r>
          </w:p>
        </w:tc>
        <w:tc>
          <w:tcPr>
            <w:tcW w:type="dxa" w:w="2340"/>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581</w:t>
            </w:r>
          </w:p>
        </w:tc>
      </w:tr>
      <w:tr>
        <w:trPr>
          <w:cantSplit/>
        </w:trPr>
        <w:tc>
          <w:tcPr>
            <w:tcW w:type="dxa" w:w="2340"/>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MSL</w:t>
            </w:r>
          </w:p>
        </w:tc>
        <w:tc>
          <w:tcPr>
            <w:tcW w:type="dxa" w:w="2340"/>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11</w:t>
            </w:r>
          </w:p>
        </w:tc>
        <w:tc>
          <w:tcPr>
            <w:tcW w:type="dxa" w:w="2340"/>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0.03</w:t>
            </w:r>
          </w:p>
        </w:tc>
        <w:tc>
          <w:tcPr>
            <w:tcW w:type="dxa" w:w="2340"/>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349</w:t>
            </w:r>
          </w:p>
        </w:tc>
      </w:tr>
    </w:tbl>
    <w:p>
      <w:pPr>
        <w:spacing w:after="60" w:before="0" w:line="60" w:lineRule="exact"/>
      </w:pPr>
    </w:p>
    <w:p>
      <w:pPr>
        <w:widowControl/>
        <w:spacing w:before="0" w:after="140" w:line="269" w:lineRule="auto"/>
      </w:pPr>
      <w:r>
        <w:rPr>
          <w:rFonts w:ascii="Georgia" w:hAnsi="Georgia" w:eastAsia="Yu Mincho"/>
          <w:b w:val="0"/>
          <w:sz w:val="24"/>
          <w:lang w:eastAsia="ja-JP"/>
        </w:rPr>
        <w:t>報告された倍率の平均は547である。表示時間は丸められているため，表の時間同士を割っても倍率と一致しない場合がある。複数エンティティの値は §5.3 の平均の定義に従い，全モデルを学習する総実時間と解釈してはならない。</w:t>
      </w:r>
    </w:p>
    <w:p>
      <w:pPr>
        <w:widowControl/>
        <w:spacing w:before="0" w:after="140" w:line="269" w:lineRule="auto"/>
      </w:pPr>
      <w:r>
        <w:rPr>
          <w:rFonts w:ascii="Georgia" w:hAnsi="Georgia" w:eastAsia="Yu Mincho"/>
          <w:b w:val="0"/>
          <w:sz w:val="24"/>
          <w:lang w:eastAsia="ja-JP"/>
        </w:rPr>
        <w:t>同じ目標品質に到達する総学習費用，オンラインの単一窓遅延分布，最大メモリ量，実測エネルギー消費は記載されていない。オンライン経路は E→D1 と，その後の E→D2 である。固定モデルの順伝播によりオンライン利用は可能だが，ハードリアルタイム保証はない。</w:t>
      </w:r>
    </w:p>
    <w:p>
      <w:bookmarkStart w:id="15" w:name="sec_15"/>
      <w:pPr>
        <w:pStyle w:val="Heading2"/>
        <w:keepNext/>
        <w:spacing w:before="200" w:after="140"/>
        <w:jc w:val="left"/>
      </w:pPr>
      <w:r>
        <w:rPr>
          <w:rFonts w:ascii="Georgia" w:hAnsi="Georgia" w:eastAsia="Yu Mincho"/>
          <w:b w:val="0"/>
          <w:lang w:eastAsia="ja-JP"/>
        </w:rPr>
        <w:t>4.9 正解ラベルがない場合の評価</w:t>
      </w:r>
      <w:bookmarkEnd w:id="15"/>
    </w:p>
    <w:p>
      <w:pPr>
        <w:widowControl/>
        <w:spacing w:before="0" w:after="140" w:line="269" w:lineRule="auto"/>
      </w:pPr>
      <w:r>
        <w:rPr>
          <w:rFonts w:ascii="Georgia" w:hAnsi="Georgia" w:eastAsia="Yu Mincho"/>
          <w:b w:val="0"/>
          <w:sz w:val="24"/>
          <w:lang w:eastAsia="ja-JP"/>
        </w:rPr>
        <w:t>【記載なし】本論文は，正解異常ラベルがない状態で Recall や F1 を信頼して計算する方法を提案していない。真の異常集合が不明なら FN が分からず，スコアのヒストグラムや再構成損失だけから検出率は得られない。</w:t>
      </w:r>
    </w:p>
    <w:p>
      <w:pPr>
        <w:widowControl/>
        <w:spacing w:before="0" w:after="140" w:line="269" w:lineRule="auto"/>
      </w:pPr>
      <w:r>
        <w:rPr>
          <w:rFonts w:ascii="Georgia" w:hAnsi="Georgia" w:eastAsia="Yu Mincho"/>
          <w:b w:val="0"/>
          <w:sz w:val="24"/>
          <w:lang w:eastAsia="ja-JP"/>
        </w:rPr>
        <w:t>【分析】今後は，層別抽出したアラームの人手確認，保守記録，管理された故障注入，信頼できるシミュレーション，正常校正期間のアラーム統計を使い分ける。シミュレーション結果は想定故障に限定され，少数の人手確認には抽出バイアスがあり，アラームが少ないだけでは見逃しが少ないといえない。末端圧力モデルでは，離線評価用の実圧力を保留し，アラームと予測誤差・制御リスクの関連を検証する必要がある。</w:t>
      </w:r>
    </w:p>
    <w:p>
      <w:bookmarkStart w:id="16" w:name="sec_16"/>
      <w:pPr>
        <w:pStyle w:val="Heading1"/>
        <w:keepNext/>
        <w:spacing w:before="300" w:after="140"/>
        <w:jc w:val="left"/>
      </w:pPr>
      <w:r>
        <w:rPr>
          <w:rFonts w:ascii="Georgia" w:hAnsi="Georgia" w:eastAsia="Yu Mincho"/>
          <w:b w:val="0"/>
          <w:lang w:eastAsia="ja-JP"/>
        </w:rPr>
        <w:t>5 評価データセットの詳細</w:t>
      </w:r>
      <w:bookmarkEnd w:id="16"/>
    </w:p>
    <w:p>
      <w:bookmarkStart w:id="17" w:name="sec_17"/>
      <w:pPr>
        <w:pStyle w:val="Heading2"/>
        <w:keepNext/>
        <w:spacing w:before="200" w:after="140"/>
        <w:jc w:val="left"/>
      </w:pPr>
      <w:r>
        <w:rPr>
          <w:rFonts w:ascii="Georgia" w:hAnsi="Georgia" w:eastAsia="Yu Mincho"/>
          <w:b w:val="0"/>
          <w:lang w:eastAsia="ja-JP"/>
        </w:rPr>
        <w:t>5.1 規模と分割の一覧</w:t>
      </w:r>
      <w:bookmarkEnd w:id="17"/>
    </w:p>
    <w:p>
      <w:pPr>
        <w:widowControl/>
        <w:spacing w:before="0" w:after="140" w:line="269" w:lineRule="auto"/>
      </w:pPr>
      <w:r>
        <w:rPr>
          <w:rFonts w:ascii="Georgia" w:hAnsi="Georgia" w:eastAsia="Yu Mincho"/>
          <w:b w:val="0"/>
          <w:sz w:val="24"/>
          <w:lang w:eastAsia="ja-JP"/>
        </w:rPr>
        <w:t>以下の件数は原論文表1の時点数であり，ダウンサンプリング後の窓数ではない。分割比率は件数から計算した。エンティティ数×次元数を一つの巨大入力ベクトルとして扱わない。</w:t>
      </w:r>
    </w:p>
    <w:tbl>
      <w:tblPr>
        <w:tblStyle w:val="Table1"/>
        <w:tblW w:type="dxa" w:w="9360"/>
        <w:jc w:val="left"/>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467"/>
        <w:gridCol w:w="1487"/>
        <w:gridCol w:w="1467"/>
        <w:gridCol w:w="1467"/>
        <w:gridCol w:w="2002"/>
        <w:gridCol w:w="1467"/>
      </w:tblGrid>
      <w:tr>
        <w:trPr>
          <w:cantSplit/>
          <w:tblHeader/>
        </w:trPr>
        <w:tc>
          <w:tcPr>
            <w:tcW w:type="dxa" w:w="1467"/>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データ</w:t>
            </w:r>
          </w:p>
        </w:tc>
        <w:tc>
          <w:tcPr>
            <w:tcW w:type="dxa" w:w="1487"/>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学習時点数</w:t>
            </w:r>
          </w:p>
        </w:tc>
        <w:tc>
          <w:tcPr>
            <w:tcW w:type="dxa" w:w="1467"/>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テスト時点数</w:t>
            </w:r>
          </w:p>
        </w:tc>
        <w:tc>
          <w:tcPr>
            <w:tcW w:type="dxa" w:w="1467"/>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エンティティ数×次元</w:t>
            </w:r>
          </w:p>
        </w:tc>
        <w:tc>
          <w:tcPr>
            <w:tcW w:type="dxa" w:w="2002"/>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学習／テスト</w:t>
            </w:r>
          </w:p>
        </w:tc>
        <w:tc>
          <w:tcPr>
            <w:tcW w:type="dxa" w:w="1467"/>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原文の異常割合</w:t>
            </w:r>
          </w:p>
        </w:tc>
      </w:tr>
      <w:tr>
        <w:trPr>
          <w:cantSplit/>
        </w:trPr>
        <w:tc>
          <w:tcPr>
            <w:tcW w:type="dxa" w:w="1467"/>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SWaT</w:t>
            </w:r>
          </w:p>
        </w:tc>
        <w:tc>
          <w:tcPr>
            <w:tcW w:type="dxa" w:w="1487"/>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496,800</w:t>
            </w:r>
          </w:p>
        </w:tc>
        <w:tc>
          <w:tcPr>
            <w:tcW w:type="dxa" w:w="1467"/>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449,919</w:t>
            </w:r>
          </w:p>
        </w:tc>
        <w:tc>
          <w:tcPr>
            <w:tcW w:type="dxa" w:w="1467"/>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1×51</w:t>
            </w:r>
          </w:p>
        </w:tc>
        <w:tc>
          <w:tcPr>
            <w:tcW w:type="dxa" w:w="2002"/>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52.48%／47.52%</w:t>
            </w:r>
          </w:p>
        </w:tc>
        <w:tc>
          <w:tcPr>
            <w:tcW w:type="dxa" w:w="1467"/>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11.98%</w:t>
            </w:r>
          </w:p>
        </w:tc>
      </w:tr>
      <w:tr>
        <w:trPr>
          <w:cantSplit/>
        </w:trPr>
        <w:tc>
          <w:tcPr>
            <w:tcW w:type="dxa" w:w="1467"/>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WADI</w:t>
            </w:r>
          </w:p>
        </w:tc>
        <w:tc>
          <w:tcPr>
            <w:tcW w:type="dxa" w:w="1487"/>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1,048,571</w:t>
            </w:r>
          </w:p>
        </w:tc>
        <w:tc>
          <w:tcPr>
            <w:tcW w:type="dxa" w:w="1467"/>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172,801</w:t>
            </w:r>
          </w:p>
        </w:tc>
        <w:tc>
          <w:tcPr>
            <w:tcW w:type="dxa" w:w="1467"/>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1×123</w:t>
            </w:r>
          </w:p>
        </w:tc>
        <w:tc>
          <w:tcPr>
            <w:tcW w:type="dxa" w:w="2002"/>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85.85%／14.15%</w:t>
            </w:r>
          </w:p>
        </w:tc>
        <w:tc>
          <w:tcPr>
            <w:tcW w:type="dxa" w:w="1467"/>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5.99%</w:t>
            </w:r>
          </w:p>
        </w:tc>
      </w:tr>
      <w:tr>
        <w:trPr>
          <w:cantSplit/>
        </w:trPr>
        <w:tc>
          <w:tcPr>
            <w:tcW w:type="dxa" w:w="1467"/>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SMD</w:t>
            </w:r>
          </w:p>
        </w:tc>
        <w:tc>
          <w:tcPr>
            <w:tcW w:type="dxa" w:w="1487"/>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708,405</w:t>
            </w:r>
          </w:p>
        </w:tc>
        <w:tc>
          <w:tcPr>
            <w:tcW w:type="dxa" w:w="1467"/>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708,420</w:t>
            </w:r>
          </w:p>
        </w:tc>
        <w:tc>
          <w:tcPr>
            <w:tcW w:type="dxa" w:w="1467"/>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28×38</w:t>
            </w:r>
          </w:p>
        </w:tc>
        <w:tc>
          <w:tcPr>
            <w:tcW w:type="dxa" w:w="2002"/>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約50%／50%</w:t>
            </w:r>
          </w:p>
        </w:tc>
        <w:tc>
          <w:tcPr>
            <w:tcW w:type="dxa" w:w="1467"/>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4.16%</w:t>
            </w:r>
          </w:p>
        </w:tc>
      </w:tr>
      <w:tr>
        <w:trPr>
          <w:cantSplit/>
        </w:trPr>
        <w:tc>
          <w:tcPr>
            <w:tcW w:type="dxa" w:w="1467"/>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SMAP</w:t>
            </w:r>
          </w:p>
        </w:tc>
        <w:tc>
          <w:tcPr>
            <w:tcW w:type="dxa" w:w="1487"/>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135,183</w:t>
            </w:r>
          </w:p>
        </w:tc>
        <w:tc>
          <w:tcPr>
            <w:tcW w:type="dxa" w:w="1467"/>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427,617</w:t>
            </w:r>
          </w:p>
        </w:tc>
        <w:tc>
          <w:tcPr>
            <w:tcW w:type="dxa" w:w="1467"/>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55×25</w:t>
            </w:r>
          </w:p>
        </w:tc>
        <w:tc>
          <w:tcPr>
            <w:tcW w:type="dxa" w:w="2002"/>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24.02%／75.98%</w:t>
            </w:r>
          </w:p>
        </w:tc>
        <w:tc>
          <w:tcPr>
            <w:tcW w:type="dxa" w:w="1467"/>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13.13%</w:t>
            </w:r>
          </w:p>
        </w:tc>
      </w:tr>
      <w:tr>
        <w:trPr>
          <w:cantSplit/>
        </w:trPr>
        <w:tc>
          <w:tcPr>
            <w:tcW w:type="dxa" w:w="1467"/>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MSL</w:t>
            </w:r>
          </w:p>
        </w:tc>
        <w:tc>
          <w:tcPr>
            <w:tcW w:type="dxa" w:w="1487"/>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58,317</w:t>
            </w:r>
          </w:p>
        </w:tc>
        <w:tc>
          <w:tcPr>
            <w:tcW w:type="dxa" w:w="1467"/>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73,729</w:t>
            </w:r>
          </w:p>
        </w:tc>
        <w:tc>
          <w:tcPr>
            <w:tcW w:type="dxa" w:w="1467"/>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27×55</w:t>
            </w:r>
          </w:p>
        </w:tc>
        <w:tc>
          <w:tcPr>
            <w:tcW w:type="dxa" w:w="2002"/>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44.16%／55.84%</w:t>
            </w:r>
          </w:p>
        </w:tc>
        <w:tc>
          <w:tcPr>
            <w:tcW w:type="dxa" w:w="1467"/>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10.72%</w:t>
            </w:r>
          </w:p>
        </w:tc>
      </w:tr>
      <w:tr>
        <w:trPr>
          <w:cantSplit/>
        </w:trPr>
        <w:tc>
          <w:tcPr>
            <w:tcW w:type="dxa" w:w="1467"/>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Orange</w:t>
            </w:r>
          </w:p>
        </w:tc>
        <w:tc>
          <w:tcPr>
            <w:tcW w:type="dxa" w:w="1487"/>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2,781,000</w:t>
            </w:r>
          </w:p>
        </w:tc>
        <w:tc>
          <w:tcPr>
            <w:tcW w:type="dxa" w:w="1467"/>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5,081,000</w:t>
            </w:r>
          </w:p>
        </w:tc>
        <w:tc>
          <w:tcPr>
            <w:tcW w:type="dxa" w:w="1467"/>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1×33</w:t>
            </w:r>
          </w:p>
        </w:tc>
        <w:tc>
          <w:tcPr>
            <w:tcW w:type="dxa" w:w="2002"/>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35.37%／64.63%</w:t>
            </w:r>
          </w:p>
        </w:tc>
        <w:tc>
          <w:tcPr>
            <w:tcW w:type="dxa" w:w="1467"/>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33.72%</w:t>
            </w:r>
          </w:p>
        </w:tc>
      </w:tr>
    </w:tbl>
    <w:p>
      <w:pPr>
        <w:spacing w:after="60" w:before="0" w:line="60" w:lineRule="exact"/>
      </w:pPr>
    </w:p>
    <w:p>
      <w:pPr>
        <w:widowControl/>
        <w:spacing w:before="0" w:after="140" w:line="269" w:lineRule="auto"/>
      </w:pPr>
      <w:r>
        <w:rPr>
          <w:rFonts w:ascii="Georgia" w:hAnsi="Georgia" w:eastAsia="Yu Mincho"/>
          <w:b/>
          <w:sz w:val="24"/>
          <w:lang w:eastAsia="ja-JP"/>
        </w:rPr>
        <w:t>異常割合の単位。</w:t>
      </w:r>
      <w:r>
        <w:rPr>
          <w:rFonts w:ascii="Georgia" w:hAnsi="Georgia" w:eastAsia="Yu Mincho"/>
          <w:b w:val="0"/>
          <w:sz w:val="24"/>
          <w:lang w:eastAsia="ja-JP"/>
        </w:rPr>
        <w:t>異常時点の割合であり，イベントや窓の割合ではない。SMD／SMAP／MSL はテスト部分の割合である。SWaT／WADI／Orange の原表はデータ点割合とだけ記し，分母を個別には明示しないため，表値を保持し，再現時にテストラベルから確認する。学習は正常を仮定し，Orange は主として正常である。これらの割合を学習汚染率としてはならない。</w:t>
      </w:r>
    </w:p>
    <w:p>
      <w:pPr>
        <w:widowControl/>
        <w:spacing w:before="0" w:after="140" w:line="269" w:lineRule="auto"/>
      </w:pPr>
      <w:r>
        <w:rPr>
          <w:rFonts w:ascii="Georgia" w:hAnsi="Georgia" w:eastAsia="Yu Mincho"/>
          <w:b w:val="0"/>
          <w:sz w:val="24"/>
          <w:lang w:eastAsia="ja-JP"/>
        </w:rPr>
        <w:t>合計時点数は順に946,719，1,221,372，1,416,825，562,800，132,046，7,862,000である。圧縮ファイルの容量，保存バイト数，実メモリ使用量は記載なし。本報告では全データを取得しておらず，理論上の浮動小数点容量を実ファイル容量として示さない。</w:t>
      </w:r>
    </w:p>
    <w:p>
      <w:bookmarkStart w:id="18" w:name="sec_18"/>
      <w:pPr>
        <w:pStyle w:val="Heading2"/>
        <w:keepNext/>
        <w:spacing w:before="200" w:after="140"/>
        <w:jc w:val="left"/>
      </w:pPr>
      <w:r>
        <w:rPr>
          <w:rFonts w:ascii="Georgia" w:hAnsi="Georgia" w:eastAsia="Yu Mincho"/>
          <w:b w:val="0"/>
          <w:lang w:eastAsia="ja-JP"/>
        </w:rPr>
        <w:t>5.2 SWaT</w:t>
      </w:r>
      <w:bookmarkEnd w:id="18"/>
    </w:p>
    <w:p>
      <w:pPr>
        <w:widowControl/>
        <w:spacing w:before="0" w:after="140" w:line="269" w:lineRule="auto"/>
      </w:pPr>
      <w:r>
        <w:rPr>
          <w:rFonts w:ascii="Georgia" w:hAnsi="Georgia" w:eastAsia="Yu Mincho"/>
          <w:b/>
          <w:sz w:val="24"/>
          <w:lang w:eastAsia="ja-JP"/>
        </w:rPr>
        <w:t>A 入出力変数。</w:t>
      </w:r>
      <w:r>
        <w:rPr>
          <w:rFonts w:ascii="Georgia" w:hAnsi="Georgia" w:eastAsia="Yu Mincho"/>
          <w:b w:val="0"/>
          <w:sz w:val="24"/>
          <w:lang w:eastAsia="ja-JP"/>
        </w:rPr>
        <w:t>【論文】水処理テストベッドの51個のセンサ・アクチュエータ変数を入力する。物理測定値と制御状態を含むが，原文に全列名・単位はない。USAD は窓の再構成，スコア，異常ラベルを出力し，独立した末端圧力の教師信号を持たない。正常／攻撃ラベルは評価用であり，入力特徴量に含めない。</w:t>
      </w:r>
    </w:p>
    <w:p>
      <w:pPr>
        <w:widowControl/>
        <w:spacing w:before="0" w:after="140" w:line="269" w:lineRule="auto"/>
      </w:pPr>
      <w:r>
        <w:rPr>
          <w:rFonts w:ascii="Georgia" w:hAnsi="Georgia" w:eastAsia="Yu Mincho"/>
          <w:b/>
          <w:sz w:val="24"/>
          <w:lang w:eastAsia="ja-JP"/>
        </w:rPr>
        <w:t>B データ量。</w:t>
      </w:r>
      <w:r>
        <w:rPr>
          <w:rFonts w:ascii="Georgia" w:hAnsi="Georgia" w:eastAsia="Yu Mincho"/>
          <w:b w:val="0"/>
          <w:sz w:val="24"/>
          <w:lang w:eastAsia="ja-JP"/>
        </w:rPr>
        <w:t>学習496,800点，テスト449,919点，51次元。正常運転7日と攻撃シナリオ4日と説明されるが，1秒ごとの7日＋4日として単純換算した件数とは一致しない。切り出しと版を確認する必要がある。</w:t>
      </w:r>
    </w:p>
    <w:p>
      <w:pPr>
        <w:widowControl/>
        <w:spacing w:before="0" w:after="140" w:line="269" w:lineRule="auto"/>
      </w:pPr>
      <w:r>
        <w:rPr>
          <w:rFonts w:ascii="Georgia" w:hAnsi="Georgia" w:eastAsia="Yu Mincho"/>
          <w:b/>
          <w:sz w:val="24"/>
          <w:lang w:eastAsia="ja-JP"/>
        </w:rPr>
        <w:t>C 正解ラベル。</w:t>
      </w:r>
      <w:r>
        <w:rPr>
          <w:rFonts w:ascii="Georgia" w:hAnsi="Georgia" w:eastAsia="Yu Mincho"/>
          <w:b w:val="0"/>
          <w:sz w:val="24"/>
          <w:lang w:eastAsia="ja-JP"/>
        </w:rPr>
        <w:t>【外部確認】</w:t>
      </w:r>
      <w:hyperlink r:id="rId12">
        <w:r>
          <w:rPr>
            <w:rFonts w:ascii="Georgia" w:hAnsi="Georgia" w:eastAsia="Yu Mincho"/>
            <w:color w:val="167039"/>
            <w:sz w:val="24"/>
            <w:u w:val="single"/>
            <w:lang w:eastAsia="ja-JP"/>
          </w:rPr>
          <w:t>iTrust の SWaT 説明</w:t>
        </w:r>
      </w:hyperlink>
      <w:r>
        <w:rPr>
          <w:rFonts w:ascii="Georgia" w:hAnsi="Georgia" w:eastAsia="Yu Mincho"/>
          <w:b w:val="0"/>
          <w:sz w:val="24"/>
          <w:lang w:eastAsia="ja-JP"/>
        </w:rPr>
        <w:t>は，2015年版の正常／異常行動ラベルと41回の攻撃を記録する。これは攻撃シナリオのラベルであり，対象 AI の学習カバレッジではない。攻撃開始，物理的影響の発現，監視で観測可能になる時刻は異なり得る。</w:t>
      </w:r>
    </w:p>
    <w:p>
      <w:pPr>
        <w:widowControl/>
        <w:spacing w:before="0" w:after="140" w:line="269" w:lineRule="auto"/>
      </w:pPr>
      <w:r>
        <w:rPr>
          <w:rFonts w:ascii="Georgia" w:hAnsi="Georgia" w:eastAsia="Yu Mincho"/>
          <w:b/>
          <w:sz w:val="24"/>
          <w:lang w:eastAsia="ja-JP"/>
        </w:rPr>
        <w:t>D 公開と利用条件。</w:t>
      </w:r>
      <w:r>
        <w:rPr>
          <w:rFonts w:ascii="Georgia" w:hAnsi="Georgia" w:eastAsia="Yu Mincho"/>
          <w:b w:val="0"/>
          <w:sz w:val="24"/>
          <w:lang w:eastAsia="ja-JP"/>
        </w:rPr>
        <w:t>公開申請により取得できるが，自由な再配布ではない。</w:t>
      </w:r>
      <w:hyperlink r:id="rId13">
        <w:r>
          <w:rPr>
            <w:rFonts w:ascii="Georgia" w:hAnsi="Georgia" w:eastAsia="Yu Mincho"/>
            <w:color w:val="167039"/>
            <w:sz w:val="24"/>
            <w:u w:val="single"/>
            <w:lang w:eastAsia="ja-JP"/>
          </w:rPr>
          <w:t>申請フォーム</w:t>
        </w:r>
      </w:hyperlink>
      <w:r>
        <w:rPr>
          <w:rFonts w:ascii="Georgia" w:hAnsi="Georgia" w:eastAsia="Yu Mincho"/>
          <w:b w:val="0"/>
          <w:sz w:val="24"/>
          <w:lang w:eastAsia="ja-JP"/>
        </w:rPr>
        <w:t>で氏名，機関名，機関メール等を記入し，条件に同意する。個人メールは受け付けないと記載される。謝辞，公表後の通知，再配布禁止等は5.9節にまとめる。本報告では申請を代行していない。</w:t>
      </w:r>
    </w:p>
    <w:p>
      <w:pPr>
        <w:widowControl/>
        <w:spacing w:before="0" w:after="140" w:line="269" w:lineRule="auto"/>
      </w:pPr>
      <w:r>
        <w:rPr>
          <w:rFonts w:ascii="Georgia" w:hAnsi="Georgia" w:eastAsia="Yu Mincho"/>
          <w:b/>
          <w:sz w:val="24"/>
          <w:lang w:eastAsia="ja-JP"/>
        </w:rPr>
        <w:t>E 分類。</w:t>
      </w:r>
      <w:r>
        <w:rPr>
          <w:rFonts w:ascii="Georgia" w:hAnsi="Georgia" w:eastAsia="Yu Mincho"/>
          <w:b w:val="0"/>
          <w:sz w:val="24"/>
          <w:lang w:eastAsia="ja-JP"/>
        </w:rPr>
        <w:t>提供者は正常行動と攻撃シナリオで整理し，攻撃説明を付す。本研究の①②③で作られたデータではない。①範囲・分布外と③関係逸脱は存在し得るが，各攻撃のデータを確認して分類する必要がある。②学習不足の専用ラベルはない。長く続く攻撃だからといって Collective とは限らず，各点自体が異常なら持続的な Point 異常とも考えられる。組合せや系列全体で初めて異常となる場合に Collective が適切である。USAD の分類別成績はない。</w:t>
      </w:r>
    </w:p>
    <w:p>
      <w:pPr>
        <w:widowControl/>
        <w:spacing w:before="0" w:after="140" w:line="269" w:lineRule="auto"/>
      </w:pPr>
      <w:r>
        <w:rPr>
          <w:rFonts w:ascii="Georgia" w:hAnsi="Georgia" w:eastAsia="Yu Mincho"/>
          <w:b/>
          <w:sz w:val="24"/>
          <w:lang w:eastAsia="ja-JP"/>
        </w:rPr>
        <w:t>F 時間特性。</w:t>
      </w:r>
      <w:r>
        <w:rPr>
          <w:rFonts w:ascii="Georgia" w:hAnsi="Georgia" w:eastAsia="Yu Mincho"/>
          <w:b w:val="0"/>
          <w:sz w:val="24"/>
          <w:lang w:eastAsia="ja-JP"/>
        </w:rPr>
        <w:t>§5.2図2は SWaT のダウンサンプリングを秒で表示する。元の粒度を1秒，5点の中央値集約と解釈すると，K=12 は約60秒分に相当する。付録と組み合わせた換算であり，対象ファイルの時刻とテスト前処理を確認する必要がある。毎回複数時点の全変数を入力する。提供元は開始時の排水期間を除く版の違いを説明しており，版の効果と手法の効果を混同しない。</w:t>
      </w:r>
    </w:p>
    <w:p>
      <w:pPr>
        <w:widowControl/>
        <w:spacing w:before="0" w:after="140" w:line="269" w:lineRule="auto"/>
      </w:pPr>
      <w:r>
        <w:rPr>
          <w:rFonts w:ascii="Georgia" w:hAnsi="Georgia" w:eastAsia="Yu Mincho"/>
          <w:b/>
          <w:sz w:val="24"/>
          <w:lang w:eastAsia="ja-JP"/>
        </w:rPr>
        <w:t>G 分割。</w:t>
      </w:r>
      <w:r>
        <w:rPr>
          <w:rFonts w:ascii="Georgia" w:hAnsi="Georgia" w:eastAsia="Yu Mincho"/>
          <w:b w:val="0"/>
          <w:sz w:val="24"/>
          <w:lang w:eastAsia="ja-JP"/>
        </w:rPr>
        <w:t>正常期間で学習し，攻撃を含む期間でテストする。テストには正常点と異常点が共存し，イベントの時間順を保持する。無作為な8対2分割ではない。使用ファイルの版，冒頭の除外，境界処理の全詳細は原文にない。公式申請後に対応する過去版を取得する。</w:t>
      </w:r>
    </w:p>
    <w:p>
      <w:bookmarkStart w:id="19" w:name="sec_19"/>
      <w:pPr>
        <w:pStyle w:val="Heading2"/>
        <w:keepNext/>
        <w:spacing w:before="200" w:after="140"/>
        <w:jc w:val="left"/>
      </w:pPr>
      <w:r>
        <w:rPr>
          <w:rFonts w:ascii="Georgia" w:hAnsi="Georgia" w:eastAsia="Yu Mincho"/>
          <w:b w:val="0"/>
          <w:lang w:eastAsia="ja-JP"/>
        </w:rPr>
        <w:t>5.3 WADI</w:t>
      </w:r>
      <w:bookmarkEnd w:id="19"/>
    </w:p>
    <w:p>
      <w:pPr>
        <w:widowControl/>
        <w:spacing w:before="0" w:after="140" w:line="269" w:lineRule="auto"/>
      </w:pPr>
      <w:r>
        <w:rPr>
          <w:rFonts w:ascii="Georgia" w:hAnsi="Georgia" w:eastAsia="Yu Mincho"/>
          <w:b/>
          <w:sz w:val="24"/>
          <w:lang w:eastAsia="ja-JP"/>
        </w:rPr>
        <w:t>A 入出力変数。</w:t>
      </w:r>
      <w:r>
        <w:rPr>
          <w:rFonts w:ascii="Georgia" w:hAnsi="Georgia" w:eastAsia="Yu Mincho"/>
          <w:b w:val="0"/>
          <w:sz w:val="24"/>
          <w:lang w:eastAsia="ja-JP"/>
        </w:rPr>
        <w:t>配水テストベッドの123個のセンサ・アクチュエータ変数を使う。水システムの状態を含むが，全列名と単位は記載なし。出力は再構成，スコア，異常判定であり，圧力回帰の教師信号を目的としない。</w:t>
      </w:r>
    </w:p>
    <w:p>
      <w:pPr>
        <w:widowControl/>
        <w:spacing w:before="0" w:after="140" w:line="269" w:lineRule="auto"/>
      </w:pPr>
      <w:r>
        <w:rPr>
          <w:rFonts w:ascii="Georgia" w:hAnsi="Georgia" w:eastAsia="Yu Mincho"/>
          <w:b/>
          <w:sz w:val="24"/>
          <w:lang w:eastAsia="ja-JP"/>
        </w:rPr>
        <w:t>B データ量。</w:t>
      </w:r>
      <w:r>
        <w:rPr>
          <w:rFonts w:ascii="Georgia" w:hAnsi="Georgia" w:eastAsia="Yu Mincho"/>
          <w:b w:val="0"/>
          <w:sz w:val="24"/>
          <w:lang w:eastAsia="ja-JP"/>
        </w:rPr>
        <w:t>学習1,048,571点，テスト172,801点。正常14日，攻撃2日と記載される。学習件数は14×86,400に一致せず，差の全理由は説明されていない。</w:t>
      </w:r>
    </w:p>
    <w:p>
      <w:pPr>
        <w:widowControl/>
        <w:spacing w:before="0" w:after="140" w:line="269" w:lineRule="auto"/>
      </w:pPr>
      <w:r>
        <w:rPr>
          <w:rFonts w:ascii="Georgia" w:hAnsi="Georgia" w:eastAsia="Yu Mincho"/>
          <w:b/>
          <w:sz w:val="24"/>
          <w:lang w:eastAsia="ja-JP"/>
        </w:rPr>
        <w:t>C ラベル。</w:t>
      </w:r>
      <w:r>
        <w:rPr>
          <w:rFonts w:ascii="Georgia" w:hAnsi="Georgia" w:eastAsia="Yu Mincho"/>
          <w:b w:val="0"/>
          <w:sz w:val="24"/>
          <w:lang w:eastAsia="ja-JP"/>
        </w:rPr>
        <w:t>攻撃シナリオが異常の正解を与える。【外部確認】</w:t>
      </w:r>
      <w:hyperlink r:id="rId14">
        <w:r>
          <w:rPr>
            <w:rFonts w:ascii="Georgia" w:hAnsi="Georgia" w:eastAsia="Yu Mincho"/>
            <w:color w:val="167039"/>
            <w:sz w:val="24"/>
            <w:u w:val="single"/>
            <w:lang w:eastAsia="ja-JP"/>
          </w:rPr>
          <w:t>iTrust WADI 説明</w:t>
        </w:r>
      </w:hyperlink>
      <w:r>
        <w:rPr>
          <w:rFonts w:ascii="Georgia" w:hAnsi="Georgia" w:eastAsia="Yu Mincho"/>
          <w:b w:val="0"/>
          <w:sz w:val="24"/>
          <w:lang w:eastAsia="ja-JP"/>
        </w:rPr>
        <w:t>では15回の攻撃を記載する。2019年12月の更新版は不安定期間を除去し，攻撃=-1，正常=1のラベルファイルと修正された攻撃日付を提供する。異常1・正常0へ変換する際に極性を逆転させない。本論文の使用版は明示されていない。</w:t>
      </w:r>
    </w:p>
    <w:p>
      <w:pPr>
        <w:widowControl/>
        <w:spacing w:before="0" w:after="140" w:line="269" w:lineRule="auto"/>
      </w:pPr>
      <w:r>
        <w:rPr>
          <w:rFonts w:ascii="Georgia" w:hAnsi="Georgia" w:eastAsia="Yu Mincho"/>
          <w:b/>
          <w:sz w:val="24"/>
          <w:lang w:eastAsia="ja-JP"/>
        </w:rPr>
        <w:t>D 取得と条件。</w:t>
      </w:r>
      <w:r>
        <w:rPr>
          <w:rFonts w:ascii="Georgia" w:hAnsi="Georgia" w:eastAsia="Yu Mincho"/>
          <w:b w:val="0"/>
          <w:sz w:val="24"/>
          <w:lang w:eastAsia="ja-JP"/>
        </w:rPr>
        <w:t>SWaT と同様，公式申請で取得し iTrust の条件に従う。USAD のソフトウェアライセンスで覆われるものではない。</w:t>
      </w:r>
    </w:p>
    <w:p>
      <w:pPr>
        <w:widowControl/>
        <w:spacing w:before="0" w:after="140" w:line="269" w:lineRule="auto"/>
      </w:pPr>
      <w:r>
        <w:rPr>
          <w:rFonts w:ascii="Georgia" w:hAnsi="Georgia" w:eastAsia="Yu Mincho"/>
          <w:b/>
          <w:sz w:val="24"/>
          <w:lang w:eastAsia="ja-JP"/>
        </w:rPr>
        <w:t>E 分類。</w:t>
      </w:r>
      <w:r>
        <w:rPr>
          <w:rFonts w:ascii="Georgia" w:hAnsi="Georgia" w:eastAsia="Yu Mincho"/>
          <w:b w:val="0"/>
          <w:sz w:val="24"/>
          <w:lang w:eastAsia="ja-JP"/>
        </w:rPr>
        <w:t>運転／攻撃シナリオ別であり，①②③の専用正解はない。範囲，変数関係，動的変化が混在し得る。学習不足領域は専用評価されていない。原文が異常の長い持続時間を強調することは point-adjust の影響を説明するが，全データを Collective に一意分類する根拠ではない。</w:t>
      </w:r>
    </w:p>
    <w:p>
      <w:pPr>
        <w:widowControl/>
        <w:spacing w:before="0" w:after="140" w:line="269" w:lineRule="auto"/>
      </w:pPr>
      <w:r>
        <w:rPr>
          <w:rFonts w:ascii="Georgia" w:hAnsi="Georgia" w:eastAsia="Yu Mincho"/>
          <w:b/>
          <w:sz w:val="24"/>
          <w:lang w:eastAsia="ja-JP"/>
        </w:rPr>
        <w:t>F 時間特性。</w:t>
      </w:r>
      <w:r>
        <w:rPr>
          <w:rFonts w:ascii="Georgia" w:hAnsi="Georgia" w:eastAsia="Yu Mincho"/>
          <w:b w:val="0"/>
          <w:sz w:val="24"/>
          <w:lang w:eastAsia="ja-JP"/>
        </w:rPr>
        <w:t>原文は元の周期を明示しない。172,801点が2日分の秒数に近いことは算術的手掛かりであり，確定したメタデータではない。1秒周期かつ学習・テストとも5倍集約と確認できれば，K=10 は約50秒分である。テストに集約しない場合は異なる。開始終了日時と欠測期間は取得版で確認する。</w:t>
      </w:r>
    </w:p>
    <w:p>
      <w:pPr>
        <w:widowControl/>
        <w:spacing w:before="0" w:after="140" w:line="269" w:lineRule="auto"/>
      </w:pPr>
      <w:r>
        <w:rPr>
          <w:rFonts w:ascii="Georgia" w:hAnsi="Georgia" w:eastAsia="Yu Mincho"/>
          <w:b/>
          <w:sz w:val="24"/>
          <w:lang w:eastAsia="ja-JP"/>
        </w:rPr>
        <w:t>G 分割。</w:t>
      </w:r>
      <w:r>
        <w:rPr>
          <w:rFonts w:ascii="Georgia" w:hAnsi="Georgia" w:eastAsia="Yu Mincho"/>
          <w:b w:val="0"/>
          <w:sz w:val="24"/>
          <w:lang w:eastAsia="ja-JP"/>
        </w:rPr>
        <w:t>正常期間を学習，攻撃を含む期間をテストとし，比率は約85.85対14.15。異常はイベントの実時間に沿って配置され，5.99%を一様に人工注入したわけではない。更新によって件数と境界が変わるため，ファイル版とチェックサムを記録する。</w:t>
      </w:r>
    </w:p>
    <w:p>
      <w:bookmarkStart w:id="20" w:name="sec_20"/>
      <w:pPr>
        <w:pStyle w:val="Heading2"/>
        <w:keepNext/>
        <w:spacing w:before="200" w:after="140"/>
        <w:jc w:val="left"/>
      </w:pPr>
      <w:r>
        <w:rPr>
          <w:rFonts w:ascii="Georgia" w:hAnsi="Georgia" w:eastAsia="Yu Mincho"/>
          <w:b w:val="0"/>
          <w:lang w:eastAsia="ja-JP"/>
        </w:rPr>
        <w:t>5.4 SMD</w:t>
      </w:r>
      <w:bookmarkEnd w:id="20"/>
    </w:p>
    <w:p>
      <w:pPr>
        <w:widowControl/>
        <w:spacing w:before="0" w:after="140" w:line="269" w:lineRule="auto"/>
      </w:pPr>
      <w:r>
        <w:rPr>
          <w:rFonts w:ascii="Georgia" w:hAnsi="Georgia" w:eastAsia="Yu Mincho"/>
          <w:b/>
          <w:sz w:val="24"/>
          <w:lang w:eastAsia="ja-JP"/>
        </w:rPr>
        <w:t>A 入出力変数。</w:t>
      </w:r>
      <w:r>
        <w:rPr>
          <w:rFonts w:ascii="Georgia" w:hAnsi="Georgia" w:eastAsia="Yu Mincho"/>
          <w:b w:val="0"/>
          <w:sz w:val="24"/>
          <w:lang w:eastAsia="ja-JP"/>
        </w:rPr>
        <w:t>28台のサーバの監視数値系列で，各エンティティ38次元。全指標の意味は USAD に記載なし。§4.1 は33次元とするが表1は38である。【外部確認】</w:t>
      </w:r>
      <w:hyperlink r:id="rId15">
        <w:r>
          <w:rPr>
            <w:rFonts w:ascii="Georgia" w:hAnsi="Georgia" w:eastAsia="Yu Mincho"/>
            <w:color w:val="167039"/>
            <w:sz w:val="24"/>
            <w:u w:val="single"/>
            <w:lang w:eastAsia="ja-JP"/>
          </w:rPr>
          <w:t>提供者の OmniAnomaly リポジトリ</w:t>
        </w:r>
      </w:hyperlink>
      <w:r>
        <w:rPr>
          <w:rFonts w:ascii="Georgia" w:hAnsi="Georgia" w:eastAsia="Yu Mincho"/>
          <w:b w:val="0"/>
          <w:sz w:val="24"/>
          <w:lang w:eastAsia="ja-JP"/>
        </w:rPr>
        <w:t>も38次元を示すため，本報告は38を用いて不一致を記録する。全入力を再構成し，独立した業務目標を予測しない。</w:t>
      </w:r>
    </w:p>
    <w:p>
      <w:pPr>
        <w:widowControl/>
        <w:spacing w:before="0" w:after="140" w:line="269" w:lineRule="auto"/>
      </w:pPr>
      <w:r>
        <w:rPr>
          <w:rFonts w:ascii="Georgia" w:hAnsi="Georgia" w:eastAsia="Yu Mincho"/>
          <w:b/>
          <w:sz w:val="24"/>
          <w:lang w:eastAsia="ja-JP"/>
        </w:rPr>
        <w:t>B データ量。</w:t>
      </w:r>
      <w:r>
        <w:rPr>
          <w:rFonts w:ascii="Georgia" w:hAnsi="Georgia" w:eastAsia="Yu Mincho"/>
          <w:b w:val="0"/>
          <w:sz w:val="24"/>
          <w:lang w:eastAsia="ja-JP"/>
        </w:rPr>
        <w:t>全エンティティ合計で学習708,405点，テスト708,420点，約5週間。複数サーバの件数合計を1台の継続時間と解釈しない。</w:t>
      </w:r>
    </w:p>
    <w:p>
      <w:pPr>
        <w:widowControl/>
        <w:spacing w:before="0" w:after="140" w:line="269" w:lineRule="auto"/>
      </w:pPr>
      <w:r>
        <w:rPr>
          <w:rFonts w:ascii="Georgia" w:hAnsi="Georgia" w:eastAsia="Yu Mincho"/>
          <w:b/>
          <w:sz w:val="24"/>
          <w:lang w:eastAsia="ja-JP"/>
        </w:rPr>
        <w:t>C ラベル。</w:t>
      </w:r>
      <w:r>
        <w:rPr>
          <w:rFonts w:ascii="Georgia" w:hAnsi="Georgia" w:eastAsia="Yu Mincho"/>
          <w:b w:val="0"/>
          <w:sz w:val="24"/>
          <w:lang w:eastAsia="ja-JP"/>
        </w:rPr>
        <w:t>テスト逐点異常ラベルと，異常に関与する次元の interpretation_label がある。USAD は元の作成手順や判定者間一致を詳述しない。対象 AI の予測誤差ラベルではない。</w:t>
      </w:r>
    </w:p>
    <w:p>
      <w:pPr>
        <w:widowControl/>
        <w:spacing w:before="0" w:after="140" w:line="269" w:lineRule="auto"/>
      </w:pPr>
      <w:r>
        <w:rPr>
          <w:rFonts w:ascii="Georgia" w:hAnsi="Georgia" w:eastAsia="Yu Mincho"/>
          <w:b/>
          <w:sz w:val="24"/>
          <w:lang w:eastAsia="ja-JP"/>
        </w:rPr>
        <w:t>D 取得とライセンス。</w:t>
      </w:r>
      <w:r>
        <w:rPr>
          <w:rFonts w:ascii="Georgia" w:hAnsi="Georgia" w:eastAsia="Yu Mincho"/>
          <w:b w:val="0"/>
          <w:sz w:val="24"/>
          <w:lang w:eastAsia="ja-JP"/>
        </w:rPr>
        <w:t>ServerMachineDataset 内に train，test，test_label，interpretation_label があり，公開リポジトリから取得できる。リポジトリは MIT と表示するが，独立したデータ専用条件は今回確認できていない。ソフトウェア条件を全第三者データへ無条件に適用しない。</w:t>
      </w:r>
    </w:p>
    <w:p>
      <w:pPr>
        <w:widowControl/>
        <w:spacing w:before="0" w:after="140" w:line="269" w:lineRule="auto"/>
      </w:pPr>
      <w:r>
        <w:rPr>
          <w:rFonts w:ascii="Georgia" w:hAnsi="Georgia" w:eastAsia="Yu Mincho"/>
          <w:b/>
          <w:sz w:val="24"/>
          <w:lang w:eastAsia="ja-JP"/>
        </w:rPr>
        <w:t>E 分類。</w:t>
      </w:r>
      <w:r>
        <w:rPr>
          <w:rFonts w:ascii="Georgia" w:hAnsi="Georgia" w:eastAsia="Yu Mincho"/>
          <w:b w:val="0"/>
          <w:sz w:val="24"/>
          <w:lang w:eastAsia="ja-JP"/>
        </w:rPr>
        <w:t>提供者は3グループのエンティティに整理し，関与次元を付す。これは Point／Contextual／Collective とは別の軸である。①②③の専用ラベルや本論文の分類別検出率はない。③の研究対象として価値があるが，管理された追加評価が必要である。</w:t>
      </w:r>
    </w:p>
    <w:p>
      <w:pPr>
        <w:widowControl/>
        <w:spacing w:before="0" w:after="140" w:line="269" w:lineRule="auto"/>
      </w:pPr>
      <w:r>
        <w:rPr>
          <w:rFonts w:ascii="Georgia" w:hAnsi="Georgia" w:eastAsia="Yu Mincho"/>
          <w:b/>
          <w:sz w:val="24"/>
          <w:lang w:eastAsia="ja-JP"/>
        </w:rPr>
        <w:t>F 時間特性。</w:t>
      </w:r>
      <w:r>
        <w:rPr>
          <w:rFonts w:ascii="Georgia" w:hAnsi="Georgia" w:eastAsia="Yu Mincho"/>
          <w:b w:val="0"/>
          <w:sz w:val="24"/>
          <w:lang w:eastAsia="ja-JP"/>
        </w:rPr>
        <w:t>約5週間と記載されるが，周期と日付は本論文に明記されない。K=5，ダウンサンプリング率5は元の25サンプル間隔分のブロックを意味するが，確認なしに25秒または25分へ換算できない。各窓は複数時点を保持する。</w:t>
      </w:r>
    </w:p>
    <w:p>
      <w:pPr>
        <w:widowControl/>
        <w:spacing w:before="0" w:after="140" w:line="269" w:lineRule="auto"/>
      </w:pPr>
      <w:r>
        <w:rPr>
          <w:rFonts w:ascii="Georgia" w:hAnsi="Georgia" w:eastAsia="Yu Mincho"/>
          <w:b/>
          <w:sz w:val="24"/>
          <w:lang w:eastAsia="ja-JP"/>
        </w:rPr>
        <w:t>G 分割。</w:t>
      </w:r>
      <w:r>
        <w:rPr>
          <w:rFonts w:ascii="Georgia" w:hAnsi="Georgia" w:eastAsia="Yu Mincho"/>
          <w:b w:val="0"/>
          <w:sz w:val="24"/>
          <w:lang w:eastAsia="ja-JP"/>
        </w:rPr>
        <w:t>各エンティティの前半を学習，後半をテストに用い，別々に学習・評価する。ある機械の末尾と別機械の先頭を窓として連結しない。テスト異常割合は4.16%。元の分割を用い，検証集合の取り方も明記する。</w:t>
      </w:r>
    </w:p>
    <w:p>
      <w:bookmarkStart w:id="21" w:name="sec_21"/>
      <w:pPr>
        <w:pStyle w:val="Heading2"/>
        <w:keepNext/>
        <w:spacing w:before="200" w:after="140"/>
        <w:jc w:val="left"/>
      </w:pPr>
      <w:r>
        <w:rPr>
          <w:rFonts w:ascii="Georgia" w:hAnsi="Georgia" w:eastAsia="Yu Mincho"/>
          <w:b w:val="0"/>
          <w:lang w:eastAsia="ja-JP"/>
        </w:rPr>
        <w:t>5.5 SMAP</w:t>
      </w:r>
      <w:bookmarkEnd w:id="21"/>
    </w:p>
    <w:p>
      <w:pPr>
        <w:widowControl/>
        <w:spacing w:before="0" w:after="140" w:line="269" w:lineRule="auto"/>
      </w:pPr>
      <w:r>
        <w:rPr>
          <w:rFonts w:ascii="Georgia" w:hAnsi="Georgia" w:eastAsia="Yu Mincho"/>
          <w:b/>
          <w:sz w:val="24"/>
          <w:lang w:eastAsia="ja-JP"/>
        </w:rPr>
        <w:t>A 入出力変数。</w:t>
      </w:r>
      <w:r>
        <w:rPr>
          <w:rFonts w:ascii="Georgia" w:hAnsi="Georgia" w:eastAsia="Yu Mincho"/>
          <w:b w:val="0"/>
          <w:sz w:val="24"/>
          <w:lang w:eastAsia="ja-JP"/>
        </w:rPr>
        <w:t>55個の匿名チャネル／エンティティで，各入力25次元。1時点に55×25の異なるセンサを一括入力するという意味ではない。【外部確認】</w:t>
      </w:r>
      <w:hyperlink r:id="rId16">
        <w:r>
          <w:rPr>
            <w:rFonts w:ascii="Georgia" w:hAnsi="Georgia" w:eastAsia="Yu Mincho"/>
            <w:color w:val="167039"/>
            <w:sz w:val="24"/>
            <w:u w:val="single"/>
            <w:lang w:eastAsia="ja-JP"/>
          </w:rPr>
          <w:t>Telemanom の説明</w:t>
        </w:r>
      </w:hyperlink>
      <w:r>
        <w:rPr>
          <w:rFonts w:ascii="Georgia" w:hAnsi="Georgia" w:eastAsia="Yu Mincho"/>
          <w:b w:val="0"/>
          <w:sz w:val="24"/>
          <w:lang w:eastAsia="ja-JP"/>
        </w:rPr>
        <w:t>によれば，遥測値と one-hot コマンド情報を含み，25個の同種連続物理量ではない。原 Telemanom は遥測予測を行うが，USAD は窓全体を再構成対象とする。</w:t>
      </w:r>
    </w:p>
    <w:p>
      <w:pPr>
        <w:widowControl/>
        <w:spacing w:before="0" w:after="140" w:line="269" w:lineRule="auto"/>
      </w:pPr>
      <w:r>
        <w:rPr>
          <w:rFonts w:ascii="Georgia" w:hAnsi="Georgia" w:eastAsia="Yu Mincho"/>
          <w:b/>
          <w:sz w:val="24"/>
          <w:lang w:eastAsia="ja-JP"/>
        </w:rPr>
        <w:t>B データ量。</w:t>
      </w:r>
      <w:r>
        <w:rPr>
          <w:rFonts w:ascii="Georgia" w:hAnsi="Georgia" w:eastAsia="Yu Mincho"/>
          <w:b w:val="0"/>
          <w:sz w:val="24"/>
          <w:lang w:eastAsia="ja-JP"/>
        </w:rPr>
        <w:t>本論文は学習135,183点，テスト427,617点である。この版の値を保持し，Telemanom の別の評価統計に置き換えない。</w:t>
      </w:r>
    </w:p>
    <w:p>
      <w:pPr>
        <w:widowControl/>
        <w:spacing w:before="0" w:after="140" w:line="269" w:lineRule="auto"/>
      </w:pPr>
      <w:r>
        <w:rPr>
          <w:rFonts w:ascii="Georgia" w:hAnsi="Georgia" w:eastAsia="Yu Mincho"/>
          <w:b/>
          <w:sz w:val="24"/>
          <w:lang w:eastAsia="ja-JP"/>
        </w:rPr>
        <w:t>C ラベル。</w:t>
      </w:r>
      <w:r>
        <w:rPr>
          <w:rFonts w:ascii="Georgia" w:hAnsi="Georgia" w:eastAsia="Yu Mincho"/>
          <w:b w:val="0"/>
          <w:sz w:val="24"/>
          <w:lang w:eastAsia="ja-JP"/>
        </w:rPr>
        <w:t>NASA の専門家が異常区間を付与する。</w:t>
      </w:r>
      <w:hyperlink r:id="rId17">
        <w:r>
          <w:rPr>
            <w:rFonts w:ascii="Georgia" w:hAnsi="Georgia" w:eastAsia="Yu Mincho"/>
            <w:color w:val="167039"/>
            <w:sz w:val="24"/>
            <w:u w:val="single"/>
            <w:lang w:eastAsia="ja-JP"/>
          </w:rPr>
          <w:t>labeled_anomalies.csv</w:t>
        </w:r>
      </w:hyperlink>
      <w:r>
        <w:rPr>
          <w:rFonts w:ascii="Georgia" w:hAnsi="Georgia" w:eastAsia="Yu Mincho"/>
          <w:b w:val="0"/>
          <w:sz w:val="24"/>
          <w:lang w:eastAsia="ja-JP"/>
        </w:rPr>
        <w:t>にチャネル，宇宙機，開始終了インデックス，class，長さがある。遥測異常のラベルであり，制御システムの確実な故障や対象 AI の不信頼を意味しない。</w:t>
      </w:r>
    </w:p>
    <w:p>
      <w:pPr>
        <w:widowControl/>
        <w:spacing w:before="0" w:after="140" w:line="269" w:lineRule="auto"/>
      </w:pPr>
      <w:r>
        <w:rPr>
          <w:rFonts w:ascii="Georgia" w:hAnsi="Georgia" w:eastAsia="Yu Mincho"/>
          <w:b/>
          <w:sz w:val="24"/>
          <w:lang w:eastAsia="ja-JP"/>
        </w:rPr>
        <w:t>D 取得と条件。</w:t>
      </w:r>
      <w:r>
        <w:rPr>
          <w:rFonts w:ascii="Georgia" w:hAnsi="Georgia" w:eastAsia="Yu Mincho"/>
          <w:b w:val="0"/>
          <w:sz w:val="24"/>
          <w:lang w:eastAsia="ja-JP"/>
        </w:rPr>
        <w:t>公開データであり，現在の提供者 README は Kaggle の nasa-anomaly-detection-dataset-smap-msl を取得先に指定し，ラベルは元リポジトリにある。入口の利用条件に従う必要があり，本報告では圧縮データ全体のダウンロードを確認していない。README と LICENSE.txt の不一致は5.9節を参照する。</w:t>
      </w:r>
    </w:p>
    <w:p>
      <w:pPr>
        <w:widowControl/>
        <w:spacing w:before="0" w:after="140" w:line="269" w:lineRule="auto"/>
      </w:pPr>
      <w:r>
        <w:rPr>
          <w:rFonts w:ascii="Georgia" w:hAnsi="Georgia" w:eastAsia="Yu Mincho"/>
          <w:b/>
          <w:sz w:val="24"/>
          <w:lang w:eastAsia="ja-JP"/>
        </w:rPr>
        <w:t>E 提供者の分類。</w:t>
      </w:r>
      <w:r>
        <w:rPr>
          <w:rFonts w:ascii="Georgia" w:hAnsi="Georgia" w:eastAsia="Yu Mincho"/>
          <w:b w:val="0"/>
          <w:sz w:val="24"/>
          <w:lang w:eastAsia="ja-JP"/>
        </w:rPr>
        <w:t>Point と Contextual の分類があり，元の統計は Point 43区間，Contextual 26区間である。Point も区間として記録され，1イベントが1サンプルという意味ではない。独立した Collective クラスはない。USAD は分類別成績を示さず，Point=①，Contextual=③とも断定できない。範囲内か，疎か，関係が変わったかは学習集合に対して別途検証する。</w:t>
      </w:r>
    </w:p>
    <w:p>
      <w:pPr>
        <w:widowControl/>
        <w:spacing w:before="0" w:after="140" w:line="269" w:lineRule="auto"/>
      </w:pPr>
      <w:r>
        <w:rPr>
          <w:rFonts w:ascii="Georgia" w:hAnsi="Georgia" w:eastAsia="Yu Mincho"/>
          <w:b/>
          <w:sz w:val="24"/>
          <w:lang w:eastAsia="ja-JP"/>
        </w:rPr>
        <w:t>F 時間特性。</w:t>
      </w:r>
      <w:r>
        <w:rPr>
          <w:rFonts w:ascii="Georgia" w:hAnsi="Georgia" w:eastAsia="Yu Mincho"/>
          <w:b w:val="0"/>
          <w:sz w:val="24"/>
          <w:lang w:eastAsia="ja-JP"/>
        </w:rPr>
        <w:t>時間とチャネル識別子は匿名化される。</w:t>
      </w:r>
      <w:hyperlink r:id="rId18">
        <w:r>
          <w:rPr>
            <w:rFonts w:ascii="Georgia" w:hAnsi="Georgia" w:eastAsia="Yu Mincho"/>
            <w:color w:val="167039"/>
            <w:sz w:val="24"/>
            <w:u w:val="single"/>
            <w:lang w:eastAsia="ja-JP"/>
          </w:rPr>
          <w:t>Hundman らの元論文 §4</w:t>
        </w:r>
      </w:hyperlink>
      <w:r>
        <w:rPr>
          <w:rFonts w:ascii="Georgia" w:hAnsi="Georgia" w:eastAsia="Yu Mincho"/>
          <w:b w:val="0"/>
          <w:sz w:val="24"/>
          <w:lang w:eastAsia="ja-JP"/>
        </w:rPr>
        <w:t>では1分集約を説明するが，USAD はすべての時間対応を再記載していない。この1分表現を引き継ぎ5倍集約するなら K=5 は約25分分に相当する。実際の版を確認し，日付の起止を匿名系列から復元しない。</w:t>
      </w:r>
    </w:p>
    <w:p>
      <w:pPr>
        <w:widowControl/>
        <w:spacing w:before="0" w:after="140" w:line="269" w:lineRule="auto"/>
      </w:pPr>
      <w:r>
        <w:rPr>
          <w:rFonts w:ascii="Georgia" w:hAnsi="Georgia" w:eastAsia="Yu Mincho"/>
          <w:b/>
          <w:sz w:val="24"/>
          <w:lang w:eastAsia="ja-JP"/>
        </w:rPr>
        <w:t>G 分割。</w:t>
      </w:r>
      <w:r>
        <w:rPr>
          <w:rFonts w:ascii="Georgia" w:hAnsi="Georgia" w:eastAsia="Yu Mincho"/>
          <w:b w:val="0"/>
          <w:sz w:val="24"/>
          <w:lang w:eastAsia="ja-JP"/>
        </w:rPr>
        <w:t>提供済みの学習・テスト集合をエンティティ別に使用し，合計比率は約24.02対75.98，テスト異常は13.13%。元の配布データには既にスケーリングがあり，README は遥測値をテスト集合の min/max に基づいて (-1,1) に変換したと記す。前処理の再現性と運用時の因果性に関わるため，テスト情報を全く使わない未処理のストリームとはみなせない。USAD の最終正規化全手順は十分に記載されない。</w:t>
      </w:r>
    </w:p>
    <w:p>
      <w:bookmarkStart w:id="22" w:name="sec_22"/>
      <w:pPr>
        <w:pStyle w:val="Heading2"/>
        <w:keepNext/>
        <w:spacing w:before="200" w:after="140"/>
        <w:jc w:val="left"/>
      </w:pPr>
      <w:r>
        <w:rPr>
          <w:rFonts w:ascii="Georgia" w:hAnsi="Georgia" w:eastAsia="Yu Mincho"/>
          <w:b w:val="0"/>
          <w:lang w:eastAsia="ja-JP"/>
        </w:rPr>
        <w:t>5.6 MSL</w:t>
      </w:r>
      <w:bookmarkEnd w:id="22"/>
    </w:p>
    <w:p>
      <w:pPr>
        <w:widowControl/>
        <w:spacing w:before="0" w:after="140" w:line="269" w:lineRule="auto"/>
      </w:pPr>
      <w:r>
        <w:rPr>
          <w:rFonts w:ascii="Georgia" w:hAnsi="Georgia" w:eastAsia="Yu Mincho"/>
          <w:b/>
          <w:sz w:val="24"/>
          <w:lang w:eastAsia="ja-JP"/>
        </w:rPr>
        <w:t>A 入出力変数。</w:t>
      </w:r>
      <w:r>
        <w:rPr>
          <w:rFonts w:ascii="Georgia" w:hAnsi="Georgia" w:eastAsia="Yu Mincho"/>
          <w:b w:val="0"/>
          <w:sz w:val="24"/>
          <w:lang w:eastAsia="ja-JP"/>
        </w:rPr>
        <w:t>27チャネル／エンティティで，各55次元。SMAP と同様，遥測と符号化コマンドを含み，27×55次元の単一系列ではない。USAD は再構成と異常を出力し，末端圧力回帰の出力を持たない。</w:t>
      </w:r>
    </w:p>
    <w:p>
      <w:pPr>
        <w:widowControl/>
        <w:spacing w:before="0" w:after="140" w:line="269" w:lineRule="auto"/>
      </w:pPr>
      <w:r>
        <w:rPr>
          <w:rFonts w:ascii="Georgia" w:hAnsi="Georgia" w:eastAsia="Yu Mincho"/>
          <w:b/>
          <w:sz w:val="24"/>
          <w:lang w:eastAsia="ja-JP"/>
        </w:rPr>
        <w:t>B データ量。</w:t>
      </w:r>
      <w:r>
        <w:rPr>
          <w:rFonts w:ascii="Georgia" w:hAnsi="Georgia" w:eastAsia="Yu Mincho"/>
          <w:b w:val="0"/>
          <w:sz w:val="24"/>
          <w:lang w:eastAsia="ja-JP"/>
        </w:rPr>
        <w:t>学習58,317点，テスト73,729点，比率は約44.16対55.84。元論文や版の統計が異なる場合があるため，別版の数値を混在させない。</w:t>
      </w:r>
    </w:p>
    <w:p>
      <w:pPr>
        <w:widowControl/>
        <w:spacing w:before="0" w:after="140" w:line="269" w:lineRule="auto"/>
      </w:pPr>
      <w:r>
        <w:rPr>
          <w:rFonts w:ascii="Georgia" w:hAnsi="Georgia" w:eastAsia="Yu Mincho"/>
          <w:b/>
          <w:sz w:val="24"/>
          <w:lang w:eastAsia="ja-JP"/>
        </w:rPr>
        <w:t>C 正解ラベル。</w:t>
      </w:r>
      <w:r>
        <w:rPr>
          <w:rFonts w:ascii="Georgia" w:hAnsi="Georgia" w:eastAsia="Yu Mincho"/>
          <w:b w:val="0"/>
          <w:sz w:val="24"/>
          <w:lang w:eastAsia="ja-JP"/>
        </w:rPr>
        <w:t>SMAP と同じ由来の専門家区間ラベルで，元の統計は Point 19区間，Contextual 17区間。前掲のラベルファイルに含まれる。USAD に分類別成績はない。</w:t>
      </w:r>
    </w:p>
    <w:p>
      <w:pPr>
        <w:widowControl/>
        <w:spacing w:before="0" w:after="140" w:line="269" w:lineRule="auto"/>
      </w:pPr>
      <w:r>
        <w:rPr>
          <w:rFonts w:ascii="Georgia" w:hAnsi="Georgia" w:eastAsia="Yu Mincho"/>
          <w:b/>
          <w:sz w:val="24"/>
          <w:lang w:eastAsia="ja-JP"/>
        </w:rPr>
        <w:t>D 公開とライセンスと取得。</w:t>
      </w:r>
      <w:r>
        <w:rPr>
          <w:rFonts w:ascii="Georgia" w:hAnsi="Georgia" w:eastAsia="Yu Mincho"/>
          <w:b w:val="0"/>
          <w:sz w:val="24"/>
          <w:lang w:eastAsia="ja-JP"/>
        </w:rPr>
        <w:t>SMAP と同じ公開体系・取得先である。「NASA」という理由だけで無条件のパブリックドメインとはいえない。実際の取得物に付く条件とミラーの条件を保存する必要がある。</w:t>
      </w:r>
    </w:p>
    <w:p>
      <w:pPr>
        <w:widowControl/>
        <w:spacing w:before="0" w:after="140" w:line="269" w:lineRule="auto"/>
      </w:pPr>
      <w:r>
        <w:rPr>
          <w:rFonts w:ascii="Georgia" w:hAnsi="Georgia" w:eastAsia="Yu Mincho"/>
          <w:b/>
          <w:sz w:val="24"/>
          <w:lang w:eastAsia="ja-JP"/>
        </w:rPr>
        <w:t>E 分類。</w:t>
      </w:r>
      <w:r>
        <w:rPr>
          <w:rFonts w:ascii="Georgia" w:hAnsi="Georgia" w:eastAsia="Yu Mincho"/>
          <w:b w:val="0"/>
          <w:sz w:val="24"/>
          <w:lang w:eastAsia="ja-JP"/>
        </w:rPr>
        <w:t>Point／Contextual はあるが，①②③または独立 Collective のラベルはない。振幅，文脈，持続パターンの変化があり得るため，学習データに基づいて個別の所属を確認する。</w:t>
      </w:r>
    </w:p>
    <w:p>
      <w:pPr>
        <w:widowControl/>
        <w:spacing w:before="0" w:after="140" w:line="269" w:lineRule="auto"/>
      </w:pPr>
      <w:r>
        <w:rPr>
          <w:rFonts w:ascii="Georgia" w:hAnsi="Georgia" w:eastAsia="Yu Mincho"/>
          <w:b/>
          <w:sz w:val="24"/>
          <w:lang w:eastAsia="ja-JP"/>
        </w:rPr>
        <w:t>F 時間特性。</w:t>
      </w:r>
      <w:r>
        <w:rPr>
          <w:rFonts w:ascii="Georgia" w:hAnsi="Georgia" w:eastAsia="Yu Mincho"/>
          <w:b w:val="0"/>
          <w:sz w:val="24"/>
          <w:lang w:eastAsia="ja-JP"/>
        </w:rPr>
        <w:t>元論文の1分集約を引き継ぐ場合，5倍ダウンサンプリング，K=5 は約25分分だが，USAD 版の集約と時刻対応を再現時に確認する。絶対時間は匿名化され，本論文に日付範囲の記載はない。</w:t>
      </w:r>
    </w:p>
    <w:p>
      <w:pPr>
        <w:widowControl/>
        <w:spacing w:before="0" w:after="140" w:line="269" w:lineRule="auto"/>
      </w:pPr>
      <w:r>
        <w:rPr>
          <w:rFonts w:ascii="Georgia" w:hAnsi="Georgia" w:eastAsia="Yu Mincho"/>
          <w:b/>
          <w:sz w:val="24"/>
          <w:lang w:eastAsia="ja-JP"/>
        </w:rPr>
        <w:t>G 分割。</w:t>
      </w:r>
      <w:r>
        <w:rPr>
          <w:rFonts w:ascii="Georgia" w:hAnsi="Georgia" w:eastAsia="Yu Mincho"/>
          <w:b w:val="0"/>
          <w:sz w:val="24"/>
          <w:lang w:eastAsia="ja-JP"/>
        </w:rPr>
        <w:t>提供済みのエンティティ別分割を使用し，テスト異常割合は10.72%，ラベル区間に沿って配置する。時点を再びランダム分割したり，集合境界を跨ぐ重複窓を作ったりしない。事前スケーリングの注意点は SMAP と同じである。</w:t>
      </w:r>
    </w:p>
    <w:p>
      <w:bookmarkStart w:id="23" w:name="sec_23"/>
      <w:pPr>
        <w:pStyle w:val="Heading2"/>
        <w:keepNext/>
        <w:spacing w:before="200" w:after="140"/>
        <w:jc w:val="left"/>
      </w:pPr>
      <w:r>
        <w:rPr>
          <w:rFonts w:ascii="Georgia" w:hAnsi="Georgia" w:eastAsia="Yu Mincho"/>
          <w:b w:val="0"/>
          <w:lang w:eastAsia="ja-JP"/>
        </w:rPr>
        <w:t>5.7 Orange の企業データ</w:t>
      </w:r>
      <w:bookmarkEnd w:id="23"/>
    </w:p>
    <w:p>
      <w:pPr>
        <w:widowControl/>
        <w:spacing w:before="0" w:after="140" w:line="269" w:lineRule="auto"/>
      </w:pPr>
      <w:r>
        <w:rPr>
          <w:rFonts w:ascii="Georgia" w:hAnsi="Georgia" w:eastAsia="Yu Mincho"/>
          <w:b/>
          <w:sz w:val="24"/>
          <w:lang w:eastAsia="ja-JP"/>
        </w:rPr>
        <w:t>A 入出力変数。</w:t>
      </w:r>
      <w:r>
        <w:rPr>
          <w:rFonts w:ascii="Georgia" w:hAnsi="Georgia" w:eastAsia="Yu Mincho"/>
          <w:b w:val="0"/>
          <w:sz w:val="24"/>
          <w:lang w:eastAsia="ja-JP"/>
        </w:rPr>
        <w:t>33個の連続指標で，技術指標27個と業務指標6個である。事例は total impressions，total average ecpm，total cpm cpc revenue を明示する。すべて監視変数であり，独立した売上目標を予測するものではない。</w:t>
      </w:r>
    </w:p>
    <w:p>
      <w:pPr>
        <w:widowControl/>
        <w:spacing w:before="0" w:after="140" w:line="269" w:lineRule="auto"/>
      </w:pPr>
      <w:r>
        <w:rPr>
          <w:rFonts w:ascii="Georgia" w:hAnsi="Georgia" w:eastAsia="Yu Mincho"/>
          <w:b/>
          <w:sz w:val="24"/>
          <w:lang w:eastAsia="ja-JP"/>
        </w:rPr>
        <w:t>B データ量。</w:t>
      </w:r>
      <w:r>
        <w:rPr>
          <w:rFonts w:ascii="Georgia" w:hAnsi="Georgia" w:eastAsia="Yu Mincho"/>
          <w:b w:val="0"/>
          <w:sz w:val="24"/>
          <w:lang w:eastAsia="ja-JP"/>
        </w:rPr>
        <w:t>約32日・2,781,000学習点，約60日・5,081,000テスト点。実ファイル容量は記載なし。</w:t>
      </w:r>
    </w:p>
    <w:p>
      <w:pPr>
        <w:widowControl/>
        <w:spacing w:before="0" w:after="140" w:line="269" w:lineRule="auto"/>
      </w:pPr>
      <w:r>
        <w:rPr>
          <w:rFonts w:ascii="Georgia" w:hAnsi="Georgia" w:eastAsia="Yu Mincho"/>
          <w:b/>
          <w:sz w:val="24"/>
          <w:lang w:eastAsia="ja-JP"/>
        </w:rPr>
        <w:t>C ラベル。</w:t>
      </w:r>
      <w:r>
        <w:rPr>
          <w:rFonts w:ascii="Georgia" w:hAnsi="Georgia" w:eastAsia="Yu Mincho"/>
          <w:b w:val="0"/>
          <w:sz w:val="24"/>
          <w:lang w:eastAsia="ja-JP"/>
        </w:rPr>
        <w:t>専門家がインシデント報告に基づいてテスト異常を付与した。学習はテスト直前の重大事故がない連続期間を選択しているため，主として正常であり，完全に異常がないとはいえない。表1は異常割合33.72%を示すが，分母の詳細は明記しない。</w:t>
      </w:r>
    </w:p>
    <w:p>
      <w:pPr>
        <w:widowControl/>
        <w:spacing w:before="0" w:after="140" w:line="269" w:lineRule="auto"/>
      </w:pPr>
      <w:r>
        <w:rPr>
          <w:rFonts w:ascii="Georgia" w:hAnsi="Georgia" w:eastAsia="Yu Mincho"/>
          <w:b/>
          <w:sz w:val="24"/>
          <w:lang w:eastAsia="ja-JP"/>
        </w:rPr>
        <w:t>D 取得と条件。</w:t>
      </w:r>
      <w:r>
        <w:rPr>
          <w:rFonts w:ascii="Georgia" w:hAnsi="Georgia" w:eastAsia="Yu Mincho"/>
          <w:b w:val="0"/>
          <w:sz w:val="24"/>
          <w:lang w:eastAsia="ja-JP"/>
        </w:rPr>
        <w:t>企業専有で非公開。公開ダウンロード方法やライセンス本文はなく，企業実験全体を再現できない。</w:t>
      </w:r>
    </w:p>
    <w:p>
      <w:pPr>
        <w:widowControl/>
        <w:spacing w:before="0" w:after="140" w:line="269" w:lineRule="auto"/>
      </w:pPr>
      <w:r>
        <w:rPr>
          <w:rFonts w:ascii="Georgia" w:hAnsi="Georgia" w:eastAsia="Yu Mincho"/>
          <w:b/>
          <w:sz w:val="24"/>
          <w:lang w:eastAsia="ja-JP"/>
        </w:rPr>
        <w:t>E 分類。</w:t>
      </w:r>
      <w:r>
        <w:rPr>
          <w:rFonts w:ascii="Georgia" w:hAnsi="Georgia" w:eastAsia="Yu Mincho"/>
          <w:b w:val="0"/>
          <w:sz w:val="24"/>
          <w:lang w:eastAsia="ja-JP"/>
        </w:rPr>
        <w:t>技術／業務という変数分類と事故記録はあるが，①②③や Point／Contextual／Collective の完全ラベルはない。広告設定事故は複数指標の同時監視の価値を示すが，すべての変数が学習範囲内だったとは示されず，厳密に構成した③とは断定できない。</w:t>
      </w:r>
    </w:p>
    <w:p>
      <w:pPr>
        <w:widowControl/>
        <w:spacing w:before="0" w:after="140" w:line="269" w:lineRule="auto"/>
      </w:pPr>
      <w:r>
        <w:rPr>
          <w:rFonts w:ascii="Georgia" w:hAnsi="Georgia" w:eastAsia="Yu Mincho"/>
          <w:b/>
          <w:sz w:val="24"/>
          <w:lang w:eastAsia="ja-JP"/>
        </w:rPr>
        <w:t>F 時間特性。</w:t>
      </w:r>
      <w:r>
        <w:rPr>
          <w:rFonts w:ascii="Georgia" w:hAnsi="Georgia" w:eastAsia="Yu Mincho"/>
          <w:b w:val="0"/>
          <w:sz w:val="24"/>
          <w:lang w:eastAsia="ja-JP"/>
        </w:rPr>
        <w:t>窓入力であるが，具体的 K，周期，日付範囲，ダウンサンプリングとバッファ方針は記載なし。件数が日数×86,400に近いだけで1秒周期とは確定しない。</w:t>
      </w:r>
    </w:p>
    <w:p>
      <w:pPr>
        <w:widowControl/>
        <w:spacing w:before="0" w:after="140" w:line="269" w:lineRule="auto"/>
      </w:pPr>
      <w:r>
        <w:rPr>
          <w:rFonts w:ascii="Georgia" w:hAnsi="Georgia" w:eastAsia="Yu Mincho"/>
          <w:b/>
          <w:sz w:val="24"/>
          <w:lang w:eastAsia="ja-JP"/>
        </w:rPr>
        <w:t>G 分割。</w:t>
      </w:r>
      <w:r>
        <w:rPr>
          <w:rFonts w:ascii="Georgia" w:hAnsi="Georgia" w:eastAsia="Yu Mincho"/>
          <w:b w:val="0"/>
          <w:sz w:val="24"/>
          <w:lang w:eastAsia="ja-JP"/>
        </w:rPr>
        <w:t>前約32日を主として正常な学習期間，後約60日を重要なテスト期間とし，比率は約35.37対64.63。ランダム分割ではなく，実際の業務事故を含み，固定比率の人工注入ではない。</w:t>
      </w:r>
    </w:p>
    <w:p>
      <w:pPr>
        <w:widowControl/>
        <w:spacing w:before="0" w:after="140" w:line="269" w:lineRule="auto"/>
      </w:pPr>
      <w:r>
        <w:rPr>
          <w:rFonts w:ascii="Georgia" w:hAnsi="Georgia" w:eastAsia="Yu Mincho"/>
          <w:b w:val="0"/>
          <w:sz w:val="24"/>
          <w:lang w:eastAsia="ja-JP"/>
        </w:rPr>
        <w:t>【論文 §5.5，図4】設定ファイルの誤りにより，広告が意図しないパートナーに割り当てられ，表示数が増加し平均価格が低下した一方，収入は比較的安定した。人手は約24時間，USAD は30分未満で発見した。テスト期間の重大事故をすべて30分以内に検出したと記すが，重大事故総数，イベント別遅延，信頼区間はない。全体 Recall 0.6428 と重大イベント全検出は分母が異なるため矛盾しない。</w:t>
      </w:r>
    </w:p>
    <w:p>
      <w:bookmarkStart w:id="24" w:name="sec_24"/>
      <w:pPr>
        <w:pStyle w:val="Heading2"/>
        <w:keepNext/>
        <w:spacing w:before="200" w:after="140"/>
        <w:jc w:val="left"/>
      </w:pPr>
      <w:r>
        <w:rPr>
          <w:rFonts w:ascii="Georgia" w:hAnsi="Georgia" w:eastAsia="Yu Mincho"/>
          <w:b w:val="0"/>
          <w:lang w:eastAsia="ja-JP"/>
        </w:rPr>
        <w:t>5.8 窓とハイパーパラメータ</w:t>
      </w:r>
      <w:bookmarkEnd w:id="24"/>
    </w:p>
    <w:p>
      <w:pPr>
        <w:widowControl/>
        <w:spacing w:before="0" w:after="140" w:line="269" w:lineRule="auto"/>
      </w:pPr>
      <w:r>
        <w:rPr>
          <w:rFonts w:ascii="Georgia" w:hAnsi="Georgia" w:eastAsia="Yu Mincho"/>
          <w:b w:val="0"/>
          <w:sz w:val="24"/>
          <w:lang w:eastAsia="ja-JP"/>
        </w:rPr>
        <w:t>【論文 付録表7】</w:t>
      </w:r>
    </w:p>
    <w:tbl>
      <w:tblPr>
        <w:tblStyle w:val="Table1"/>
        <w:tblW w:type="dxa" w:w="9360"/>
        <w:jc w:val="left"/>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200"/>
        <w:gridCol w:w="720"/>
        <w:gridCol w:w="980"/>
        <w:gridCol w:w="1540"/>
        <w:gridCol w:w="1400"/>
        <w:gridCol w:w="2520"/>
      </w:tblGrid>
      <w:tr>
        <w:trPr>
          <w:cantSplit/>
          <w:tblHeader/>
        </w:trPr>
        <w:tc>
          <w:tcPr>
            <w:tcW w:type="dxa" w:w="1200"/>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データ</w:t>
            </w:r>
          </w:p>
        </w:tc>
        <w:tc>
          <w:tcPr>
            <w:tcW w:type="dxa" w:w="720"/>
            <w:vAlign w:val="center"/>
            <w:tcMar>
              <w:top w:w="90" w:type="dxa"/>
              <w:bottom w:w="90" w:type="dxa"/>
              <w:left w:w="90" w:type="dxa"/>
              <w:right w:w="90" w:type="dxa"/>
            </w:tcMar>
            <w:shd w:fill="E7EDE8"/>
          </w:tcPr>
          <w:p>
            <w:pPr>
              <w:widowControl/>
              <w:spacing w:before="0" w:after="100" w:line="264" w:lineRule="auto"/>
              <w:jc w:val="center"/>
            </w:pPr>
            <w:r>
              <w:rPr>
                <w:rFonts w:ascii="Georgia" w:hAnsi="Georgia" w:eastAsia="Yu Mincho"/>
                <w:b/>
                <w:sz w:val="20"/>
                <w:lang w:eastAsia="ja-JP"/>
              </w:rPr>
              <w:t>K</w:t>
            </w:r>
          </w:p>
        </w:tc>
        <w:tc>
          <w:tcPr>
            <w:tcW w:type="dxa" w:w="980"/>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epochs</w:t>
            </w:r>
          </w:p>
        </w:tc>
        <w:tc>
          <w:tcPr>
            <w:tcW w:type="dxa" w:w="1540"/>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潜在次元 h</w:t>
            </w:r>
          </w:p>
        </w:tc>
        <w:tc>
          <w:tcPr>
            <w:tcW w:type="dxa" w:w="1400"/>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集約率 r</w:t>
            </w:r>
          </w:p>
        </w:tc>
        <w:tc>
          <w:tcPr>
            <w:tcW w:type="dxa" w:w="2520"/>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展開入力次元 Kd</w:t>
            </w:r>
          </w:p>
        </w:tc>
      </w:tr>
      <w:tr>
        <w:trPr>
          <w:cantSplit/>
        </w:trPr>
        <w:tc>
          <w:tcPr>
            <w:tcW w:type="dxa" w:w="1200"/>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SWaT</w:t>
            </w:r>
          </w:p>
        </w:tc>
        <w:tc>
          <w:tcPr>
            <w:tcW w:type="dxa" w:w="720"/>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12</w:t>
            </w:r>
          </w:p>
        </w:tc>
        <w:tc>
          <w:tcPr>
            <w:tcW w:type="dxa" w:w="980"/>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70</w:t>
            </w:r>
          </w:p>
        </w:tc>
        <w:tc>
          <w:tcPr>
            <w:tcW w:type="dxa" w:w="1540"/>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40</w:t>
            </w:r>
          </w:p>
        </w:tc>
        <w:tc>
          <w:tcPr>
            <w:tcW w:type="dxa" w:w="1400"/>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5</w:t>
            </w:r>
          </w:p>
        </w:tc>
        <w:tc>
          <w:tcPr>
            <w:tcW w:type="dxa" w:w="2520"/>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612</w:t>
            </w:r>
          </w:p>
        </w:tc>
      </w:tr>
      <w:tr>
        <w:trPr>
          <w:cantSplit/>
        </w:trPr>
        <w:tc>
          <w:tcPr>
            <w:tcW w:type="dxa" w:w="1200"/>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WADI</w:t>
            </w:r>
          </w:p>
        </w:tc>
        <w:tc>
          <w:tcPr>
            <w:tcW w:type="dxa" w:w="720"/>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10</w:t>
            </w:r>
          </w:p>
        </w:tc>
        <w:tc>
          <w:tcPr>
            <w:tcW w:type="dxa" w:w="980"/>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70</w:t>
            </w:r>
          </w:p>
        </w:tc>
        <w:tc>
          <w:tcPr>
            <w:tcW w:type="dxa" w:w="1540"/>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100</w:t>
            </w:r>
          </w:p>
        </w:tc>
        <w:tc>
          <w:tcPr>
            <w:tcW w:type="dxa" w:w="1400"/>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5</w:t>
            </w:r>
          </w:p>
        </w:tc>
        <w:tc>
          <w:tcPr>
            <w:tcW w:type="dxa" w:w="2520"/>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1,230</w:t>
            </w:r>
          </w:p>
        </w:tc>
      </w:tr>
      <w:tr>
        <w:trPr>
          <w:cantSplit/>
        </w:trPr>
        <w:tc>
          <w:tcPr>
            <w:tcW w:type="dxa" w:w="1200"/>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SMD</w:t>
            </w:r>
          </w:p>
        </w:tc>
        <w:tc>
          <w:tcPr>
            <w:tcW w:type="dxa" w:w="720"/>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5</w:t>
            </w:r>
          </w:p>
        </w:tc>
        <w:tc>
          <w:tcPr>
            <w:tcW w:type="dxa" w:w="980"/>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250</w:t>
            </w:r>
          </w:p>
        </w:tc>
        <w:tc>
          <w:tcPr>
            <w:tcW w:type="dxa" w:w="1540"/>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38</w:t>
            </w:r>
          </w:p>
        </w:tc>
        <w:tc>
          <w:tcPr>
            <w:tcW w:type="dxa" w:w="1400"/>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5</w:t>
            </w:r>
          </w:p>
        </w:tc>
        <w:tc>
          <w:tcPr>
            <w:tcW w:type="dxa" w:w="2520"/>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190／エンティティ</w:t>
            </w:r>
          </w:p>
        </w:tc>
      </w:tr>
      <w:tr>
        <w:trPr>
          <w:cantSplit/>
        </w:trPr>
        <w:tc>
          <w:tcPr>
            <w:tcW w:type="dxa" w:w="1200"/>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SMAP</w:t>
            </w:r>
          </w:p>
        </w:tc>
        <w:tc>
          <w:tcPr>
            <w:tcW w:type="dxa" w:w="720"/>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5</w:t>
            </w:r>
          </w:p>
        </w:tc>
        <w:tc>
          <w:tcPr>
            <w:tcW w:type="dxa" w:w="980"/>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250</w:t>
            </w:r>
          </w:p>
        </w:tc>
        <w:tc>
          <w:tcPr>
            <w:tcW w:type="dxa" w:w="1540"/>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55</w:t>
            </w:r>
          </w:p>
        </w:tc>
        <w:tc>
          <w:tcPr>
            <w:tcW w:type="dxa" w:w="1400"/>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5</w:t>
            </w:r>
          </w:p>
        </w:tc>
        <w:tc>
          <w:tcPr>
            <w:tcW w:type="dxa" w:w="2520"/>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125／エンティティ</w:t>
            </w:r>
          </w:p>
        </w:tc>
      </w:tr>
      <w:tr>
        <w:trPr>
          <w:cantSplit/>
        </w:trPr>
        <w:tc>
          <w:tcPr>
            <w:tcW w:type="dxa" w:w="1200"/>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MSL</w:t>
            </w:r>
          </w:p>
        </w:tc>
        <w:tc>
          <w:tcPr>
            <w:tcW w:type="dxa" w:w="720"/>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5</w:t>
            </w:r>
          </w:p>
        </w:tc>
        <w:tc>
          <w:tcPr>
            <w:tcW w:type="dxa" w:w="980"/>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250</w:t>
            </w:r>
          </w:p>
        </w:tc>
        <w:tc>
          <w:tcPr>
            <w:tcW w:type="dxa" w:w="1540"/>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33</w:t>
            </w:r>
          </w:p>
        </w:tc>
        <w:tc>
          <w:tcPr>
            <w:tcW w:type="dxa" w:w="1400"/>
            <w:vAlign w:val="center"/>
            <w:tcMar>
              <w:top w:w="90" w:type="dxa"/>
              <w:bottom w:w="90" w:type="dxa"/>
              <w:left w:w="90" w:type="dxa"/>
              <w:right w:w="90" w:type="dxa"/>
            </w:tcMar>
          </w:tcPr>
          <w:p>
            <w:pPr>
              <w:widowControl/>
              <w:spacing w:before="0" w:after="100" w:line="264" w:lineRule="auto"/>
              <w:jc w:val="center"/>
            </w:pPr>
            <w:r>
              <w:rPr>
                <w:rFonts w:ascii="Georgia" w:hAnsi="Georgia" w:eastAsia="Yu Mincho"/>
                <w:b w:val="0"/>
                <w:sz w:val="20"/>
                <w:lang w:eastAsia="ja-JP"/>
              </w:rPr>
              <w:t>5</w:t>
            </w:r>
          </w:p>
        </w:tc>
        <w:tc>
          <w:tcPr>
            <w:tcW w:type="dxa" w:w="2520"/>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275／エンティティ</w:t>
            </w:r>
          </w:p>
        </w:tc>
      </w:tr>
      <w:tr>
        <w:trPr>
          <w:cantSplit/>
        </w:trPr>
        <w:tc>
          <w:tcPr>
            <w:tcW w:type="dxa" w:w="1200"/>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Orange</w:t>
            </w:r>
          </w:p>
        </w:tc>
        <w:tc>
          <w:tcPr>
            <w:tcW w:type="dxa" w:w="720"/>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記載なし</w:t>
            </w:r>
          </w:p>
        </w:tc>
        <w:tc>
          <w:tcPr>
            <w:tcW w:type="dxa" w:w="980"/>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記載なし</w:t>
            </w:r>
          </w:p>
        </w:tc>
        <w:tc>
          <w:tcPr>
            <w:tcW w:type="dxa" w:w="1540"/>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記載なし</w:t>
            </w:r>
          </w:p>
        </w:tc>
        <w:tc>
          <w:tcPr>
            <w:tcW w:type="dxa" w:w="1400"/>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記載なし</w:t>
            </w:r>
          </w:p>
        </w:tc>
        <w:tc>
          <w:tcPr>
            <w:tcW w:type="dxa" w:w="2520"/>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記載なし</w:t>
            </w:r>
          </w:p>
        </w:tc>
      </w:tr>
    </w:tbl>
    <w:p>
      <w:pPr>
        <w:spacing w:after="60" w:before="0" w:line="60" w:lineRule="exact"/>
      </w:pPr>
    </w:p>
    <w:p>
      <w:pPr>
        <w:widowControl/>
        <w:spacing w:before="0" w:after="140" w:line="269" w:lineRule="auto"/>
      </w:pPr>
      <w:r>
        <w:rPr>
          <w:rFonts w:ascii="Georgia" w:hAnsi="Georgia" w:eastAsia="Yu Mincho"/>
          <w:b w:val="0"/>
          <w:sz w:val="24"/>
          <w:lang w:eastAsia="ja-JP"/>
        </w:rPr>
        <w:t>すべての公開データ実験で複数時点を同時入力する。K=5 は前処理後5時点であり，必ずしも5秒ではない。h は元変数数ではない。ストライド，ラベル対応，エンティティ集約の全詳細は再現上の未記載事項である。</w:t>
      </w:r>
    </w:p>
    <w:p>
      <w:bookmarkStart w:id="25" w:name="sec_25"/>
      <w:pPr>
        <w:pStyle w:val="Heading2"/>
        <w:keepNext/>
        <w:spacing w:before="200" w:after="140"/>
        <w:jc w:val="left"/>
      </w:pPr>
      <w:r>
        <w:rPr>
          <w:rFonts w:ascii="Georgia" w:hAnsi="Georgia" w:eastAsia="Yu Mincho"/>
          <w:b w:val="0"/>
          <w:lang w:eastAsia="ja-JP"/>
        </w:rPr>
        <w:t>5.9 データライセンスの確認結果</w:t>
      </w:r>
      <w:bookmarkEnd w:id="25"/>
    </w:p>
    <w:tbl>
      <w:tblPr>
        <w:tblStyle w:val="Table1"/>
        <w:tblW w:type="dxa" w:w="9360"/>
        <w:jc w:val="left"/>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479"/>
        <w:gridCol w:w="4053"/>
        <w:gridCol w:w="3826"/>
      </w:tblGrid>
      <w:tr>
        <w:trPr>
          <w:cantSplit/>
          <w:tblHeader/>
        </w:trPr>
        <w:tc>
          <w:tcPr>
            <w:tcW w:type="dxa" w:w="1479"/>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対象</w:t>
            </w:r>
          </w:p>
        </w:tc>
        <w:tc>
          <w:tcPr>
            <w:tcW w:type="dxa" w:w="4053"/>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確認内容</w:t>
            </w:r>
          </w:p>
        </w:tc>
        <w:tc>
          <w:tcPr>
            <w:tcW w:type="dxa" w:w="3826"/>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これだけでは主張できない事項</w:t>
            </w:r>
          </w:p>
        </w:tc>
      </w:tr>
      <w:tr>
        <w:trPr>
          <w:cantSplit/>
        </w:trPr>
        <w:tc>
          <w:tcPr>
            <w:tcW w:type="dxa" w:w="1479"/>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SWaT WADI</w:t>
            </w:r>
          </w:p>
        </w:tc>
        <w:tc>
          <w:tcPr>
            <w:tcW w:type="dxa" w:w="4053"/>
            <w:vAlign w:val="center"/>
            <w:tcMar>
              <w:top w:w="90" w:type="dxa"/>
              <w:bottom w:w="90" w:type="dxa"/>
              <w:left w:w="90" w:type="dxa"/>
              <w:right w:w="90" w:type="dxa"/>
            </w:tcMar>
          </w:tcPr>
          <w:p>
            <w:pPr>
              <w:widowControl/>
              <w:spacing w:before="0" w:after="100" w:line="264" w:lineRule="auto"/>
            </w:pPr>
            <w:hyperlink r:id="rId19">
              <w:r>
                <w:rPr>
                  <w:rFonts w:ascii="Georgia" w:hAnsi="Georgia" w:eastAsia="Yu Mincho"/>
                  <w:color w:val="167039"/>
                  <w:sz w:val="20"/>
                  <w:u w:val="single"/>
                  <w:lang w:eastAsia="ja-JP"/>
                </w:rPr>
                <w:t>iTrust 条件</w:t>
              </w:r>
            </w:hyperlink>
            <w:r>
              <w:rPr>
                <w:rFonts w:ascii="Georgia" w:hAnsi="Georgia" w:eastAsia="Yu Mincho"/>
                <w:b w:val="0"/>
                <w:sz w:val="20"/>
                <w:lang w:eastAsia="ja-JP"/>
              </w:rPr>
              <w:t>は申請者・機関情報等の公表，謝辞，公表後通知，私的・公的を問わない他者への共有禁止を要求。公式申請で取得</w:t>
            </w:r>
          </w:p>
        </w:tc>
        <w:tc>
          <w:tcPr>
            <w:tcW w:type="dxa" w:w="3826"/>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公開データだから自由再配布できる，または USAD BSD-3 がデータを覆うという主張</w:t>
            </w:r>
          </w:p>
        </w:tc>
      </w:tr>
      <w:tr>
        <w:trPr>
          <w:cantSplit/>
        </w:trPr>
        <w:tc>
          <w:tcPr>
            <w:tcW w:type="dxa" w:w="1479"/>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SMD</w:t>
            </w:r>
          </w:p>
        </w:tc>
        <w:tc>
          <w:tcPr>
            <w:tcW w:type="dxa" w:w="4053"/>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公開リポジトリと MIT 表示を確認。独立したデータ条件は未確認</w:t>
            </w:r>
          </w:p>
        </w:tc>
        <w:tc>
          <w:tcPr>
            <w:tcW w:type="dxa" w:w="3826"/>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他のミラーや第三者ファイルに対する無制限の利用判断</w:t>
            </w:r>
          </w:p>
        </w:tc>
      </w:tr>
      <w:tr>
        <w:trPr>
          <w:cantSplit/>
        </w:trPr>
        <w:tc>
          <w:tcPr>
            <w:tcW w:type="dxa" w:w="1479"/>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SMAP MSL</w:t>
            </w:r>
          </w:p>
        </w:tc>
        <w:tc>
          <w:tcPr>
            <w:tcW w:type="dxa" w:w="4053"/>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README は Apache 2.0 と記載するが，</w:t>
            </w:r>
            <w:hyperlink r:id="rId20">
              <w:r>
                <w:rPr>
                  <w:rFonts w:ascii="Georgia" w:hAnsi="Georgia" w:eastAsia="Yu Mincho"/>
                  <w:color w:val="167039"/>
                  <w:sz w:val="20"/>
                  <w:u w:val="single"/>
                  <w:lang w:eastAsia="ja-JP"/>
                </w:rPr>
                <w:t>LICENSE.txt</w:t>
              </w:r>
            </w:hyperlink>
            <w:r>
              <w:rPr>
                <w:rFonts w:ascii="Georgia" w:hAnsi="Georgia" w:eastAsia="Yu Mincho"/>
                <w:b w:val="0"/>
                <w:sz w:val="20"/>
                <w:lang w:eastAsia="ja-JP"/>
              </w:rPr>
              <w:t>は Caltech の三条項型の本文であり不一致</w:t>
            </w:r>
          </w:p>
        </w:tc>
        <w:tc>
          <w:tcPr>
            <w:tcW w:type="dxa" w:w="3826"/>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外部データパッケージも一律 Apache 2.0，または NASA のパブリックドメインという断定</w:t>
            </w:r>
          </w:p>
        </w:tc>
      </w:tr>
      <w:tr>
        <w:trPr>
          <w:cantSplit/>
        </w:trPr>
        <w:tc>
          <w:tcPr>
            <w:tcW w:type="dxa" w:w="1479"/>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Orange</w:t>
            </w:r>
          </w:p>
        </w:tc>
        <w:tc>
          <w:tcPr>
            <w:tcW w:type="dxa" w:w="4053"/>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専有 非公開</w:t>
            </w:r>
          </w:p>
        </w:tc>
        <w:tc>
          <w:tcPr>
            <w:tcW w:type="dxa" w:w="3826"/>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無許可で取得または共有できるという判断</w:t>
            </w:r>
          </w:p>
        </w:tc>
      </w:tr>
    </w:tbl>
    <w:p>
      <w:pPr>
        <w:spacing w:after="60" w:before="0" w:line="60" w:lineRule="exact"/>
      </w:pPr>
    </w:p>
    <w:p>
      <w:pPr>
        <w:widowControl/>
        <w:spacing w:before="0" w:after="140" w:line="269" w:lineRule="auto"/>
      </w:pPr>
      <w:r>
        <w:rPr>
          <w:rFonts w:ascii="Georgia" w:hAnsi="Georgia" w:eastAsia="Yu Mincho"/>
          <w:b w:val="0"/>
          <w:sz w:val="24"/>
          <w:lang w:eastAsia="ja-JP"/>
        </w:rPr>
        <w:t>これは出典の記録であり，取得したデータパッケージの実際の条項確認を代替しない。確認できないライセンス名称を事実として補ってはいない。</w:t>
      </w:r>
    </w:p>
    <w:p>
      <w:bookmarkStart w:id="26" w:name="sec_26"/>
      <w:pPr>
        <w:pStyle w:val="Heading1"/>
        <w:keepNext/>
        <w:spacing w:before="300" w:after="140"/>
        <w:jc w:val="left"/>
      </w:pPr>
      <w:r>
        <w:rPr>
          <w:rFonts w:ascii="Georgia" w:hAnsi="Georgia" w:eastAsia="Yu Mincho"/>
          <w:b w:val="0"/>
          <w:lang w:eastAsia="ja-JP"/>
        </w:rPr>
        <w:t>6 長所と短所と適用条件</w:t>
      </w:r>
      <w:bookmarkEnd w:id="26"/>
    </w:p>
    <w:p>
      <w:bookmarkStart w:id="27" w:name="sec_27"/>
      <w:pPr>
        <w:pStyle w:val="Heading2"/>
        <w:keepNext/>
        <w:spacing w:before="200" w:after="140"/>
        <w:jc w:val="left"/>
      </w:pPr>
      <w:r>
        <w:rPr>
          <w:rFonts w:ascii="Georgia" w:hAnsi="Georgia" w:eastAsia="Yu Mincho"/>
          <w:b w:val="0"/>
          <w:lang w:eastAsia="ja-JP"/>
        </w:rPr>
        <w:t>6.1 長所</w:t>
      </w:r>
      <w:bookmarkEnd w:id="27"/>
    </w:p>
    <w:p>
      <w:pPr>
        <w:widowControl/>
        <w:spacing w:before="0" w:after="140" w:line="269" w:lineRule="auto"/>
        <w:ind w:left="216" w:hanging="216"/>
      </w:pPr>
      <w:r>
        <w:rPr>
          <w:rFonts w:ascii="Georgia" w:hAnsi="Georgia" w:eastAsia="Yu Mincho"/>
          <w:b w:val="0"/>
          <w:sz w:val="24"/>
          <w:lang w:eastAsia="ja-JP"/>
        </w:rPr>
        <w:t>• ネットワーク学習に異常クラスラベルを必要とせず，異常収集が難しい状況に適する。</w:t>
      </w:r>
    </w:p>
    <w:p>
      <w:pPr>
        <w:widowControl/>
        <w:spacing w:before="0" w:after="140" w:line="269" w:lineRule="auto"/>
        <w:ind w:left="216" w:hanging="216"/>
      </w:pPr>
      <w:r>
        <w:rPr>
          <w:rFonts w:ascii="Georgia" w:hAnsi="Georgia" w:eastAsia="Yu Mincho"/>
          <w:b w:val="0"/>
          <w:sz w:val="24"/>
          <w:lang w:eastAsia="ja-JP"/>
        </w:rPr>
        <w:t>• 複数変数と過去窓から，結合関係と短期時間パターンを学習できる。</w:t>
      </w:r>
    </w:p>
    <w:p>
      <w:pPr>
        <w:widowControl/>
        <w:spacing w:before="0" w:after="140" w:line="269" w:lineRule="auto"/>
        <w:ind w:left="216" w:hanging="216"/>
      </w:pPr>
      <w:r>
        <w:rPr>
          <w:rFonts w:ascii="Georgia" w:hAnsi="Georgia" w:eastAsia="Yu Mincho"/>
          <w:b w:val="0"/>
          <w:sz w:val="24"/>
          <w:lang w:eastAsia="ja-JP"/>
        </w:rPr>
        <w:t>• 対象 AI へのアクセスが不要で，独立した入力監視器として利用可能である。</w:t>
      </w:r>
    </w:p>
    <w:p>
      <w:pPr>
        <w:widowControl/>
        <w:spacing w:before="0" w:after="140" w:line="269" w:lineRule="auto"/>
        <w:ind w:left="216" w:hanging="216"/>
      </w:pPr>
      <w:r>
        <w:rPr>
          <w:rFonts w:ascii="Georgia" w:hAnsi="Georgia" w:eastAsia="Yu Mincho"/>
          <w:b w:val="0"/>
          <w:sz w:val="24"/>
          <w:lang w:eastAsia="ja-JP"/>
        </w:rPr>
        <w:t>• 論文環境では OmniAnomaly より1エポックが大幅に短く，頻繁な離線再学習に向く。</w:t>
      </w:r>
    </w:p>
    <w:p>
      <w:pPr>
        <w:widowControl/>
        <w:spacing w:before="0" w:after="140" w:line="269" w:lineRule="auto"/>
        <w:ind w:left="216" w:hanging="216"/>
      </w:pPr>
      <w:r>
        <w:rPr>
          <w:rFonts w:ascii="Georgia" w:hAnsi="Georgia" w:eastAsia="Yu Mincho"/>
          <w:b w:val="0"/>
          <w:sz w:val="24"/>
          <w:lang w:eastAsia="ja-JP"/>
        </w:rPr>
        <w:t>• 同一モデルのスコア重みを変更し，異なるアラーム要求に対応できる。</w:t>
      </w:r>
    </w:p>
    <w:p>
      <w:pPr>
        <w:widowControl/>
        <w:spacing w:before="0" w:after="140" w:line="269" w:lineRule="auto"/>
        <w:ind w:left="216" w:hanging="216"/>
      </w:pPr>
      <w:r>
        <w:rPr>
          <w:rFonts w:ascii="Georgia" w:hAnsi="Georgia" w:eastAsia="Yu Mincho"/>
          <w:b w:val="0"/>
          <w:sz w:val="24"/>
          <w:lang w:eastAsia="ja-JP"/>
        </w:rPr>
        <w:t>• 実 IT データと水システムのテストベッド実験があり，応用との関連が強い。</w:t>
      </w:r>
    </w:p>
    <w:p>
      <w:bookmarkStart w:id="28" w:name="sec_28"/>
      <w:pPr>
        <w:pStyle w:val="Heading2"/>
        <w:keepNext/>
        <w:spacing w:before="200" w:after="140"/>
        <w:jc w:val="left"/>
      </w:pPr>
      <w:r>
        <w:rPr>
          <w:rFonts w:ascii="Georgia" w:hAnsi="Georgia" w:eastAsia="Yu Mincho"/>
          <w:b w:val="0"/>
          <w:lang w:eastAsia="ja-JP"/>
        </w:rPr>
        <w:t>6.2 短所と制約</w:t>
      </w:r>
      <w:bookmarkEnd w:id="28"/>
    </w:p>
    <w:tbl>
      <w:tblPr>
        <w:tblStyle w:val="Table1"/>
        <w:tblW w:type="dxa" w:w="9360"/>
        <w:jc w:val="left"/>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213"/>
        <w:gridCol w:w="6146"/>
      </w:tblGrid>
      <w:tr>
        <w:trPr>
          <w:cantSplit/>
          <w:tblHeader/>
        </w:trPr>
        <w:tc>
          <w:tcPr>
            <w:tcW w:type="dxa" w:w="3213"/>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制約</w:t>
            </w:r>
          </w:p>
        </w:tc>
        <w:tc>
          <w:tcPr>
            <w:tcW w:type="dxa" w:w="6146"/>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適用への影響</w:t>
            </w:r>
          </w:p>
        </w:tc>
      </w:tr>
      <w:tr>
        <w:trPr>
          <w:cantSplit/>
        </w:trPr>
        <w:tc>
          <w:tcPr>
            <w:tcW w:type="dxa" w:w="3213"/>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正常パターンの網羅に依存</w:t>
            </w:r>
          </w:p>
        </w:tc>
        <w:tc>
          <w:tcPr>
            <w:tcW w:type="dxa" w:w="6146"/>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未学習の正常季節・条件が誤報となり，持続故障を正常として学習し得る</w:t>
            </w:r>
          </w:p>
        </w:tc>
      </w:tr>
      <w:tr>
        <w:trPr>
          <w:cantSplit/>
        </w:trPr>
        <w:tc>
          <w:tcPr>
            <w:tcW w:type="dxa" w:w="3213"/>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再構成は密度や予測信頼性ではない</w:t>
            </w:r>
          </w:p>
        </w:tc>
        <w:tc>
          <w:tcPr>
            <w:tcW w:type="dxa" w:w="6146"/>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疎な領域や一部の異常も良好に再構成され得る</w:t>
            </w:r>
          </w:p>
        </w:tc>
      </w:tr>
      <w:tr>
        <w:trPr>
          <w:cantSplit/>
        </w:trPr>
        <w:tc>
          <w:tcPr>
            <w:tcW w:type="dxa" w:w="3213"/>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有限固定窓</w:t>
            </w:r>
          </w:p>
        </w:tc>
        <w:tc>
          <w:tcPr>
            <w:tcW w:type="dxa" w:w="6146"/>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長周期，長い遅れ，不規則サンプリングを捉えられない可能性</w:t>
            </w:r>
          </w:p>
        </w:tc>
      </w:tr>
      <w:tr>
        <w:trPr>
          <w:cantSplit/>
        </w:trPr>
        <w:tc>
          <w:tcPr>
            <w:tcW w:type="dxa" w:w="3213"/>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全結合の規模</w:t>
            </w:r>
          </w:p>
        </w:tc>
        <w:tc>
          <w:tcPr>
            <w:tcW w:type="dxa" w:w="6146"/>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K と d の増加によりパラメータと計算が急増し得る</w:t>
            </w:r>
          </w:p>
        </w:tc>
      </w:tr>
      <w:tr>
        <w:trPr>
          <w:cantSplit/>
        </w:trPr>
        <w:tc>
          <w:tcPr>
            <w:tcW w:type="dxa" w:w="3213"/>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数値と離散状態の混合</w:t>
            </w:r>
          </w:p>
        </w:tc>
        <w:tc>
          <w:tcPr>
            <w:tcW w:type="dxa" w:w="6146"/>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符号化と尺度の設計が必要で，中央値や連続損失が稀な状態変化を隠し得る</w:t>
            </w:r>
          </w:p>
        </w:tc>
      </w:tr>
      <w:tr>
        <w:trPr>
          <w:cantSplit/>
        </w:trPr>
        <w:tc>
          <w:tcPr>
            <w:tcW w:type="dxa" w:w="3213"/>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ダウンサンプリング</w:t>
            </w:r>
          </w:p>
        </w:tc>
        <w:tc>
          <w:tcPr>
            <w:tcW w:type="dxa" w:w="6146"/>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雑音と計算量を減らす一方，短く重要な故障も除去し得る</w:t>
            </w:r>
          </w:p>
        </w:tc>
      </w:tr>
      <w:tr>
        <w:trPr>
          <w:cantSplit/>
        </w:trPr>
        <w:tc>
          <w:tcPr>
            <w:tcW w:type="dxa" w:w="3213"/>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しきい値の校正保証がない</w:t>
            </w:r>
          </w:p>
        </w:tc>
        <w:tc>
          <w:tcPr>
            <w:tcW w:type="dxa" w:w="6146"/>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最大 F1 はそのまま使える教師なし運用しきい値ではない</w:t>
            </w:r>
          </w:p>
        </w:tc>
      </w:tr>
      <w:tr>
        <w:trPr>
          <w:cantSplit/>
        </w:trPr>
        <w:tc>
          <w:tcPr>
            <w:tcW w:type="dxa" w:w="3213"/>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欠測 非同期 センサ交換</w:t>
            </w:r>
          </w:p>
        </w:tc>
        <w:tc>
          <w:tcPr>
            <w:tcW w:type="dxa" w:w="6146"/>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原モデルは完全な対処手順を示さず，前処理の変化がスコアに影響する</w:t>
            </w:r>
          </w:p>
        </w:tc>
      </w:tr>
      <w:tr>
        <w:trPr>
          <w:cantSplit/>
        </w:trPr>
        <w:tc>
          <w:tcPr>
            <w:tcW w:type="dxa" w:w="3213"/>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説明可能性が限定的</w:t>
            </w:r>
          </w:p>
        </w:tc>
        <w:tc>
          <w:tcPr>
            <w:tcW w:type="dxa" w:w="6146"/>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総誤差は根本原因を示さず，高誤差の変数が原因とは限らない</w:t>
            </w:r>
          </w:p>
        </w:tc>
      </w:tr>
      <w:tr>
        <w:trPr>
          <w:cantSplit/>
        </w:trPr>
        <w:tc>
          <w:tcPr>
            <w:tcW w:type="dxa" w:w="3213"/>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条件付き関係変化を観測できない</w:t>
            </w:r>
          </w:p>
        </w:tc>
        <w:tc>
          <w:tcPr>
            <w:tcW w:type="dxa" w:w="6146"/>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入力パターンが同じまま X と Y の関係が変わると見逃し得る</w:t>
            </w:r>
          </w:p>
        </w:tc>
      </w:tr>
    </w:tbl>
    <w:p>
      <w:pPr>
        <w:spacing w:after="60" w:before="0" w:line="60" w:lineRule="exact"/>
      </w:pPr>
    </w:p>
    <w:p>
      <w:pPr>
        <w:widowControl/>
        <w:spacing w:before="0" w:after="140" w:line="269" w:lineRule="auto"/>
      </w:pPr>
      <w:r>
        <w:rPr>
          <w:rFonts w:ascii="Georgia" w:hAnsi="Georgia" w:eastAsia="Yu Mincho"/>
          <w:b/>
          <w:sz w:val="24"/>
          <w:lang w:eastAsia="ja-JP"/>
        </w:rPr>
        <w:t>必要学習量。</w:t>
      </w:r>
      <w:r>
        <w:rPr>
          <w:rFonts w:ascii="Georgia" w:hAnsi="Georgia" w:eastAsia="Yu Mincho"/>
          <w:b w:val="0"/>
          <w:sz w:val="24"/>
          <w:lang w:eastAsia="ja-JP"/>
        </w:rPr>
        <w:t>最少件数の定理や共通下限はない。多数の実験点は百万点が必須であることを意味せず，数千点で十分とも示していない。運転条件の網羅，独立イベント数，時間相関による有効サンプル数を評価する。</w:t>
      </w:r>
    </w:p>
    <w:p>
      <w:pPr>
        <w:widowControl/>
        <w:spacing w:before="0" w:after="140" w:line="269" w:lineRule="auto"/>
      </w:pPr>
      <w:r>
        <w:rPr>
          <w:rFonts w:ascii="Georgia" w:hAnsi="Georgia" w:eastAsia="Yu Mincho"/>
          <w:b/>
          <w:sz w:val="24"/>
          <w:lang w:eastAsia="ja-JP"/>
        </w:rPr>
        <w:t>適用できる AI。</w:t>
      </w:r>
      <w:r>
        <w:rPr>
          <w:rFonts w:ascii="Georgia" w:hAnsi="Georgia" w:eastAsia="Yu Mincho"/>
          <w:b w:val="0"/>
          <w:sz w:val="24"/>
          <w:lang w:eastAsia="ja-JP"/>
        </w:rPr>
        <w:t>外置き検出器として回帰，木モデル，ニューラルネットなどと並行利用できる。ただし，これはインターフェース上の分析であり，論文による個別検証ではない。固定次元で数値化可能な時系列入力が必要で，対象 AI と同じ窓を使うかは別途記録する。</w:t>
      </w:r>
    </w:p>
    <w:p>
      <w:pPr>
        <w:widowControl/>
        <w:spacing w:before="0" w:after="140" w:line="269" w:lineRule="auto"/>
      </w:pPr>
      <w:r>
        <w:rPr>
          <w:rFonts w:ascii="Georgia" w:hAnsi="Georgia" w:eastAsia="Yu Mincho"/>
          <w:b/>
          <w:sz w:val="24"/>
          <w:lang w:eastAsia="ja-JP"/>
        </w:rPr>
        <w:t>計算量。</w:t>
      </w:r>
      <w:r>
        <w:rPr>
          <w:rFonts w:ascii="Georgia" w:hAnsi="Georgia" w:eastAsia="Yu Mincho"/>
          <w:b w:val="0"/>
          <w:sz w:val="24"/>
          <w:lang w:eastAsia="ja-JP"/>
        </w:rPr>
        <w:t>q=Kd とすると，エンコーダ幅は q→q/2→q/4→h，デコーダは各 h→q/4→q/2→q である。隠れ層は ReLU，出力は Sigmoid。後者の出力は0から1なので尺度を対応させる。付録末層は q/4→q と記載するが前層と接続せず，公開コードは q/2→q である。</w:t>
      </w:r>
    </w:p>
    <w:p>
      <w:pPr>
        <w:widowControl/>
        <w:spacing w:before="0" w:after="140" w:line="269" w:lineRule="auto"/>
      </w:pPr>
      <w:r>
        <w:rPr>
          <w:rFonts w:ascii="Georgia" w:hAnsi="Georgia" w:eastAsia="Yu Mincho"/>
          <w:b w:val="0"/>
          <w:sz w:val="24"/>
          <w:lang w:eastAsia="ja-JP"/>
        </w:rPr>
        <w:t>バイアスと丸めを無視したパラメータ主項は約15q²/8+3qh/4。単一窓の順伝播は O(q²+qh)，1エポックは窓数 Nw に対して O(Nw(q²+qh)) で，逆伝播と二目的更新の定数が加わる。オンラインにはモデルと少なくとも Kd 個の入力値が必要で，学習にはバッチの活性と最適化状態も必要になる。これらは構造からの導出であり，実機測定値ではない。</w:t>
      </w:r>
    </w:p>
    <w:p>
      <w:bookmarkStart w:id="29" w:name="sec_29"/>
      <w:pPr>
        <w:pStyle w:val="Heading1"/>
        <w:keepNext/>
        <w:spacing w:before="300" w:after="140"/>
        <w:jc w:val="left"/>
      </w:pPr>
      <w:r>
        <w:rPr>
          <w:rFonts w:ascii="Georgia" w:hAnsi="Georgia" w:eastAsia="Yu Mincho"/>
          <w:b w:val="0"/>
          <w:lang w:eastAsia="ja-JP"/>
        </w:rPr>
        <w:t>7 社会インフラと末端圧力推定への適用性</w:t>
      </w:r>
      <w:bookmarkEnd w:id="29"/>
    </w:p>
    <w:p>
      <w:bookmarkStart w:id="30" w:name="sec_30"/>
      <w:pPr>
        <w:pStyle w:val="Heading2"/>
        <w:keepNext/>
        <w:spacing w:before="200" w:after="140"/>
        <w:jc w:val="left"/>
      </w:pPr>
      <w:r>
        <w:rPr>
          <w:rFonts w:ascii="Georgia" w:hAnsi="Georgia" w:eastAsia="Yu Mincho"/>
          <w:b w:val="0"/>
          <w:lang w:eastAsia="ja-JP"/>
        </w:rPr>
        <w:t>7.1 証拠の強さ</w:t>
      </w:r>
      <w:bookmarkEnd w:id="30"/>
    </w:p>
    <w:tbl>
      <w:tblPr>
        <w:tblStyle w:val="Table1"/>
        <w:tblW w:type="dxa" w:w="9360"/>
        <w:jc w:val="left"/>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4579"/>
        <w:gridCol w:w="4780"/>
      </w:tblGrid>
      <w:tr>
        <w:trPr>
          <w:cantSplit/>
          <w:tblHeader/>
        </w:trPr>
        <w:tc>
          <w:tcPr>
            <w:tcW w:type="dxa" w:w="4579"/>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判断</w:t>
            </w:r>
          </w:p>
        </w:tc>
        <w:tc>
          <w:tcPr>
            <w:tcW w:type="dxa" w:w="4780"/>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裏付け</w:t>
            </w:r>
          </w:p>
        </w:tc>
      </w:tr>
      <w:tr>
        <w:trPr>
          <w:cantSplit/>
        </w:trPr>
        <w:tc>
          <w:tcPr>
            <w:tcW w:type="dxa" w:w="4579"/>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多変量数値監視入力を扱える</w:t>
            </w:r>
          </w:p>
        </w:tc>
        <w:tc>
          <w:tcPr>
            <w:tcW w:type="dxa" w:w="4780"/>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手法とすべての実験が直接支持</w:t>
            </w:r>
          </w:p>
        </w:tc>
      </w:tr>
      <w:tr>
        <w:trPr>
          <w:cantSplit/>
        </w:trPr>
        <w:tc>
          <w:tcPr>
            <w:tcW w:type="dxa" w:w="4579"/>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水処理 配水の異常研究に適用できる</w:t>
            </w:r>
          </w:p>
        </w:tc>
        <w:tc>
          <w:tcPr>
            <w:tcW w:type="dxa" w:w="4780"/>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SWaT と WADI が直接支持するが，テストベッドである</w:t>
            </w:r>
          </w:p>
        </w:tc>
      </w:tr>
      <w:tr>
        <w:trPr>
          <w:cantSplit/>
        </w:trPr>
        <w:tc>
          <w:tcPr>
            <w:tcW w:type="dxa" w:w="4579"/>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実 IT 運用のイベント発見を支援できる</w:t>
            </w:r>
          </w:p>
        </w:tc>
        <w:tc>
          <w:tcPr>
            <w:tcW w:type="dxa" w:w="4780"/>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Orange の実現可能性検証が支持</w:t>
            </w:r>
          </w:p>
        </w:tc>
      </w:tr>
      <w:tr>
        <w:trPr>
          <w:cantSplit/>
        </w:trPr>
        <w:tc>
          <w:tcPr>
            <w:tcW w:type="dxa" w:w="4579"/>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社内末端圧力モデルの入力を独立に評価できる</w:t>
            </w:r>
          </w:p>
        </w:tc>
        <w:tc>
          <w:tcPr>
            <w:tcW w:type="dxa" w:w="4780"/>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インターフェース上は可能だが，社内データで未検証</w:t>
            </w:r>
          </w:p>
        </w:tc>
      </w:tr>
      <w:tr>
        <w:trPr>
          <w:cantSplit/>
        </w:trPr>
        <w:tc>
          <w:tcPr>
            <w:tcW w:type="dxa" w:w="4579"/>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圧力予測誤差の上限を保証できる</w:t>
            </w:r>
          </w:p>
        </w:tc>
        <w:tc>
          <w:tcPr>
            <w:tcW w:type="dxa" w:w="4780"/>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根拠なし。論文の結論ではない</w:t>
            </w:r>
          </w:p>
        </w:tc>
      </w:tr>
      <w:tr>
        <w:trPr>
          <w:cantSplit/>
        </w:trPr>
        <w:tc>
          <w:tcPr>
            <w:tcW w:type="dxa" w:w="4579"/>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直接閉ループ安全制御に使える</w:t>
            </w:r>
          </w:p>
        </w:tc>
        <w:tc>
          <w:tcPr>
            <w:tcW w:type="dxa" w:w="4780"/>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原文で未検証</w:t>
            </w:r>
          </w:p>
        </w:tc>
      </w:tr>
    </w:tbl>
    <w:p>
      <w:pPr>
        <w:spacing w:after="60" w:before="0" w:line="60" w:lineRule="exact"/>
      </w:pPr>
    </w:p>
    <w:p>
      <w:pPr>
        <w:widowControl/>
        <w:spacing w:before="0" w:after="140" w:line="269" w:lineRule="auto"/>
      </w:pPr>
      <w:r>
        <w:rPr>
          <w:rFonts w:ascii="Georgia" w:hAnsi="Georgia" w:eastAsia="Yu Mincho"/>
          <w:b w:val="0"/>
          <w:sz w:val="24"/>
          <w:lang w:eastAsia="ja-JP"/>
        </w:rPr>
        <w:t>監視では，多変数の結合変化を捉える候補アラーム器として利用できる。制御では，スコア自体は選ぶべき制御操作や操作の安全性を示さず，アラームから制御方策への対応付けに領域モデルと独立検証が必要である。</w:t>
      </w:r>
    </w:p>
    <w:p>
      <w:bookmarkStart w:id="31" w:name="sec_31"/>
      <w:pPr>
        <w:pStyle w:val="Heading2"/>
        <w:keepNext/>
        <w:spacing w:before="200" w:after="140"/>
        <w:jc w:val="left"/>
      </w:pPr>
      <w:r>
        <w:rPr>
          <w:rFonts w:ascii="Georgia" w:hAnsi="Georgia" w:eastAsia="Yu Mincho"/>
          <w:b w:val="0"/>
          <w:lang w:eastAsia="ja-JP"/>
        </w:rPr>
        <w:t>7.2 末端圧力モデルへの接続案</w:t>
      </w:r>
      <w:bookmarkEnd w:id="31"/>
    </w:p>
    <w:p>
      <w:pPr>
        <w:widowControl/>
        <w:spacing w:before="0" w:after="140" w:line="269" w:lineRule="auto"/>
      </w:pPr>
      <w:r>
        <w:rPr>
          <w:rFonts w:ascii="Georgia" w:hAnsi="Georgia" w:eastAsia="Yu Mincho"/>
          <w:b w:val="0"/>
          <w:sz w:val="24"/>
          <w:lang w:eastAsia="ja-JP"/>
        </w:rPr>
        <w:t>社内の実変数表，周期，モデル形式，山原氏の論文は未提示である。以下は検討案であり，社内システムの既知の事実ではない。</w:t>
      </w:r>
    </w:p>
    <w:p>
      <w:pPr>
        <w:widowControl/>
        <w:spacing w:before="0" w:after="140" w:line="269" w:lineRule="auto"/>
      </w:pPr>
      <w:r>
        <w:rPr>
          <w:rFonts w:ascii="Georgia" w:hAnsi="Georgia" w:eastAsia="Yu Mincho"/>
          <w:b w:val="0"/>
          <w:sz w:val="24"/>
          <w:lang w:eastAsia="ja-JP"/>
        </w:rPr>
        <w:t>対象モデルを p̂t=f(Xt) とし，末端圧力を推定すると仮定する。入力候補は他地点の測定圧力，流量，ポンプ・弁状態などである。USAD は実際に取得できる入力履歴から Wt を作り，st を出力する。二つの経路は予測値と入力パターンの異常度をそれぞれ出力する。</w:t>
      </w:r>
    </w:p>
    <w:p>
      <w:pPr>
        <w:widowControl/>
        <w:spacing w:before="0" w:after="140" w:line="269" w:lineRule="auto"/>
      </w:pPr>
      <w:r>
        <w:rPr>
          <w:rFonts w:ascii="Georgia" w:hAnsi="Georgia" w:eastAsia="Yu Mincho"/>
          <w:b w:val="0"/>
          <w:sz w:val="24"/>
          <w:lang w:eastAsia="ja-JP"/>
        </w:rPr>
        <w:t>まず対象モデルが現在 Xt のみを使うか，過去窓を使うかを確認する。USAD が追加履歴を使う場合，より豊富な情報空間を検査するため，アラームが現在 Xt の未学習を必ず意味するわけではない。末端実圧力がオンラインで得られない場合，検出の都合で入力へ追加してはならない。離線評価には保留した実圧力を使用できる。</w:t>
      </w:r>
    </w:p>
    <w:p>
      <w:bookmarkStart w:id="32" w:name="sec_32"/>
      <w:pPr>
        <w:pStyle w:val="Heading2"/>
        <w:keepNext/>
        <w:spacing w:before="200" w:after="140"/>
        <w:jc w:val="left"/>
      </w:pPr>
      <w:r>
        <w:rPr>
          <w:rFonts w:ascii="Georgia" w:hAnsi="Georgia" w:eastAsia="Yu Mincho"/>
          <w:b w:val="0"/>
          <w:lang w:eastAsia="ja-JP"/>
        </w:rPr>
        <w:t>7.3 三種類の学習外に対する検証設計</w:t>
      </w:r>
      <w:bookmarkEnd w:id="32"/>
    </w:p>
    <w:tbl>
      <w:tblPr>
        <w:tblStyle w:val="Table1"/>
        <w:tblW w:type="dxa" w:w="9360"/>
        <w:jc w:val="left"/>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562"/>
        <w:gridCol w:w="4109"/>
        <w:gridCol w:w="3688"/>
      </w:tblGrid>
      <w:tr>
        <w:trPr>
          <w:cantSplit/>
          <w:tblHeader/>
        </w:trPr>
        <w:tc>
          <w:tcPr>
            <w:tcW w:type="dxa" w:w="1562"/>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分類</w:t>
            </w:r>
          </w:p>
        </w:tc>
        <w:tc>
          <w:tcPr>
            <w:tcW w:type="dxa" w:w="4109"/>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構成または選択案</w:t>
            </w:r>
          </w:p>
        </w:tc>
        <w:tc>
          <w:tcPr>
            <w:tcW w:type="dxa" w:w="3688"/>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避けるべき誤解</w:t>
            </w:r>
          </w:p>
        </w:tc>
      </w:tr>
      <w:tr>
        <w:trPr>
          <w:cantSplit/>
        </w:trPr>
        <w:tc>
          <w:tcPr>
            <w:tcW w:type="dxa" w:w="1562"/>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① 範囲または分布外</w:t>
            </w:r>
          </w:p>
        </w:tc>
        <w:tc>
          <w:tcPr>
            <w:tcW w:type="dxa" w:w="4109"/>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特定運転条件を学習から留保し，物理的制約内で範囲外入力を作る。範囲内の分布変化も別評価</w:t>
            </w:r>
          </w:p>
        </w:tc>
        <w:tc>
          <w:tcPr>
            <w:tcW w:type="dxa" w:w="3688"/>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独立雑音が物理的に不可能な状態を作ると，実故障を代表しない</w:t>
            </w:r>
          </w:p>
        </w:tc>
      </w:tr>
      <w:tr>
        <w:trPr>
          <w:cantSplit/>
        </w:trPr>
        <w:tc>
          <w:tcPr>
            <w:tcW w:type="dxa" w:w="1562"/>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② 学習不足領域</w:t>
            </w:r>
          </w:p>
        </w:tc>
        <w:tc>
          <w:tcPr>
            <w:tcW w:type="dxa" w:w="4109"/>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有効運転空間の局所領域を除外または疎化し，その領域の実サンプルでテスト</w:t>
            </w:r>
          </w:p>
        </w:tc>
        <w:tc>
          <w:tcPr>
            <w:tcW w:type="dxa" w:w="3688"/>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USAD と対象 AI のどちらから何を除いたかを明記しないと基準が一致しない</w:t>
            </w:r>
          </w:p>
        </w:tc>
      </w:tr>
      <w:tr>
        <w:trPr>
          <w:cantSplit/>
        </w:trPr>
        <w:tc>
          <w:tcPr>
            <w:tcW w:type="dxa" w:w="1562"/>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③ 関係変化</w:t>
            </w:r>
          </w:p>
        </w:tc>
        <w:tc>
          <w:tcPr>
            <w:tcW w:type="dxa" w:w="4109"/>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実イベントまたはシミュレーションで結合・遅れを変え，辺縁範囲を可能な限り維持</w:t>
            </w:r>
          </w:p>
        </w:tc>
        <w:tc>
          <w:tcPr>
            <w:tcW w:type="dxa" w:w="3688"/>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ランダムな変数入替えは範囲・密度・物理の異常を同時に作り得る</w:t>
            </w:r>
          </w:p>
        </w:tc>
      </w:tr>
    </w:tbl>
    <w:p>
      <w:pPr>
        <w:spacing w:after="60" w:before="0" w:line="60" w:lineRule="exact"/>
      </w:pPr>
    </w:p>
    <w:p>
      <w:pPr>
        <w:widowControl/>
        <w:spacing w:before="0" w:after="140" w:line="269" w:lineRule="auto"/>
      </w:pPr>
      <w:r>
        <w:rPr>
          <w:rFonts w:ascii="Georgia" w:hAnsi="Georgia" w:eastAsia="Yu Mincho"/>
          <w:b w:val="0"/>
          <w:sz w:val="24"/>
          <w:lang w:eastAsia="ja-JP"/>
        </w:rPr>
        <w:t>分類は重なり得る。広義の①分布外は③を含むことがあるため，「範囲逸脱，密度低下，関係変化，時間変化」の複数ラベルで記録するのが望ましい。Point／Contextual／Collective は別軸として，単点，特定文脈，系列全体の異常を交差分類する。イベント持続時間も独立項目とする。</w:t>
      </w:r>
    </w:p>
    <w:p>
      <w:bookmarkStart w:id="33" w:name="sec_33"/>
      <w:pPr>
        <w:pStyle w:val="Heading2"/>
        <w:keepNext/>
        <w:spacing w:before="200" w:after="140"/>
        <w:jc w:val="left"/>
      </w:pPr>
      <w:r>
        <w:rPr>
          <w:rFonts w:ascii="Georgia" w:hAnsi="Georgia" w:eastAsia="Yu Mincho"/>
          <w:b w:val="0"/>
          <w:lang w:eastAsia="ja-JP"/>
        </w:rPr>
        <w:t>7.4 対象 AI に役立つかを評価する方法</w:t>
      </w:r>
      <w:bookmarkEnd w:id="33"/>
    </w:p>
    <w:p>
      <w:pPr>
        <w:widowControl/>
        <w:spacing w:before="0" w:after="140" w:line="269" w:lineRule="auto"/>
      </w:pPr>
      <w:r>
        <w:rPr>
          <w:rFonts w:ascii="Georgia" w:hAnsi="Georgia" w:eastAsia="Yu Mincho"/>
          <w:b w:val="0"/>
          <w:sz w:val="24"/>
          <w:lang w:eastAsia="ja-JP"/>
        </w:rPr>
        <w:t>独立テスト期間にスコア st，推定圧力 p̂t，実圧力 pt を記録し，タスク誤差 |pt−p̂t| を評価する。これは USAD の再構成誤差とは別の量である。</w:t>
      </w:r>
    </w:p>
    <w:p>
      <w:pPr>
        <w:widowControl/>
        <w:spacing w:before="0" w:after="140" w:line="269" w:lineRule="auto"/>
      </w:pPr>
      <w:r>
        <w:rPr>
          <w:rFonts w:ascii="Georgia" w:hAnsi="Georgia" w:eastAsia="Yu Mincho"/>
          <w:b w:val="0"/>
          <w:sz w:val="24"/>
          <w:lang w:eastAsia="ja-JP"/>
        </w:rPr>
        <w:t>三種類の入力の検出率，正常期間 FPR，1日当たり誤アラームイベント数，初回検出遅延を報告する。さらに，非アラーム時の圧力誤差，危険な大誤差のうちアラームが覆った割合，しきい値ごとに採用可能な予測の割合を調べる。正解目標値がなければ入力異常だけを評価でき，予測信頼性を検証したとはいえない。</w:t>
      </w:r>
    </w:p>
    <w:p>
      <w:pPr>
        <w:widowControl/>
        <w:spacing w:before="0" w:after="140" w:line="269" w:lineRule="auto"/>
      </w:pPr>
      <w:r>
        <w:rPr>
          <w:rFonts w:ascii="Georgia" w:hAnsi="Georgia" w:eastAsia="Yu Mincho"/>
          <w:b w:val="0"/>
          <w:sz w:val="24"/>
          <w:lang w:eastAsia="ja-JP"/>
        </w:rPr>
        <w:t>学習，校正，テストは時間分割し，集合を跨ぐ窓の重複を処理して，同じ原始点が学習とテスト双方へ入らないようにする。運転モード・季節別に報告し，point-adjust なしの結果を保持する。これは本研究の追加提案であり，原論文で完了した実験ではない。</w:t>
      </w:r>
    </w:p>
    <w:p>
      <w:bookmarkStart w:id="34" w:name="sec_34"/>
      <w:pPr>
        <w:pStyle w:val="Heading1"/>
        <w:keepNext/>
        <w:spacing w:before="300" w:after="140"/>
        <w:jc w:val="left"/>
      </w:pPr>
      <w:r>
        <w:rPr>
          <w:rFonts w:ascii="Georgia" w:hAnsi="Georgia" w:eastAsia="Yu Mincho"/>
          <w:b w:val="0"/>
          <w:lang w:eastAsia="ja-JP"/>
        </w:rPr>
        <w:t>8 原文の不整合と確認事項</w:t>
      </w:r>
      <w:bookmarkEnd w:id="34"/>
    </w:p>
    <w:tbl>
      <w:tblPr>
        <w:tblStyle w:val="Table1"/>
        <w:tblW w:type="dxa" w:w="9360"/>
        <w:jc w:val="left"/>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392"/>
        <w:gridCol w:w="3721"/>
        <w:gridCol w:w="3245"/>
      </w:tblGrid>
      <w:tr>
        <w:trPr>
          <w:cantSplit/>
          <w:tblHeader/>
        </w:trPr>
        <w:tc>
          <w:tcPr>
            <w:tcW w:type="dxa" w:w="2392"/>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項目</w:t>
            </w:r>
          </w:p>
        </w:tc>
        <w:tc>
          <w:tcPr>
            <w:tcW w:type="dxa" w:w="3721"/>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原文または外部証拠</w:t>
            </w:r>
          </w:p>
        </w:tc>
        <w:tc>
          <w:tcPr>
            <w:tcW w:type="dxa" w:w="3245"/>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本報告の処理</w:t>
            </w:r>
          </w:p>
        </w:tc>
      </w:tr>
      <w:tr>
        <w:trPr>
          <w:cantSplit/>
        </w:trPr>
        <w:tc>
          <w:tcPr>
            <w:tcW w:type="dxa" w:w="2392"/>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SMD 次元</w:t>
            </w:r>
          </w:p>
        </w:tc>
        <w:tc>
          <w:tcPr>
            <w:tcW w:type="dxa" w:w="3721"/>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§4.1は33，表1と提供元は38</w:t>
            </w:r>
          </w:p>
        </w:tc>
        <w:tc>
          <w:tcPr>
            <w:tcW w:type="dxa" w:w="3245"/>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38を用い不一致を明示</w:t>
            </w:r>
          </w:p>
        </w:tc>
      </w:tr>
      <w:tr>
        <w:trPr>
          <w:cantSplit/>
        </w:trPr>
        <w:tc>
          <w:tcPr>
            <w:tcW w:type="dxa" w:w="2392"/>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m の重複使用</w:t>
            </w:r>
          </w:p>
        </w:tc>
        <w:tc>
          <w:tcPr>
            <w:tcW w:type="dxa" w:w="3721"/>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入力と潜在次元に使用</w:t>
            </w:r>
          </w:p>
        </w:tc>
        <w:tc>
          <w:tcPr>
            <w:tcW w:type="dxa" w:w="3245"/>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d と h に分離</w:t>
            </w:r>
          </w:p>
        </w:tc>
      </w:tr>
      <w:tr>
        <w:trPr>
          <w:cantSplit/>
        </w:trPr>
        <w:tc>
          <w:tcPr>
            <w:tcW w:type="dxa" w:w="2392"/>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L2 と MSE</w:t>
            </w:r>
          </w:p>
        </w:tc>
        <w:tc>
          <w:tcPr>
            <w:tcW w:type="dxa" w:w="3721"/>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式2–9はL2，公開コードはMSE</w:t>
            </w:r>
          </w:p>
        </w:tc>
        <w:tc>
          <w:tcPr>
            <w:tcW w:type="dxa" w:w="3245"/>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別々に説明し，しきい値を流用しない</w:t>
            </w:r>
          </w:p>
        </w:tc>
      </w:tr>
      <w:tr>
        <w:trPr>
          <w:cantSplit/>
        </w:trPr>
        <w:tc>
          <w:tcPr>
            <w:tcW w:type="dxa" w:w="2392"/>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デコーダ末層</w:t>
            </w:r>
          </w:p>
        </w:tc>
        <w:tc>
          <w:tcPr>
            <w:tcW w:type="dxa" w:w="3721"/>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付録の q/4→q は前層と不整合</w:t>
            </w:r>
          </w:p>
        </w:tc>
        <w:tc>
          <w:tcPr>
            <w:tcW w:type="dxa" w:w="3245"/>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コード q/2→q を併記</w:t>
            </w:r>
          </w:p>
        </w:tc>
      </w:tr>
      <w:tr>
        <w:trPr>
          <w:cantSplit/>
        </w:trPr>
        <w:tc>
          <w:tcPr>
            <w:tcW w:type="dxa" w:w="2392"/>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平均増分0.096</w:t>
            </w:r>
          </w:p>
        </w:tc>
        <w:tc>
          <w:tcPr>
            <w:tcW w:type="dxa" w:w="3721"/>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表2からは約0.00968</w:t>
            </w:r>
          </w:p>
        </w:tc>
        <w:tc>
          <w:tcPr>
            <w:tcW w:type="dxa" w:w="3245"/>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本文の桁をそのまま引用しない</w:t>
            </w:r>
          </w:p>
        </w:tc>
      </w:tr>
      <w:tr>
        <w:trPr>
          <w:cantSplit/>
        </w:trPr>
        <w:tc>
          <w:tcPr>
            <w:tcW w:type="dxa" w:w="2392"/>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TP 3%減少</w:t>
            </w:r>
          </w:p>
        </w:tc>
        <w:tc>
          <w:tcPr>
            <w:tcW w:type="dxa" w:w="3721"/>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表4からは約4.46%</w:t>
            </w:r>
          </w:p>
        </w:tc>
        <w:tc>
          <w:tcPr>
            <w:tcW w:type="dxa" w:w="3245"/>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表値と再計算を記載</w:t>
            </w:r>
          </w:p>
        </w:tc>
      </w:tr>
      <w:tr>
        <w:trPr>
          <w:cantSplit/>
        </w:trPr>
        <w:tc>
          <w:tcPr>
            <w:tcW w:type="dxa" w:w="2392"/>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アブレーション増分</w:t>
            </w:r>
          </w:p>
        </w:tc>
        <w:tc>
          <w:tcPr>
            <w:tcW w:type="dxa" w:w="3721"/>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図値の平均差と24.09%が不一致</w:t>
            </w:r>
          </w:p>
        </w:tc>
        <w:tc>
          <w:tcPr>
            <w:tcW w:type="dxa" w:w="3245"/>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図値を示し，相対%とポイントを区別</w:t>
            </w:r>
          </w:p>
        </w:tc>
      </w:tr>
      <w:tr>
        <w:trPr>
          <w:cantSplit/>
        </w:trPr>
        <w:tc>
          <w:tcPr>
            <w:tcW w:type="dxa" w:w="2392"/>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SWaT のK</w:t>
            </w:r>
          </w:p>
        </w:tc>
        <w:tc>
          <w:tcPr>
            <w:tcW w:type="dxa" w:w="3721"/>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本文最良10，表7設定12</w:t>
            </w:r>
          </w:p>
        </w:tc>
        <w:tc>
          <w:tcPr>
            <w:tcW w:type="dxa" w:w="3245"/>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両方保持</w:t>
            </w:r>
          </w:p>
        </w:tc>
      </w:tr>
      <w:tr>
        <w:trPr>
          <w:cantSplit/>
        </w:trPr>
        <w:tc>
          <w:tcPr>
            <w:tcW w:type="dxa" w:w="2392"/>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最良しきい値</w:t>
            </w:r>
          </w:p>
        </w:tc>
        <w:tc>
          <w:tcPr>
            <w:tcW w:type="dxa" w:w="3721"/>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独立校正集合の説明なし</w:t>
            </w:r>
          </w:p>
        </w:tc>
        <w:tc>
          <w:tcPr>
            <w:tcW w:type="dxa" w:w="3245"/>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教師なし自動選択と呼ばず，探索刻みを捏造しない</w:t>
            </w:r>
          </w:p>
        </w:tc>
      </w:tr>
      <w:tr>
        <w:trPr>
          <w:cantSplit/>
        </w:trPr>
        <w:tc>
          <w:tcPr>
            <w:tcW w:type="dxa" w:w="2392"/>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時点と窓と集約ラベル</w:t>
            </w:r>
          </w:p>
        </w:tc>
        <w:tc>
          <w:tcPr>
            <w:tcW w:type="dxa" w:w="3721"/>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完全な対応規則が不足</w:t>
            </w:r>
          </w:p>
        </w:tc>
        <w:tc>
          <w:tcPr>
            <w:tcW w:type="dxa" w:w="3245"/>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再現時に確認</w:t>
            </w:r>
          </w:p>
        </w:tc>
      </w:tr>
      <w:tr>
        <w:trPr>
          <w:cantSplit/>
        </w:trPr>
        <w:tc>
          <w:tcPr>
            <w:tcW w:type="dxa" w:w="2392"/>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表1の件数と日数</w:t>
            </w:r>
          </w:p>
        </w:tc>
        <w:tc>
          <w:tcPr>
            <w:tcW w:type="dxa" w:w="3721"/>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SWaTとWADIの秒換算が一致しない</w:t>
            </w:r>
          </w:p>
        </w:tc>
        <w:tc>
          <w:tcPr>
            <w:tcW w:type="dxa" w:w="3245"/>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版と切り出しを確認</w:t>
            </w:r>
          </w:p>
        </w:tc>
      </w:tr>
      <w:tr>
        <w:trPr>
          <w:cantSplit/>
        </w:trPr>
        <w:tc>
          <w:tcPr>
            <w:tcW w:type="dxa" w:w="2392"/>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速度と安定性</w:t>
            </w:r>
          </w:p>
        </w:tc>
        <w:tc>
          <w:tcPr>
            <w:tcW w:type="dxa" w:w="3721"/>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epoch単位で，多シードと遅延測定が不足</w:t>
            </w:r>
          </w:p>
        </w:tc>
        <w:tc>
          <w:tcPr>
            <w:tcW w:type="dxa" w:w="3245"/>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総時間やハードリアルタイムを保証しない</w:t>
            </w:r>
          </w:p>
        </w:tc>
      </w:tr>
      <w:tr>
        <w:trPr>
          <w:cantSplit/>
        </w:trPr>
        <w:tc>
          <w:tcPr>
            <w:tcW w:type="dxa" w:w="2392"/>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Orange の詳細</w:t>
            </w:r>
          </w:p>
        </w:tc>
        <w:tc>
          <w:tcPr>
            <w:tcW w:type="dxa" w:w="3721"/>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パラメータ 周期 イベント数が未公開</w:t>
            </w:r>
          </w:p>
        </w:tc>
        <w:tc>
          <w:tcPr>
            <w:tcW w:type="dxa" w:w="3245"/>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記載なしとする</w:t>
            </w:r>
          </w:p>
        </w:tc>
      </w:tr>
      <w:tr>
        <w:trPr>
          <w:cantSplit/>
        </w:trPr>
        <w:tc>
          <w:tcPr>
            <w:tcW w:type="dxa" w:w="2392"/>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NASA のライセンス</w:t>
            </w:r>
          </w:p>
        </w:tc>
        <w:tc>
          <w:tcPr>
            <w:tcW w:type="dxa" w:w="3721"/>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READMEとLICENSEが異なる</w:t>
            </w:r>
          </w:p>
        </w:tc>
        <w:tc>
          <w:tcPr>
            <w:tcW w:type="dxa" w:w="3245"/>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差異を保持し実データ条件を確認</w:t>
            </w:r>
          </w:p>
        </w:tc>
      </w:tr>
    </w:tbl>
    <w:p>
      <w:pPr>
        <w:spacing w:after="60" w:before="0" w:line="60" w:lineRule="exact"/>
      </w:pPr>
    </w:p>
    <w:p>
      <w:pPr>
        <w:widowControl/>
        <w:spacing w:before="0" w:after="140" w:line="269" w:lineRule="auto"/>
      </w:pPr>
      <w:r>
        <w:rPr>
          <w:rFonts w:ascii="Georgia" w:hAnsi="Georgia" w:eastAsia="Yu Mincho"/>
          <w:b w:val="0"/>
          <w:sz w:val="24"/>
          <w:lang w:eastAsia="ja-JP"/>
        </w:rPr>
        <w:t>これらは手法の無効性を意味せず，直接引用できる結論と，再現・追加証拠が必要な結論の境界を示す。</w:t>
      </w:r>
    </w:p>
    <w:p>
      <w:bookmarkStart w:id="35" w:name="sec_35"/>
      <w:pPr>
        <w:pStyle w:val="Heading1"/>
        <w:keepNext/>
        <w:spacing w:before="300" w:after="140"/>
        <w:jc w:val="left"/>
      </w:pPr>
      <w:r>
        <w:rPr>
          <w:rFonts w:ascii="Georgia" w:hAnsi="Georgia" w:eastAsia="Yu Mincho"/>
          <w:b w:val="0"/>
          <w:lang w:eastAsia="ja-JP"/>
        </w:rPr>
        <w:t>9 総合研究報告に向けた標準記録</w:t>
      </w:r>
      <w:bookmarkEnd w:id="35"/>
    </w:p>
    <w:tbl>
      <w:tblPr>
        <w:tblStyle w:val="Table1"/>
        <w:tblW w:type="dxa" w:w="9360"/>
        <w:jc w:val="left"/>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014"/>
        <w:gridCol w:w="6345"/>
      </w:tblGrid>
      <w:tr>
        <w:trPr>
          <w:cantSplit/>
          <w:tblHeader/>
        </w:trPr>
        <w:tc>
          <w:tcPr>
            <w:tcW w:type="dxa" w:w="3014"/>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項目</w:t>
            </w:r>
          </w:p>
        </w:tc>
        <w:tc>
          <w:tcPr>
            <w:tcW w:type="dxa" w:w="6345"/>
            <w:vAlign w:val="center"/>
            <w:tcMar>
              <w:top w:w="90" w:type="dxa"/>
              <w:bottom w:w="90" w:type="dxa"/>
              <w:left w:w="90" w:type="dxa"/>
              <w:right w:w="90" w:type="dxa"/>
            </w:tcMar>
            <w:shd w:fill="E7EDE8"/>
          </w:tcPr>
          <w:p>
            <w:pPr>
              <w:widowControl/>
              <w:spacing w:before="0" w:after="100" w:line="264" w:lineRule="auto"/>
            </w:pPr>
            <w:r>
              <w:rPr>
                <w:rFonts w:ascii="Georgia" w:hAnsi="Georgia" w:eastAsia="Yu Mincho"/>
                <w:b/>
                <w:sz w:val="20"/>
                <w:lang w:eastAsia="ja-JP"/>
              </w:rPr>
              <w:t>本論文の結論</w:t>
            </w:r>
          </w:p>
        </w:tc>
      </w:tr>
      <w:tr>
        <w:trPr>
          <w:cantSplit/>
        </w:trPr>
        <w:tc>
          <w:tcPr>
            <w:tcW w:type="dxa" w:w="3014"/>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手法</w:t>
            </w:r>
          </w:p>
        </w:tc>
        <w:tc>
          <w:tcPr>
            <w:tcW w:type="dxa" w:w="6345"/>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USAD，KDD 2020</w:t>
            </w:r>
          </w:p>
        </w:tc>
      </w:tr>
      <w:tr>
        <w:trPr>
          <w:cantSplit/>
        </w:trPr>
        <w:tc>
          <w:tcPr>
            <w:tcW w:type="dxa" w:w="3014"/>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対象</w:t>
            </w:r>
          </w:p>
        </w:tc>
        <w:tc>
          <w:tcPr>
            <w:tcW w:type="dxa" w:w="6345"/>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多変量固定長時間窓の異常</w:t>
            </w:r>
          </w:p>
        </w:tc>
      </w:tr>
      <w:tr>
        <w:trPr>
          <w:cantSplit/>
        </w:trPr>
        <w:tc>
          <w:tcPr>
            <w:tcW w:type="dxa" w:w="3014"/>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学習外定義</w:t>
            </w:r>
          </w:p>
        </w:tc>
        <w:tc>
          <w:tcPr>
            <w:tcW w:type="dxa" w:w="6345"/>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正常学習窓パターンからの顕著な逸脱を再構成誤差で代理</w:t>
            </w:r>
          </w:p>
        </w:tc>
      </w:tr>
      <w:tr>
        <w:trPr>
          <w:cantSplit/>
        </w:trPr>
        <w:tc>
          <w:tcPr>
            <w:tcW w:type="dxa" w:w="3014"/>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主分類</w:t>
            </w:r>
          </w:p>
        </w:tc>
        <w:tc>
          <w:tcPr>
            <w:tcW w:type="dxa" w:w="6345"/>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再構成誤差，AEと敵対学習</w:t>
            </w:r>
          </w:p>
        </w:tc>
      </w:tr>
      <w:tr>
        <w:trPr>
          <w:cantSplit/>
        </w:trPr>
        <w:tc>
          <w:tcPr>
            <w:tcW w:type="dxa" w:w="3014"/>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学習ラベル</w:t>
            </w:r>
          </w:p>
        </w:tc>
        <w:tc>
          <w:tcPr>
            <w:tcW w:type="dxa" w:w="6345"/>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損失に異常ラベル不要。正常または主として正常な学習期間を選択</w:t>
            </w:r>
          </w:p>
        </w:tc>
      </w:tr>
      <w:tr>
        <w:trPr>
          <w:cantSplit/>
        </w:trPr>
        <w:tc>
          <w:tcPr>
            <w:tcW w:type="dxa" w:w="3014"/>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運用情報</w:t>
            </w:r>
          </w:p>
        </w:tc>
        <w:tc>
          <w:tcPr>
            <w:tcW w:type="dxa" w:w="6345"/>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入力履歴，前処理，USADネットワーク，重み，しきい値</w:t>
            </w:r>
          </w:p>
        </w:tc>
      </w:tr>
      <w:tr>
        <w:trPr>
          <w:cantSplit/>
        </w:trPr>
        <w:tc>
          <w:tcPr>
            <w:tcW w:type="dxa" w:w="3014"/>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対象 AI へのアクセス</w:t>
            </w:r>
          </w:p>
        </w:tc>
        <w:tc>
          <w:tcPr>
            <w:tcW w:type="dxa" w:w="6345"/>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内部 出力 勾配は不要</w:t>
            </w:r>
          </w:p>
        </w:tc>
      </w:tr>
      <w:tr>
        <w:trPr>
          <w:cantSplit/>
        </w:trPr>
        <w:tc>
          <w:tcPr>
            <w:tcW w:type="dxa" w:w="3014"/>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スコア方向</w:t>
            </w:r>
          </w:p>
        </w:tc>
        <w:tc>
          <w:tcPr>
            <w:tcW w:type="dxa" w:w="6345"/>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直接と直列の再構成誤差。大きいほど異常</w:t>
            </w:r>
          </w:p>
        </w:tc>
      </w:tr>
      <w:tr>
        <w:trPr>
          <w:cantSplit/>
        </w:trPr>
        <w:tc>
          <w:tcPr>
            <w:tcW w:type="dxa" w:w="3014"/>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しきい値</w:t>
            </w:r>
          </w:p>
        </w:tc>
        <w:tc>
          <w:tcPr>
            <w:tcW w:type="dxa" w:w="6345"/>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最高F1探索を報告。運用校正は不十分</w:t>
            </w:r>
          </w:p>
        </w:tc>
      </w:tr>
      <w:tr>
        <w:trPr>
          <w:cantSplit/>
        </w:trPr>
        <w:tc>
          <w:tcPr>
            <w:tcW w:type="dxa" w:w="3014"/>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①②③への対応</w:t>
            </w:r>
          </w:p>
        </w:tc>
        <w:tc>
          <w:tcPr>
            <w:tcW w:type="dxa" w:w="6345"/>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①可能性あり，②直接保証なし，③潜在能力はあるが独立検証なし</w:t>
            </w:r>
          </w:p>
        </w:tc>
      </w:tr>
      <w:tr>
        <w:trPr>
          <w:cantSplit/>
        </w:trPr>
        <w:tc>
          <w:tcPr>
            <w:tcW w:type="dxa" w:w="3014"/>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データ証拠</w:t>
            </w:r>
          </w:p>
        </w:tc>
        <w:tc>
          <w:tcPr>
            <w:tcW w:type="dxa" w:w="6345"/>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SWaT WADI SMD SMAP MSLとOrange専有データ</w:t>
            </w:r>
          </w:p>
        </w:tc>
      </w:tr>
      <w:tr>
        <w:trPr>
          <w:cantSplit/>
        </w:trPr>
        <w:tc>
          <w:tcPr>
            <w:tcW w:type="dxa" w:w="3014"/>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主な価値</w:t>
            </w:r>
          </w:p>
        </w:tc>
        <w:tc>
          <w:tcPr>
            <w:tcW w:type="dxa" w:w="6345"/>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独立した比較的高速な時系列入力検出基準</w:t>
            </w:r>
          </w:p>
        </w:tc>
      </w:tr>
      <w:tr>
        <w:trPr>
          <w:cantSplit/>
        </w:trPr>
        <w:tc>
          <w:tcPr>
            <w:tcW w:type="dxa" w:w="3014"/>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主な証拠制約</w:t>
            </w:r>
          </w:p>
        </w:tc>
        <w:tc>
          <w:tcPr>
            <w:tcW w:type="dxa" w:w="6345"/>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Point-adjustと最良しきい値。対象予測信頼性の検証なし</w:t>
            </w:r>
          </w:p>
        </w:tc>
      </w:tr>
      <w:tr>
        <w:trPr>
          <w:cantSplit/>
        </w:trPr>
        <w:tc>
          <w:tcPr>
            <w:tcW w:type="dxa" w:w="3014"/>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社会インフラ</w:t>
            </w:r>
          </w:p>
        </w:tc>
        <w:tc>
          <w:tcPr>
            <w:tcW w:type="dxa" w:w="6345"/>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監視候補として有望。閉ループにはタスク単位の検証が必要</w:t>
            </w:r>
          </w:p>
        </w:tc>
      </w:tr>
      <w:tr>
        <w:trPr>
          <w:cantSplit/>
        </w:trPr>
        <w:tc>
          <w:tcPr>
            <w:tcW w:type="dxa" w:w="3014"/>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次の優先課題</w:t>
            </w:r>
          </w:p>
        </w:tc>
        <w:tc>
          <w:tcPr>
            <w:tcW w:type="dxa" w:w="6345"/>
            <w:vAlign w:val="center"/>
            <w:tcMar>
              <w:top w:w="90" w:type="dxa"/>
              <w:bottom w:w="90" w:type="dxa"/>
              <w:left w:w="90" w:type="dxa"/>
              <w:right w:w="90" w:type="dxa"/>
            </w:tcMar>
          </w:tcPr>
          <w:p>
            <w:pPr>
              <w:widowControl/>
              <w:spacing w:before="0" w:after="100" w:line="264" w:lineRule="auto"/>
            </w:pPr>
            <w:r>
              <w:rPr>
                <w:rFonts w:ascii="Georgia" w:hAnsi="Georgia" w:eastAsia="Yu Mincho"/>
                <w:b w:val="0"/>
                <w:sz w:val="20"/>
                <w:lang w:eastAsia="ja-JP"/>
              </w:rPr>
              <w:t>社内モデル入力と学習範囲の明確化，漏洩のない固定しきい値，三種類別評価</w:t>
            </w:r>
          </w:p>
        </w:tc>
      </w:tr>
    </w:tbl>
    <w:p>
      <w:pPr>
        <w:spacing w:after="60" w:before="0" w:line="60" w:lineRule="exact"/>
      </w:pPr>
    </w:p>
    <w:p>
      <w:bookmarkStart w:id="36" w:name="sec_36"/>
      <w:pPr>
        <w:pStyle w:val="Heading1"/>
        <w:keepNext/>
        <w:spacing w:before="300" w:after="140"/>
        <w:jc w:val="left"/>
      </w:pPr>
      <w:r>
        <w:rPr>
          <w:rFonts w:ascii="Georgia" w:hAnsi="Georgia" w:eastAsia="Yu Mincho"/>
          <w:b w:val="0"/>
          <w:lang w:eastAsia="ja-JP"/>
        </w:rPr>
        <w:t>10 出典索引</w:t>
      </w:r>
      <w:bookmarkEnd w:id="36"/>
    </w:p>
    <w:p>
      <w:pPr>
        <w:widowControl/>
        <w:spacing w:before="0" w:after="140" w:line="269" w:lineRule="auto"/>
      </w:pPr>
      <w:r>
        <w:rPr>
          <w:rFonts w:ascii="Georgia" w:hAnsi="Georgia" w:eastAsia="Yu Mincho"/>
          <w:b w:val="0"/>
          <w:sz w:val="24"/>
          <w:lang w:eastAsia="ja-JP"/>
        </w:rPr>
        <w:t>「論文」は提供された10ページの USAD PDF を指す。§3.1–3.3はPDF 2–4，§4は4–5，表2–3は6，表4–5は7，図2–3と表6は8，図4は9，表7と実装付録は10ページである。</w:t>
      </w:r>
    </w:p>
    <w:p>
      <w:pPr>
        <w:widowControl/>
        <w:spacing w:before="0" w:after="140" w:line="269" w:lineRule="auto"/>
      </w:pPr>
      <w:r>
        <w:rPr>
          <w:rFonts w:ascii="Georgia" w:hAnsi="Georgia" w:eastAsia="Yu Mincho"/>
          <w:b w:val="0"/>
          <w:sz w:val="24"/>
          <w:lang w:eastAsia="ja-JP"/>
        </w:rPr>
        <w:t>外部資料は実装とデータ由来の補足に用い，他論文の成績で本論文の実験値を置き換えていない。</w:t>
      </w:r>
    </w:p>
    <w:p>
      <w:pPr>
        <w:widowControl/>
        <w:spacing w:before="0" w:after="140" w:line="269" w:lineRule="auto"/>
        <w:ind w:left="216" w:hanging="216"/>
      </w:pPr>
      <w:r>
        <w:rPr>
          <w:rFonts w:ascii="Georgia" w:hAnsi="Georgia" w:eastAsia="Yu Mincho"/>
          <w:b w:val="0"/>
          <w:sz w:val="24"/>
          <w:lang w:eastAsia="ja-JP"/>
        </w:rPr>
        <w:t xml:space="preserve">• </w:t>
      </w:r>
      <w:hyperlink r:id="rId6">
        <w:r>
          <w:rPr>
            <w:rFonts w:ascii="Georgia" w:hAnsi="Georgia" w:eastAsia="Yu Mincho"/>
            <w:color w:val="167039"/>
            <w:sz w:val="24"/>
            <w:u w:val="single"/>
            <w:lang w:eastAsia="ja-JP"/>
          </w:rPr>
          <w:t>USAD 出版情報</w:t>
        </w:r>
      </w:hyperlink>
    </w:p>
    <w:p>
      <w:pPr>
        <w:widowControl/>
        <w:spacing w:before="0" w:after="140" w:line="269" w:lineRule="auto"/>
        <w:ind w:left="216" w:hanging="216"/>
      </w:pPr>
      <w:r>
        <w:rPr>
          <w:rFonts w:ascii="Georgia" w:hAnsi="Georgia" w:eastAsia="Yu Mincho"/>
          <w:b w:val="0"/>
          <w:sz w:val="24"/>
          <w:lang w:eastAsia="ja-JP"/>
        </w:rPr>
        <w:t xml:space="preserve">• </w:t>
      </w:r>
      <w:hyperlink r:id="rId10">
        <w:r>
          <w:rPr>
            <w:rFonts w:ascii="Georgia" w:hAnsi="Georgia" w:eastAsia="Yu Mincho"/>
            <w:color w:val="167039"/>
            <w:sz w:val="24"/>
            <w:u w:val="single"/>
            <w:lang w:eastAsia="ja-JP"/>
          </w:rPr>
          <w:t>USAD 実装</w:t>
        </w:r>
      </w:hyperlink>
      <w:r>
        <w:rPr>
          <w:rFonts w:ascii="Georgia" w:hAnsi="Georgia" w:eastAsia="Yu Mincho"/>
          <w:b w:val="0"/>
          <w:sz w:val="24"/>
          <w:lang w:eastAsia="ja-JP"/>
        </w:rPr>
        <w:t>；</w:t>
      </w:r>
      <w:hyperlink r:id="rId11">
        <w:r>
          <w:rPr>
            <w:rFonts w:ascii="Georgia" w:hAnsi="Georgia" w:eastAsia="Yu Mincho"/>
            <w:color w:val="167039"/>
            <w:sz w:val="24"/>
            <w:u w:val="single"/>
            <w:lang w:eastAsia="ja-JP"/>
          </w:rPr>
          <w:t>モデルコード</w:t>
        </w:r>
      </w:hyperlink>
    </w:p>
    <w:p>
      <w:pPr>
        <w:widowControl/>
        <w:spacing w:before="0" w:after="140" w:line="269" w:lineRule="auto"/>
        <w:ind w:left="216" w:hanging="216"/>
      </w:pPr>
      <w:r>
        <w:rPr>
          <w:rFonts w:ascii="Georgia" w:hAnsi="Georgia" w:eastAsia="Yu Mincho"/>
          <w:b w:val="0"/>
          <w:sz w:val="24"/>
          <w:lang w:eastAsia="ja-JP"/>
        </w:rPr>
        <w:t xml:space="preserve">• </w:t>
      </w:r>
      <w:hyperlink r:id="rId15">
        <w:r>
          <w:rPr>
            <w:rFonts w:ascii="Georgia" w:hAnsi="Georgia" w:eastAsia="Yu Mincho"/>
            <w:color w:val="167039"/>
            <w:sz w:val="24"/>
            <w:u w:val="single"/>
            <w:lang w:eastAsia="ja-JP"/>
          </w:rPr>
          <w:t>SMD と OmniAnomaly</w:t>
        </w:r>
      </w:hyperlink>
    </w:p>
    <w:p>
      <w:pPr>
        <w:widowControl/>
        <w:spacing w:before="0" w:after="140" w:line="269" w:lineRule="auto"/>
        <w:ind w:left="216" w:hanging="216"/>
      </w:pPr>
      <w:r>
        <w:rPr>
          <w:rFonts w:ascii="Georgia" w:hAnsi="Georgia" w:eastAsia="Yu Mincho"/>
          <w:b w:val="0"/>
          <w:sz w:val="24"/>
          <w:lang w:eastAsia="ja-JP"/>
        </w:rPr>
        <w:t xml:space="preserve">• </w:t>
      </w:r>
      <w:hyperlink r:id="rId16">
        <w:r>
          <w:rPr>
            <w:rFonts w:ascii="Georgia" w:hAnsi="Georgia" w:eastAsia="Yu Mincho"/>
            <w:color w:val="167039"/>
            <w:sz w:val="24"/>
            <w:u w:val="single"/>
            <w:lang w:eastAsia="ja-JP"/>
          </w:rPr>
          <w:t>Telemanom 説明</w:t>
        </w:r>
      </w:hyperlink>
      <w:r>
        <w:rPr>
          <w:rFonts w:ascii="Georgia" w:hAnsi="Georgia" w:eastAsia="Yu Mincho"/>
          <w:b w:val="0"/>
          <w:sz w:val="24"/>
          <w:lang w:eastAsia="ja-JP"/>
        </w:rPr>
        <w:t>；</w:t>
      </w:r>
      <w:hyperlink r:id="rId17">
        <w:r>
          <w:rPr>
            <w:rFonts w:ascii="Georgia" w:hAnsi="Georgia" w:eastAsia="Yu Mincho"/>
            <w:color w:val="167039"/>
            <w:sz w:val="24"/>
            <w:u w:val="single"/>
            <w:lang w:eastAsia="ja-JP"/>
          </w:rPr>
          <w:t>ラベル</w:t>
        </w:r>
      </w:hyperlink>
      <w:r>
        <w:rPr>
          <w:rFonts w:ascii="Georgia" w:hAnsi="Georgia" w:eastAsia="Yu Mincho"/>
          <w:b w:val="0"/>
          <w:sz w:val="24"/>
          <w:lang w:eastAsia="ja-JP"/>
        </w:rPr>
        <w:t>；</w:t>
      </w:r>
      <w:hyperlink r:id="rId20">
        <w:r>
          <w:rPr>
            <w:rFonts w:ascii="Georgia" w:hAnsi="Georgia" w:eastAsia="Yu Mincho"/>
            <w:color w:val="167039"/>
            <w:sz w:val="24"/>
            <w:u w:val="single"/>
            <w:lang w:eastAsia="ja-JP"/>
          </w:rPr>
          <w:t>ライセンス本文</w:t>
        </w:r>
      </w:hyperlink>
    </w:p>
    <w:p>
      <w:pPr>
        <w:widowControl/>
        <w:spacing w:before="0" w:after="140" w:line="269" w:lineRule="auto"/>
        <w:ind w:left="216" w:hanging="216"/>
      </w:pPr>
      <w:r>
        <w:rPr>
          <w:rFonts w:ascii="Georgia" w:hAnsi="Georgia" w:eastAsia="Yu Mincho"/>
          <w:b w:val="0"/>
          <w:sz w:val="24"/>
          <w:lang w:eastAsia="ja-JP"/>
        </w:rPr>
        <w:t xml:space="preserve">• </w:t>
      </w:r>
      <w:hyperlink r:id="rId18">
        <w:r>
          <w:rPr>
            <w:rFonts w:ascii="Georgia" w:hAnsi="Georgia" w:eastAsia="Yu Mincho"/>
            <w:color w:val="167039"/>
            <w:sz w:val="24"/>
            <w:u w:val="single"/>
            <w:lang w:eastAsia="ja-JP"/>
          </w:rPr>
          <w:t>Hundman et al. 2018</w:t>
        </w:r>
      </w:hyperlink>
    </w:p>
    <w:p>
      <w:pPr>
        <w:widowControl/>
        <w:spacing w:before="0" w:after="140" w:line="269" w:lineRule="auto"/>
        <w:ind w:left="216" w:hanging="216"/>
      </w:pPr>
      <w:r>
        <w:rPr>
          <w:rFonts w:ascii="Georgia" w:hAnsi="Georgia" w:eastAsia="Yu Mincho"/>
          <w:b w:val="0"/>
          <w:sz w:val="24"/>
          <w:lang w:eastAsia="ja-JP"/>
        </w:rPr>
        <w:t xml:space="preserve">• </w:t>
      </w:r>
      <w:hyperlink r:id="rId12">
        <w:r>
          <w:rPr>
            <w:rFonts w:ascii="Georgia" w:hAnsi="Georgia" w:eastAsia="Yu Mincho"/>
            <w:color w:val="167039"/>
            <w:sz w:val="24"/>
            <w:u w:val="single"/>
            <w:lang w:eastAsia="ja-JP"/>
          </w:rPr>
          <w:t>SWaT 特性</w:t>
        </w:r>
      </w:hyperlink>
      <w:r>
        <w:rPr>
          <w:rFonts w:ascii="Georgia" w:hAnsi="Georgia" w:eastAsia="Yu Mincho"/>
          <w:b w:val="0"/>
          <w:sz w:val="24"/>
          <w:lang w:eastAsia="ja-JP"/>
        </w:rPr>
        <w:t>；</w:t>
      </w:r>
      <w:hyperlink r:id="rId14">
        <w:r>
          <w:rPr>
            <w:rFonts w:ascii="Georgia" w:hAnsi="Georgia" w:eastAsia="Yu Mincho"/>
            <w:color w:val="167039"/>
            <w:sz w:val="24"/>
            <w:u w:val="single"/>
            <w:lang w:eastAsia="ja-JP"/>
          </w:rPr>
          <w:t>WADI 特性</w:t>
        </w:r>
      </w:hyperlink>
    </w:p>
    <w:p>
      <w:pPr>
        <w:widowControl/>
        <w:spacing w:before="0" w:after="140" w:line="269" w:lineRule="auto"/>
        <w:ind w:left="216" w:hanging="216"/>
      </w:pPr>
      <w:r>
        <w:rPr>
          <w:rFonts w:ascii="Georgia" w:hAnsi="Georgia" w:eastAsia="Yu Mincho"/>
          <w:b w:val="0"/>
          <w:sz w:val="24"/>
          <w:lang w:eastAsia="ja-JP"/>
        </w:rPr>
        <w:t xml:space="preserve">• </w:t>
      </w:r>
      <w:hyperlink r:id="rId13">
        <w:r>
          <w:rPr>
            <w:rFonts w:ascii="Georgia" w:hAnsi="Georgia" w:eastAsia="Yu Mincho"/>
            <w:color w:val="167039"/>
            <w:sz w:val="24"/>
            <w:u w:val="single"/>
            <w:lang w:eastAsia="ja-JP"/>
          </w:rPr>
          <w:t>iTrust 申請</w:t>
        </w:r>
      </w:hyperlink>
      <w:r>
        <w:rPr>
          <w:rFonts w:ascii="Georgia" w:hAnsi="Georgia" w:eastAsia="Yu Mincho"/>
          <w:b w:val="0"/>
          <w:sz w:val="24"/>
          <w:lang w:eastAsia="ja-JP"/>
        </w:rPr>
        <w:t>；</w:t>
      </w:r>
      <w:hyperlink r:id="rId19">
        <w:r>
          <w:rPr>
            <w:rFonts w:ascii="Georgia" w:hAnsi="Georgia" w:eastAsia="Yu Mincho"/>
            <w:color w:val="167039"/>
            <w:sz w:val="24"/>
            <w:u w:val="single"/>
            <w:lang w:eastAsia="ja-JP"/>
          </w:rPr>
          <w:t>利用条件</w:t>
        </w:r>
      </w:hyperlink>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116">
    <w:pPr>
      <w:rPr>
        <w:color w:val="002715"/>
      </w:rPr>
    </w:pPr>
    <w:r>
      <w:rPr>
        <w:rtl w:val="0"/>
      </w:rPr>
    </w:r>
  </w:p>
  <w:sdt>
    <w:sdtPr>
      <w:lock w:val="contentLocked"/>
      <w:id w:val="-913180812"/>
      <w:tag w:val="goog_rdk_0"/>
    </w:sdtPr>
    <w:sdtContent>
      <w:tbl>
        <w:tblPr>
          <w:tblStyle w:val="Table9"/>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05128"/>
                  <w:sz w:val="18"/>
                  <w:szCs w:val="18"/>
                </w:rPr>
              </w:pPr>
              <w:r>
                <w:rPr>
                  <w:rFonts w:ascii="Georgia" w:cs="Georgia" w:eastAsia="Georgia" w:hAnsi="Georgia"/>
                  <w:color w:val="105128"/>
                  <w:sz w:val="18"/>
                  <w:szCs w:val="18"/>
                  <w:rtl w:val="0"/>
                </w:rPr>
                <w:t xml:space="preserve">USAD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color w:val="105128"/>
                  <w:sz w:val="18"/>
                  <w:szCs w:val="18"/>
                </w:rPr>
              </w:pPr>
              <w:r>
                <w:rPr>
                  <w:rFonts w:ascii="Georgia" w:cs="Georgia" w:eastAsia="Georgia" w:hAnsi="Georgia"/>
                  <w:color w:val="105128"/>
                  <w:sz w:val="18"/>
                  <w:szCs w:val="18"/>
                </w:rPr>
                <w:fldChar w:fldCharType="begin"/>
                <w:instrText xml:space="preserve">PAGE</w:instrText>
                <w:fldChar w:fldCharType="separate"/>
                <w:fldChar w:fldCharType="end"/>
              </w:r>
              <w:r>
                <w:rPr>
                  <w:rtl w:val="0"/>
                </w:rPr>
              </w:r>
            </w:p>
          </w:tc>
        </w:tr>
      </w:tbl>
    </w:sdtContent>
  </w:sdt>
  <w:p w14:paraId="00000119">
    <w:pPr>
      <w:rPr>
        <w:color w:val="002715"/>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115">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643" w:hanging="360"/>
      </w:pPr>
      <w:rPr/>
    </w:lvl>
    <w:lvl w:ilvl="1">
      <w:start w:val="1"/>
      <w:numFmt w:val="lowerLetter"/>
      <w:lvlText w:val="%2."/>
      <w:lvlJc w:val="left"/>
      <w:pPr>
        <w:ind w:left="1363" w:hanging="359.99999999999955"/>
      </w:pPr>
      <w:rPr/>
    </w:lvl>
    <w:lvl w:ilvl="2">
      <w:start w:val="1"/>
      <w:numFmt w:val="lowerRoman"/>
      <w:lvlText w:val="%3."/>
      <w:lvlJc w:val="right"/>
      <w:pPr>
        <w:ind w:left="2083" w:hanging="180"/>
      </w:pPr>
      <w:rPr/>
    </w:lvl>
    <w:lvl w:ilvl="3">
      <w:start w:val="1"/>
      <w:numFmt w:val="decimal"/>
      <w:lvlText w:val="%4."/>
      <w:lvlJc w:val="left"/>
      <w:pPr>
        <w:ind w:left="2803" w:hanging="360"/>
      </w:pPr>
      <w:rPr/>
    </w:lvl>
    <w:lvl w:ilvl="4">
      <w:start w:val="1"/>
      <w:numFmt w:val="lowerLetter"/>
      <w:lvlText w:val="%5."/>
      <w:lvlJc w:val="left"/>
      <w:pPr>
        <w:ind w:left="3523" w:hanging="360"/>
      </w:pPr>
      <w:rPr/>
    </w:lvl>
    <w:lvl w:ilvl="5">
      <w:start w:val="1"/>
      <w:numFmt w:val="lowerRoman"/>
      <w:lvlText w:val="%6."/>
      <w:lvlJc w:val="right"/>
      <w:pPr>
        <w:ind w:left="4243" w:hanging="180"/>
      </w:pPr>
      <w:rPr/>
    </w:lvl>
    <w:lvl w:ilvl="6">
      <w:start w:val="1"/>
      <w:numFmt w:val="decimal"/>
      <w:lvlText w:val="%7."/>
      <w:lvlJc w:val="left"/>
      <w:pPr>
        <w:ind w:left="4963" w:hanging="360"/>
      </w:pPr>
      <w:rPr/>
    </w:lvl>
    <w:lvl w:ilvl="7">
      <w:start w:val="1"/>
      <w:numFmt w:val="lowerLetter"/>
      <w:lvlText w:val="%8."/>
      <w:lvlJc w:val="left"/>
      <w:pPr>
        <w:ind w:left="5683" w:hanging="360"/>
      </w:pPr>
      <w:rPr/>
    </w:lvl>
    <w:lvl w:ilvl="8">
      <w:start w:val="1"/>
      <w:numFmt w:val="lowerRoman"/>
      <w:lvlText w:val="%9."/>
      <w:lvlJc w:val="right"/>
      <w:pPr>
        <w:ind w:left="6403" w:hanging="180"/>
      </w:pPr>
      <w:rPr/>
    </w:lvl>
  </w:abstractNum>
  <w:abstractNum w:abstractNumId="4">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1222"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abstractNum w:abstractNumId="5">
    <w:lvl w:ilvl="0">
      <w:start w:val="1"/>
      <w:numFmt w:val="bullet"/>
      <w:lvlText w:val="●"/>
      <w:lvlJc w:val="left"/>
      <w:pPr>
        <w:ind w:left="643" w:hanging="360"/>
      </w:pPr>
      <w:rPr>
        <w:rFonts w:ascii="Noto Sans Symbols" w:cs="Noto Sans Symbols" w:eastAsia="Noto Sans Symbols" w:hAnsi="Noto Sans Symbols"/>
      </w:rPr>
    </w:lvl>
    <w:lvl w:ilvl="1">
      <w:start w:val="1"/>
      <w:numFmt w:val="bullet"/>
      <w:lvlText w:val="o"/>
      <w:lvlJc w:val="left"/>
      <w:pPr>
        <w:ind w:left="1363" w:hanging="359.99999999999955"/>
      </w:pPr>
      <w:rPr>
        <w:rFonts w:ascii="Courier New" w:cs="Courier New" w:eastAsia="Courier New" w:hAnsi="Courier New"/>
      </w:rPr>
    </w:lvl>
    <w:lvl w:ilvl="2">
      <w:start w:val="1"/>
      <w:numFmt w:val="bullet"/>
      <w:lvlText w:val="▪"/>
      <w:lvlJc w:val="left"/>
      <w:pPr>
        <w:ind w:left="2083" w:hanging="360"/>
      </w:pPr>
      <w:rPr>
        <w:rFonts w:ascii="Noto Sans Symbols" w:cs="Noto Sans Symbols" w:eastAsia="Noto Sans Symbols" w:hAnsi="Noto Sans Symbols"/>
      </w:rPr>
    </w:lvl>
    <w:lvl w:ilvl="3">
      <w:start w:val="1"/>
      <w:numFmt w:val="bullet"/>
      <w:lvlText w:val="●"/>
      <w:lvlJc w:val="left"/>
      <w:pPr>
        <w:ind w:left="2803" w:hanging="360"/>
      </w:pPr>
      <w:rPr>
        <w:rFonts w:ascii="Noto Sans Symbols" w:cs="Noto Sans Symbols" w:eastAsia="Noto Sans Symbols" w:hAnsi="Noto Sans Symbols"/>
      </w:rPr>
    </w:lvl>
    <w:lvl w:ilvl="4">
      <w:start w:val="1"/>
      <w:numFmt w:val="bullet"/>
      <w:lvlText w:val="o"/>
      <w:lvlJc w:val="left"/>
      <w:pPr>
        <w:ind w:left="3523" w:hanging="360"/>
      </w:pPr>
      <w:rPr>
        <w:rFonts w:ascii="Courier New" w:cs="Courier New" w:eastAsia="Courier New" w:hAnsi="Courier New"/>
      </w:rPr>
    </w:lvl>
    <w:lvl w:ilvl="5">
      <w:start w:val="1"/>
      <w:numFmt w:val="bullet"/>
      <w:lvlText w:val="▪"/>
      <w:lvlJc w:val="left"/>
      <w:pPr>
        <w:ind w:left="4243" w:hanging="360"/>
      </w:pPr>
      <w:rPr>
        <w:rFonts w:ascii="Noto Sans Symbols" w:cs="Noto Sans Symbols" w:eastAsia="Noto Sans Symbols" w:hAnsi="Noto Sans Symbols"/>
      </w:rPr>
    </w:lvl>
    <w:lvl w:ilvl="6">
      <w:start w:val="1"/>
      <w:numFmt w:val="bullet"/>
      <w:lvlText w:val="●"/>
      <w:lvlJc w:val="left"/>
      <w:pPr>
        <w:ind w:left="4963" w:hanging="360"/>
      </w:pPr>
      <w:rPr>
        <w:rFonts w:ascii="Noto Sans Symbols" w:cs="Noto Sans Symbols" w:eastAsia="Noto Sans Symbols" w:hAnsi="Noto Sans Symbols"/>
      </w:rPr>
    </w:lvl>
    <w:lvl w:ilvl="7">
      <w:start w:val="1"/>
      <w:numFmt w:val="bullet"/>
      <w:lvlText w:val="o"/>
      <w:lvlJc w:val="left"/>
      <w:pPr>
        <w:ind w:left="5683" w:hanging="360"/>
      </w:pPr>
      <w:rPr>
        <w:rFonts w:ascii="Courier New" w:cs="Courier New" w:eastAsia="Courier New" w:hAnsi="Courier New"/>
      </w:rPr>
    </w:lvl>
    <w:lvl w:ilvl="8">
      <w:start w:val="1"/>
      <w:numFmt w:val="bullet"/>
      <w:lvlText w:val="▪"/>
      <w:lvlJc w:val="left"/>
      <w:pPr>
        <w:ind w:left="6403"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eastAsia="Yu Mincho"/>
    </w:rPr>
  </w:style>
  <w:style w:type="paragraph" w:styleId="Heading1">
    <w:name w:val="heading 1"/>
    <w:basedOn w:val="Normal"/>
    <w:next w:val="Normal"/>
    <w:pPr>
      <w:keepNext w:val="1"/>
      <w:keepLines w:val="1"/>
      <w:spacing w:after="80" w:before="360" w:lineRule="auto"/>
    </w:pPr>
    <w:rPr>
      <w:rFonts w:ascii="Georgia" w:cs="Georgia" w:eastAsia="Yu Mincho" w:hAnsi="Georgia"/>
      <w:b w:val="1"/>
      <w:bCs w:val="1"/>
      <w:color w:val="1a703a"/>
      <w:sz w:val="36"/>
      <w:szCs w:val="36"/>
    </w:rPr>
  </w:style>
  <w:style w:type="paragraph" w:styleId="Heading2">
    <w:name w:val="heading 2"/>
    <w:basedOn w:val="Normal"/>
    <w:next w:val="Normal"/>
    <w:pPr>
      <w:keepNext w:val="1"/>
      <w:keepLines w:val="1"/>
      <w:spacing w:before="160" w:lineRule="auto"/>
      <w:jc w:val="center"/>
    </w:pPr>
    <w:rPr>
      <w:rFonts w:ascii="Georgia" w:cs="Georgia" w:eastAsia="Yu Mincho" w:hAnsi="Georgia"/>
      <w:color w:val="592382"/>
      <w:sz w:val="32"/>
      <w:szCs w:val="32"/>
    </w:rPr>
  </w:style>
  <w:style w:type="paragraph" w:styleId="Heading3">
    <w:name w:val="heading 3"/>
    <w:basedOn w:val="Normal"/>
    <w:next w:val="Normal"/>
    <w:pPr>
      <w:keepNext w:val="1"/>
      <w:keepLines w:val="1"/>
      <w:spacing w:before="160" w:lineRule="auto"/>
      <w:jc w:val="center"/>
    </w:pPr>
    <w:rPr>
      <w:rFonts w:ascii="Georgia" w:cs="Georgia" w:eastAsia="Yu Mincho" w:hAnsi="Georgia"/>
      <w:color w:val="592382"/>
    </w:rPr>
  </w:style>
  <w:style w:type="paragraph" w:styleId="Heading4">
    <w:name w:val="heading 4"/>
    <w:basedOn w:val="Normal"/>
    <w:next w:val="Normal"/>
    <w:pPr>
      <w:keepNext w:val="1"/>
      <w:keepLines w:val="1"/>
      <w:spacing w:after="40" w:before="80" w:lineRule="auto"/>
    </w:pPr>
    <w:rPr>
      <w:i w:val="1"/>
      <w:iCs w:val="1"/>
      <w:color w:val="37233f"/>
      <w:rFonts w:eastAsia="Yu Mincho"/>
    </w:rPr>
  </w:style>
  <w:style w:type="paragraph" w:styleId="Heading5">
    <w:name w:val="heading 5"/>
    <w:basedOn w:val="Normal"/>
    <w:next w:val="Normal"/>
    <w:pPr>
      <w:keepNext w:val="1"/>
      <w:keepLines w:val="1"/>
      <w:spacing w:after="40" w:before="80" w:lineRule="auto"/>
    </w:pPr>
    <w:rPr>
      <w:color w:val="37233f"/>
      <w:rFonts w:eastAsia="Yu Mincho"/>
    </w:rPr>
  </w:style>
  <w:style w:type="paragraph" w:styleId="Heading6">
    <w:name w:val="heading 6"/>
    <w:basedOn w:val="Normal"/>
    <w:next w:val="Normal"/>
    <w:pPr>
      <w:keepNext w:val="1"/>
      <w:keepLines w:val="1"/>
      <w:spacing w:before="40" w:lineRule="auto"/>
    </w:pPr>
    <w:rPr>
      <w:i w:val="1"/>
      <w:iCs w:val="1"/>
      <w:color w:val="595959"/>
      <w:rFonts w:eastAsia="Yu Mincho"/>
    </w:rPr>
  </w:style>
  <w:style w:type="paragraph" w:styleId="Title">
    <w:name w:val="Title"/>
    <w:basedOn w:val="Normal"/>
    <w:next w:val="Normal"/>
    <w:pPr>
      <w:spacing w:after="80" w:lineRule="auto"/>
      <w:jc w:val="center"/>
    </w:pPr>
    <w:rPr>
      <w:b w:val="1"/>
      <w:bCs w:val="1"/>
      <w:color w:val="4a2e5f"/>
      <w:sz w:val="80"/>
      <w:szCs w:val="80"/>
      <w:rFonts w:eastAsia="Yu Mincho"/>
    </w:rPr>
  </w:style>
  <w:style w:type="paragraph" w:styleId="Subtitle">
    <w:name w:val="Subtitle"/>
    <w:basedOn w:val="Normal"/>
    <w:next w:val="Normal"/>
    <w:pPr/>
    <w:rPr>
      <w:color w:val="595959"/>
      <w:sz w:val="28"/>
      <w:szCs w:val="28"/>
      <w:rFonts w:eastAsia="Yu Mincho"/>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 Id="rId6" Type="http://schemas.openxmlformats.org/officeDocument/2006/relationships/hyperlink" Target="https://doi.org/10.1145/3394486.3403392" TargetMode="External"/><Relationship Id="rId10" Type="http://schemas.openxmlformats.org/officeDocument/2006/relationships/hyperlink" Target="https://github.com/manigalati/usad" TargetMode="External"/><Relationship Id="rId11" Type="http://schemas.openxmlformats.org/officeDocument/2006/relationships/hyperlink" Target="https://raw.githubusercontent.com/manigalati/usad/master/usad.py" TargetMode="External"/><Relationship Id="rId12" Type="http://schemas.openxmlformats.org/officeDocument/2006/relationships/hyperlink" Target="https://www.sutd.edu.sg/itrust/itrust-labs/datasets/dataset-characteristics/swat/" TargetMode="External"/><Relationship Id="rId13" Type="http://schemas.openxmlformats.org/officeDocument/2006/relationships/hyperlink" Target="https://www.sutd.edu.sg/itrust/request-for-datasets/" TargetMode="External"/><Relationship Id="rId14" Type="http://schemas.openxmlformats.org/officeDocument/2006/relationships/hyperlink" Target="https://www.sutd.edu.sg/itrust/itrust-labs/datasets/dataset-characteristics/wadi/" TargetMode="External"/><Relationship Id="rId15" Type="http://schemas.openxmlformats.org/officeDocument/2006/relationships/hyperlink" Target="https://github.com/NetManAIOps/OmniAnomaly" TargetMode="External"/><Relationship Id="rId16" Type="http://schemas.openxmlformats.org/officeDocument/2006/relationships/hyperlink" Target="https://raw.githubusercontent.com/khundman/telemanom/master/README.md" TargetMode="External"/><Relationship Id="rId17" Type="http://schemas.openxmlformats.org/officeDocument/2006/relationships/hyperlink" Target="https://raw.githubusercontent.com/khundman/telemanom/master/labeled_anomalies.csv" TargetMode="External"/><Relationship Id="rId18" Type="http://schemas.openxmlformats.org/officeDocument/2006/relationships/hyperlink" Target="https://arxiv.org/html/1802.04431" TargetMode="External"/><Relationship Id="rId19" Type="http://schemas.openxmlformats.org/officeDocument/2006/relationships/hyperlink" Target="https://www.sutd.edu.sg/itrust/itrust-labs/datasets/terms-of-usage/" TargetMode="External"/><Relationship Id="rId20" Type="http://schemas.openxmlformats.org/officeDocument/2006/relationships/hyperlink" Target="https://raw.githubusercontent.com/khundman/telemanom/master/LICENSE.tx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USAD 研究報告 日本語版</dc:title>
  <cp:lastModifiedBy/>
  <cp:revision>1</cp:revision>
  <dcterms:modified xsi:type="dcterms:W3CDTF">2026-09-09T15:38:55Z</dcterms:modified>
  <dc:subject>学習外入力データ研究</dc:subject>
  <dc:creator/>
</cp:coreProperties>
</file>