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rFonts w:ascii="Georgia" w:hAnsi="Georgia" w:eastAsia="SimSun"/>
          <w:color w:val="1a703a"/>
          <w:rtl w:val="0"/>
          <w:lang w:eastAsia="zh-CN"/>
        </w:rPr>
        <w:t>USAD 论文研究</w:t>
      </w:r>
    </w:p>
    <w:p w14:paraId="00000002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3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4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  <w:r>
        <w:rPr>
          <w:rFonts w:ascii="Georgia" w:hAnsi="Georgia" w:eastAsia="SimSun"/>
          <w:lang w:eastAsia="zh-CN"/>
        </w:rPr>
        <mc:AlternateContent>
          <mc:Choice Requires="wpg"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60250" y="3527350"/>
                          <a:ext cx="2563200" cy="33900"/>
                        </a:xfrm>
                        <a:prstGeom prst="rect">
                          <a:avLst/>
                        </a:prstGeom>
                        <a:solidFill>
                          <a:srgbClr val="1A703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228600" distT="228600" distL="228600" distR="228600" hidden="0" layoutInCell="1" locked="0" relativeHeight="0" simplePos="0">
                <wp:simplePos x="0" y="0"/>
                <wp:positionH relativeFrom="column">
                  <wp:posOffset>2600325</wp:posOffset>
                </wp:positionH>
                <wp:positionV relativeFrom="paragraph">
                  <wp:posOffset>352425</wp:posOffset>
                </wp:positionV>
                <wp:extent cx="742950" cy="16449"/>
                <wp:effectExtent b="0" l="0" r="0" t="0"/>
                <wp:wrapTopAndBottom distB="228600" distT="2286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950" cy="164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5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6">
      <w:pPr>
        <w:rPr>
          <w:rFonts w:ascii="Georgia" w:cs="Georgia" w:eastAsia="Georgia" w:hAnsi="Georgia"/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SimSun" w:hAnsi="Georgia"/>
          <w:color w:val="1a703a"/>
          <w:rtl w:val="0"/>
          <w:lang w:eastAsia="zh-CN"/>
        </w:rPr>
        <w:t>研究报告</w:t>
      </w:r>
    </w:p>
    <w:p w14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SimSun" w:hAnsi="Georgia"/>
          <w:color w:val="1a703a"/>
          <w:rtl w:val="0"/>
          <w:lang w:eastAsia="zh-CN"/>
        </w:rPr>
        <w:t>中文版</w:t>
      </w:r>
    </w:p>
    <w:p w14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Fonts w:ascii="Georgia" w:hAnsi="Georgia" w:eastAsia="SimSun"/>
          <w:rtl w:val="0"/>
          <w:lang w:eastAsia="zh-CN"/>
        </w:rPr>
      </w:r>
    </w:p>
    <w:p w14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Fonts w:ascii="Georgia" w:hAnsi="Georgia" w:eastAsia="SimSun"/>
          <w:rtl w:val="0"/>
          <w:lang w:eastAsia="zh-CN"/>
        </w:rPr>
      </w:r>
    </w:p>
    <w:p w14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Fonts w:ascii="Georgia" w:hAnsi="Georgia" w:eastAsia="SimSun"/>
          <w:rtl w:val="0"/>
          <w:lang w:eastAsia="zh-CN"/>
        </w:rPr>
      </w:r>
    </w:p>
    <w:p w14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Fonts w:ascii="Georgia" w:hAnsi="Georgia" w:eastAsia="SimSun"/>
          <w:rtl w:val="0"/>
          <w:lang w:eastAsia="zh-CN"/>
        </w:rPr>
      </w:r>
    </w:p>
    <w:p w14:paraId="0000000D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E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0F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0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1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2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3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4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5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6">
      <w:pPr>
        <w:rPr>
          <w:color w:val="002715"/>
        </w:rPr>
      </w:pPr>
      <w:r>
        <w:rPr>
          <w:rFonts w:ascii="Georgia" w:hAnsi="Georgia" w:eastAsia="SimSun"/>
          <w:rtl w:val="0"/>
          <w:lang w:eastAsia="zh-CN"/>
        </w:rPr>
      </w:r>
    </w:p>
    <w:p w14:paraId="00000017">
      <w:pPr>
        <w:rPr>
          <w:color w:val="434343"/>
        </w:rPr>
      </w:pPr>
      <w:r>
        <w:rPr>
          <w:rFonts w:ascii="Georgia" w:hAnsi="Georgia" w:eastAsia="SimSun"/>
          <w:rtl w:val="0"/>
          <w:lang w:eastAsia="zh-CN"/>
        </w:rPr>
      </w:r>
    </w:p>
    <w:p w14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rFonts w:ascii="Georgia" w:hAnsi="Georgia" w:eastAsia="SimSun"/>
          <w:color w:val="000000"/>
          <w:rtl w:val="0"/>
          <w:lang w:eastAsia="zh-CN"/>
        </w:rPr>
        <w:t>学習外入力データ</w:t>
      </w:r>
    </w:p>
    <w:p w14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rFonts w:ascii="Georgia" w:hAnsi="Georgia" w:eastAsia="SimSun"/>
          <w:color w:val="000000"/>
          <w:rtl w:val="0"/>
          <w:lang w:eastAsia="zh-CN"/>
        </w:rPr>
        <w:t>2026年9月10日</w:t>
      </w:r>
    </w:p>
    <w:p w14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rPr>
          <w:rFonts w:ascii="Georgia" w:hAnsi="Georgia" w:eastAsia="SimSun"/>
          <w:lang w:eastAsia="zh-CN"/>
        </w:rPr>
        <w:br w:type="page"/>
      </w:r>
      <w:r>
        <w:rPr>
          <w:rFonts w:ascii="Georgia" w:hAnsi="Georgia" w:eastAsia="SimSun"/>
          <w:rtl w:val="0"/>
          <w:lang w:eastAsia="zh-CN"/>
        </w:rPr>
      </w:r>
    </w:p>
    <w:p>
      <w:pPr>
        <w:pageBreakBefore/>
        <w:spacing w:after="0" w:line="20" w:lineRule="exact"/>
      </w:pPr>
    </w:p>
    <w:p>
      <w:pPr>
        <w:pStyle w:val="Heading1"/>
        <w:jc w:val="left"/>
      </w:pPr>
      <w:r>
        <w:t>内容索引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1 文献信息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2 理解方法所需的关键公式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3 学习外 的定义与方法分类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4 检测算法 信息需求与评价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5 用于评价的数据集 逐项整理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6 优点 缺点与应用限制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7 社会基础设施与末端压力估计模型的适用性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8 需要向带教主动指出的原文问题与待确认项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9 纳入后续研究总报告的标准记录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0"/>
          <w:lang w:eastAsia="zh-CN"/>
        </w:rPr>
        <w:t>10 来源索引</w:t>
      </w:r>
    </w:p>
    <w:p>
      <w:pPr>
        <w:spacing w:after="80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研究主题 学習外入力データ的检测与社会基础设施监控控制应用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文献编号 08　整理日期 2026年9月10日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USAD 从主要正常的多变量时序学习重构模式，可作为输入侧学习外候选检测方法；低重构误差不能证明目标 AI 已充分学习该输入，也不能保证末端压力预测准确。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证据标记：【论文】为原文报告；【外部核查】为代码或提供方补充；【分析】为解释、推导或建议；【未报告】为原文未提供。页码同时记录 PDF 页和印刷页。实验值为论文报告值，本次未重新训练复现；外部来源核查日期为2026年9月10日。</w:t>
      </w:r>
    </w:p>
    <w:p>
      <w:bookmarkStart w:id="1" w:name="sec_1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1 文献信息</w:t>
      </w:r>
      <w:bookmarkEnd w:id="1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38"/>
        <w:gridCol w:w="7021"/>
      </w:tblGrid>
      <w:tr>
        <w:trPr>
          <w:cantSplit/>
          <w:tblHeader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项目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名称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: UnSupervised Anomaly Detection on Multivariate Time Series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中文释义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USAD：多变量时间序列的无监督异常检测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作者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Julien Audibert；Pietro Michiardi；Frédéric Guyard；Sébastien Marti；Maria A. Zuluaga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年份、渠道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2020；第 26 届 ACM SIGKDD International Conference on Knowledge Discovery &amp; Data Mining，Applied Data Science Track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页码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3395–3404，共 10 页，含复现附录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DOI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hyperlink r:id="rId6">
              <w:r>
                <w:rPr>
                  <w:rFonts w:ascii="Georgia" w:hAnsi="Georgia" w:eastAsia="SimSun"/>
                  <w:color w:val="167039"/>
                  <w:sz w:val="20"/>
                  <w:u w:val="single"/>
                  <w:lang w:eastAsia="zh-CN"/>
                </w:rPr>
                <w:t>10.1145/3394486.3403392</w:t>
              </w:r>
            </w:hyperlink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机构背景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EURECOM、Orange／Orange Labs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论文性质</w:t>
            </w:r>
          </w:p>
        </w:tc>
        <w:tc>
          <w:tcPr>
            <w:tcW w:type="dxa" w:w="70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方法提出＋公开基准实验＋企业数据可行性研究；不是目标 AI 预测可靠性的理论保证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【外部核查】</w:t>
      </w:r>
      <w:hyperlink r:id="rId10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作者参与的公开实现</w:t>
        </w:r>
      </w:hyperlink>
      <w:r>
        <w:rPr>
          <w:rFonts w:ascii="Georgia" w:hAnsi="Georgia" w:eastAsia="SimSun"/>
          <w:b w:val="0"/>
          <w:sz w:val="24"/>
          <w:lang w:eastAsia="zh-CN"/>
        </w:rPr>
        <w:t>由 Francesco Galati 实现，Julien Audibert 和 Maria A. Zuluaga 参与贡献；仓库说明软件为 BSD-3 许可。代码许可不代表 SWaT 等数据的许可。</w:t>
      </w:r>
    </w:p>
    <w:p>
      <w:bookmarkStart w:id="2" w:name="sec_2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2 理解方法所需的关键公式</w:t>
      </w:r>
      <w:bookmarkEnd w:id="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本报告用 d 表示输入变量数，h 表示潜在维数，K 表示窗口长度，n 表示训练轮数。原文用 m 同时表示输入维数和潜在维数，这里加以区分。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+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…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∈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ℝ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W 包含 K 个时刻的输入，按顺序展开为 q 维向量，不是仅输入当前一个时刻。</w:t>
      </w:r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E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E 是共享编码器，D1 和 D2 是两个解码器。直接与串联重构误差为：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‖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A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‖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串联误差也以原输入 W 为参照，不是两个 AE 输出之间的差。原文训练目标为：</w:t>
      </w:r>
    </w:p>
    <w:p>
      <w:pPr>
        <w:widowControl/>
        <w:spacing w:before="60" w:after="160" w:line="269" w:lineRule="auto"/>
        <w:jc w:val="center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第1轮只有直接重构，以后逐步增加对抗项权重。AE1 尝试减小串联误差；AE2 保留直接重构目标，同时尝试增大串联误差。“两阶段”不代表必须先后完成两个完全独立的训练时期。</w:t>
      </w:r>
    </w:p>
    <w:p>
      <w:pPr>
        <w:widowControl/>
        <w:spacing w:before="60" w:after="160" w:line="269" w:lineRule="auto"/>
        <w:jc w:val="center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</m:acc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    </m:t>
        </m:r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</m:oMath>
    </w:p>
    <w:p>
      <w:pPr>
        <w:widowControl/>
        <w:spacing w:before="60" w:after="160" w:line="269" w:lineRule="auto"/>
        <w:jc w:val="center"/>
      </w:pP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1</m:t>
        </m:r>
        <m:r>
          <m:rPr>
            <m:sty m:val="p"/>
          </m:rPr>
          <w:rPr>
            <w:rFonts w:ascii="Cambria Math" w:hAnsi="Cambria Math"/>
            <w:sz w:val="22"/>
          </w:rPr>
          <m:t xml:space="preserve">[</m:t>
        </m:r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W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≥</m:t>
        </m:r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  <m:r>
          <m:rPr>
            <m:sty m:val="p"/>
          </m:rPr>
          <w:rPr>
            <w:rFonts w:ascii="Cambria Math" w:hAnsi="Cambria Math"/>
            <w:sz w:val="22"/>
          </w:rPr>
          <m:t xml:space="preserve">]</m:t>
        </m:r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α 和 β 是分数组合权重，λ 才是判定阈值。分数越大越容易判为异常。推理时固定学得的网络。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【外部核查】</w:t>
      </w:r>
      <w:hyperlink r:id="rId11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公开模型代码</w:t>
        </w:r>
      </w:hyperlink>
      <w:r>
        <w:rPr>
          <w:rFonts w:ascii="Georgia" w:hAnsi="Georgia" w:eastAsia="SimSun"/>
          <w:b w:val="0"/>
          <w:sz w:val="24"/>
          <w:lang w:eastAsia="zh-CN"/>
        </w:rPr>
        <w:t>使用 MSE，而论文公式写 L2 范数。平方与平均的处理改变分数尺度，不能直接复用阈值。原文式3、7–9及算法2见 PDF 第3–4页。</w:t>
      </w:r>
    </w:p>
    <w:p>
      <w:bookmarkStart w:id="3" w:name="sec_3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3 学习外 的定义与方法分类</w:t>
      </w:r>
      <w:bookmarkEnd w:id="3"/>
    </w:p>
    <w:p>
      <w:bookmarkStart w:id="4" w:name="sec_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3.1 原文如何定义学习外</w:t>
      </w:r>
      <w:bookmarkEnd w:id="4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【论文：§3.1】训练集合假定仅含正常点；新观测若显著不同于训练集合，就被视为异常候选，用异常分数与阈值判定。原文没有建立独立的“目标 AI 学习外”定义，没有给出训练支撑集、密度下界、覆盖率或预测误差上界。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因此建议在总报告中记录为：</w:t>
      </w:r>
      <w:r>
        <w:rPr>
          <w:rFonts w:ascii="Georgia" w:hAnsi="Georgia" w:eastAsia="SimSun"/>
          <w:b/>
          <w:sz w:val="24"/>
          <w:lang w:eastAsia="zh-CN"/>
        </w:rPr>
        <w:t>相对于检测器正常训练窗口所学习模式的显著偏离；通过重构误差操作性定义。</w:t>
      </w:r>
      <w:r>
        <w:rPr>
          <w:rFonts w:ascii="Georgia" w:hAnsi="Georgia" w:eastAsia="SimSun"/>
          <w:b w:val="0"/>
          <w:sz w:val="24"/>
          <w:lang w:eastAsia="zh-CN"/>
        </w:rPr>
        <w:t>“学习内／学习外”是本研究的映射，原始标签仍应写“正常／异常”。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041"/>
        <w:gridCol w:w="2711"/>
        <w:gridCol w:w="4607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用户所关注类别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本篇对应程度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判断依据与边界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超出输入范围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可能检出，不是显式范围判据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不直接比较每一维训练 min/max；标准化和输出范围会影响误差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低密度区域／训练不足区域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可能相关，但无直接测量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没有密度估计、邻居数或目标模型知识量分数；稀疏正常区域也可能被很好重构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未知变量组合或相关关系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与方法最相关的潜力之一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联合窗口输入可学习关系；没有对纯关系异常做独立分层检出验证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分布变化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可对引起重构误差的变化报警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不实施两样本分布检验，不区分良性新工况与故障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其他</w:t>
            </w:r>
          </w:p>
        </w:tc>
        <w:tc>
          <w:tcPr>
            <w:tcW w:type="dxa" w:w="27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时间模式偏离、持续事件</w:t>
            </w:r>
          </w:p>
        </w:tc>
        <w:tc>
          <w:tcPr>
            <w:tcW w:type="dxa" w:w="46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有限窗口提供时序信息；窗外长周期依赖可能遗漏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【分析】如果只是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Y</m:t>
        </m:r>
        <m:r>
          <m:rPr>
            <m:sty m:val="p"/>
          </m:rPr>
          <w:rPr>
            <w:rFonts w:ascii="Cambria Math" w:hAnsi="Cambria Math"/>
            <w:sz w:val="22"/>
          </w:rPr>
          <m:t xml:space="preserve">|</m:t>
        </m:r>
        <m:r>
          <m:rPr>
            <m:sty m:val="p"/>
          </m:rPr>
          <w:rPr>
            <w:rFonts w:ascii="Cambria Math" w:hAnsi="Cambria Math"/>
            <w:sz w:val="22"/>
          </w:rPr>
          <m:t xml:space="preserve">X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改变，而输入窗口分布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p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W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保持相同，例如管道特性改变后相同输入对应不同真实压力，仅看输入的 USAD 可能完全不报警。这是输入侧方法的可观测性限制。</w:t>
      </w:r>
    </w:p>
    <w:p>
      <w:bookmarkStart w:id="5" w:name="sec_5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3.2 可用于后续文献的统一分类标准</w:t>
      </w:r>
      <w:bookmarkEnd w:id="5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优先按“分数实际测量什么”分类，再补充数据单位、训练假设和访问权限。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34"/>
        <w:gridCol w:w="3482"/>
        <w:gridCol w:w="3643"/>
      </w:tblGrid>
      <w:tr>
        <w:trPr>
          <w:cantSplit/>
          <w:tblHeader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主类别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分数依据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与本篇的关系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范围／距离／边界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越界、邻居距离、到正常区域边界的距离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不直接计算到训练样本的距离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概率密度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(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)</m:t>
              </m:r>
            </m:oMath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、负对数似然、局部密度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没有显式密度输出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目标 AI 预测不确定性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预测分布、后验、模型集成差异等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不读取目标 AI 的不确定性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重构误差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输入与重构输入的差异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USAD 主类别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预测误差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历史预测的下一值与实测值差异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重构输入窗口，不是专门做下一时刻预测</w:t>
            </w:r>
          </w:p>
        </w:tc>
      </w:tr>
      <w:tr>
        <w:trPr>
          <w:cantSplit/>
        </w:trPr>
        <w:tc>
          <w:tcPr>
            <w:tcW w:type="dxa" w:w="223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其他</w:t>
            </w:r>
          </w:p>
        </w:tc>
        <w:tc>
          <w:tcPr>
            <w:tcW w:type="dxa" w:w="348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隔离、变化点、物理约束、统计检验等</w:t>
            </w:r>
          </w:p>
        </w:tc>
        <w:tc>
          <w:tcPr>
            <w:tcW w:type="dxa" w:w="36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适合给后续方法保留独立类别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USAD 虽然在误差里用距离，但将其归为“直接训练样本距离法”会掩盖学习模型这一关键环节。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统一索引：</w:t>
      </w:r>
      <w:r>
        <w:rPr>
          <w:rFonts w:ascii="Georgia" w:hAnsi="Georgia" w:eastAsia="SimSun"/>
          <w:b w:val="0"/>
          <w:sz w:val="24"/>
          <w:lang w:eastAsia="zh-CN"/>
        </w:rPr>
        <w:t>深度重构／AE＋对抗训练；多变量固定滑窗；正常或主要正常训练；需单独训练检测器；不依赖目标 AI 内部及输出；输出连续分数与二元异常标记；部署阈值需另外校准。</w:t>
      </w:r>
    </w:p>
    <w:p>
      <w:bookmarkStart w:id="6" w:name="sec_6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4 检测算法 信息需求与评价</w:t>
      </w:r>
      <w:bookmarkEnd w:id="6"/>
    </w:p>
    <w:p>
      <w:bookmarkStart w:id="7" w:name="sec_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4.1 可操作算法流程</w:t>
      </w:r>
      <w:bookmarkEnd w:id="7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1. 定义监控变量、时钟、采样频率、正常训练期间及实体边界。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2. 归一化，并按实验配置做中位数下采样；构造有序固定窗口。原文说明归一化，但未完整报告所有数据使用的缩放拟合范围、缺失处理、标签下采样规则。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3. 初始化共享编码器及两个解码器。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4. 第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n</m:t>
        </m:r>
      </m:oMath>
      <w:r>
        <w:rPr>
          <w:rFonts w:ascii="Georgia" w:hAnsi="Georgia" w:eastAsia="SimSun"/>
          <w:b w:val="0"/>
          <w:sz w:val="24"/>
          <w:lang w:eastAsia="zh-CN"/>
        </w:rPr>
        <w:t>轮计算直接重构与串联重构，依据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更新模型。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5. 固定参数，计算新窗口的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</m:oMath>
      <w:r>
        <w:rPr>
          <w:rFonts w:ascii="Georgia" w:hAnsi="Georgia" w:eastAsia="SimSun"/>
          <w:b w:val="0"/>
          <w:sz w:val="24"/>
          <w:lang w:eastAsia="zh-CN"/>
        </w:rPr>
        <w:t>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6. 用预先确定的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</m:oMath>
      <w:r>
        <w:rPr>
          <w:rFonts w:ascii="Georgia" w:hAnsi="Georgia" w:eastAsia="SimSun"/>
          <w:b w:val="0"/>
          <w:sz w:val="24"/>
          <w:lang w:eastAsia="zh-CN"/>
        </w:rPr>
        <w:t>输出</w:t>
      </w:r>
      <m:oMath>
        <m:acc>
          <m:accPr>
            <m:chr m:val="̂"/>
          </m:acc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y</m:t>
            </m:r>
          </m:e>
        </m:acc>
      </m:oMath>
      <w:r>
        <w:rPr>
          <w:rFonts w:ascii="Georgia" w:hAnsi="Georgia" w:eastAsia="SimSun"/>
          <w:b w:val="0"/>
          <w:sz w:val="24"/>
          <w:lang w:eastAsia="zh-CN"/>
        </w:rPr>
        <w:t>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7. 运行时维护最近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</m:oMath>
      <w:r>
        <w:rPr>
          <w:rFonts w:ascii="Georgia" w:hAnsi="Georgia" w:eastAsia="SimSun"/>
          <w:b w:val="0"/>
          <w:sz w:val="24"/>
          <w:lang w:eastAsia="zh-CN"/>
        </w:rPr>
        <w:t>个有效输入点，持续更新分数。告警去重、保持时长、缺失策略和重训触发规则属于需补充的工程设计。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两套训练集必须区分。</w:t>
      </w:r>
      <w:r>
        <w:rPr>
          <w:rFonts w:ascii="Georgia" w:hAnsi="Georgia" w:eastAsia="SimSun"/>
          <w:b w:val="0"/>
          <w:sz w:val="24"/>
          <w:lang w:eastAsia="zh-CN"/>
        </w:rPr>
        <w:t>末端压力估计模型可能用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X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Y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训练；USAD 只用被选定的正常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X</m:t>
        </m:r>
      </m:oMath>
      <w:r>
        <w:rPr>
          <w:rFonts w:ascii="Georgia" w:hAnsi="Georgia" w:eastAsia="SimSun"/>
          <w:b w:val="0"/>
          <w:sz w:val="24"/>
          <w:lang w:eastAsia="zh-CN"/>
        </w:rPr>
        <w:t>窗口重构自身。若两者训练期间或输入变量不同，它们定义的“熟悉区域”也不同。不能自动把 USAD 的正常训练集合等同于目标 AI 的训练集合。</w:t>
      </w:r>
    </w:p>
    <w:p>
      <w:bookmarkStart w:id="8" w:name="sec_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4.2 训练与实际运行需要什么</w:t>
      </w:r>
      <w:bookmarkEnd w:id="8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283"/>
        <w:gridCol w:w="2766"/>
        <w:gridCol w:w="3309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信息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训练 USAD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在线检测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主要正常的历史输入序列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必需；需涵盖正常变化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不需逐次查询全部历史训练数据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异常标签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损失不需要；论文评价和最高 F1 选阈值需要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不需要在线真实异常标签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输入列定义、顺序、尺度、采样间隔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必需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必须与训练一致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网络内部参数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必需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必需，使用训练后的 E、D1、D2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目标 AI 内部／梯度／隐层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不需要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不需要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目标 AI 输出及真实目标 Y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不需要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原方法不需要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历史缓冲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生成窗口所需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最近 K 个有效时点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权重与阈值</w:t>
            </w:r>
          </w:p>
        </w:tc>
        <w:tc>
          <w:tcPr>
            <w:tcW w:type="dxa" w:w="276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需配置／校准</w:t>
            </w:r>
          </w:p>
        </w:tc>
        <w:tc>
          <w:tcPr>
            <w:tcW w:type="dxa" w:w="330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固定值或经受控流程更新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“仅凭输入数据可检测”指仅需输入时间窗口加检测器本身；不意味着只看当前一个数，也不意味着不需要训练好的网络。</w:t>
      </w:r>
    </w:p>
    <w:p>
      <w:bookmarkStart w:id="9" w:name="sec_9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4.3 阈值究竟怎么选</w:t>
      </w:r>
      <w:bookmarkEnd w:id="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【论文：§5.1】对各模型尝试可能的异常阈值，并报告对应最高 F1 的结果。原文未交代独立阈值校准集和完整搜索网格，因此应写“基于有标签评价的最佳阈值结果”，不能写成“USAD 自动无监督确定部署阈值”。也不能把 OmniAnomaly 的 POT 阈值方法移植成 USAD 原方法。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【分析：本研究部署建议】可从独立、时间上隔离的正常校准集选择经验高分位阈值，例如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ε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，或者在包含异常的验证集上按告警预算选择阈值。前者不需要异常标签，但仅控制校准数据上的尾部比例；时序相关、分布漂移下不自动保证未来 FPR 等于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ε</m:t>
        </m:r>
      </m:oMath>
      <w:r>
        <w:rPr>
          <w:rFonts w:ascii="Georgia" w:hAnsi="Georgia" w:eastAsia="SimSun"/>
          <w:b w:val="0"/>
          <w:sz w:val="24"/>
          <w:lang w:eastAsia="zh-CN"/>
        </w:rPr>
        <w:t>。测试集应保持未参与选择。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改变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,</m:t>
        </m:r>
        <m:r>
          <m:rPr>
            <m:sty m:val="p"/>
          </m:rPr>
          <w:rPr>
            <w:rFonts w:ascii="Cambria Math" w:hAnsi="Cambria Math"/>
            <w:sz w:val="22"/>
          </w:rPr>
          <m:t xml:space="preserve">β</m:t>
        </m:r>
      </m:oMath>
      <w:r>
        <w:rPr>
          <w:rFonts w:ascii="Georgia" w:hAnsi="Georgia" w:eastAsia="SimSun"/>
          <w:b w:val="0"/>
          <w:sz w:val="24"/>
          <w:lang w:eastAsia="zh-CN"/>
        </w:rPr>
        <w:t>会改变分数分布，阈值需一并评估。对单个窗口，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s</m:t>
        </m:r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，所以只有当该窗口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&lt;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时增大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α</m:t>
        </m:r>
      </m:oMath>
      <w:r>
        <w:rPr>
          <w:rFonts w:ascii="Georgia" w:hAnsi="Georgia" w:eastAsia="SimSun"/>
          <w:b w:val="0"/>
          <w:sz w:val="24"/>
          <w:lang w:eastAsia="zh-CN"/>
        </w:rPr>
        <w:t>才使分数下降；不是普遍单调规律。</w:t>
      </w:r>
    </w:p>
    <w:p>
      <w:bookmarkStart w:id="10" w:name="sec_1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4.4 基线分类与比较边界</w:t>
      </w:r>
      <w:bookmarkEnd w:id="10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298"/>
        <w:gridCol w:w="3262"/>
        <w:gridCol w:w="3799"/>
      </w:tblGrid>
      <w:tr>
        <w:trPr>
          <w:cantSplit/>
          <w:tblHeader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基线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本文比较中的类别／用途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汇报时的边界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IF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随机隔离型；提供非神经网络对照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原实验逐点处理，未显式利用窗口历史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AE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重构型；判断对抗目标的增益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最直接的方法学对照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LSTM-VAE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时序潜在变量／重构型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具体分数和配置应以该方法原文及实验实现为准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DAGMM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AE 表示＋高斯混合密度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兼具表示学习与密度建模，不应简单叫普通 AE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</w:t>
            </w:r>
          </w:p>
        </w:tc>
        <w:tc>
          <w:tcPr>
            <w:tcW w:type="dxa" w:w="32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随机循环模型及重构概率</w:t>
            </w:r>
          </w:p>
        </w:tc>
        <w:tc>
          <w:tcPr>
            <w:tcW w:type="dxa" w:w="37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本文性能和训练速度的主要深度对照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这些基线在这里是 USAD 的评价对象。本篇并未完整提供每种基线的阈值、全部数据处理和许可信息，不能据本篇替代其各自精读报告。</w:t>
      </w:r>
    </w:p>
    <w:p>
      <w:bookmarkStart w:id="11" w:name="sec_1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4.5 主要检测结果 保留评价条件</w:t>
      </w:r>
      <w:bookmarkEnd w:id="1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【论文：表 2，PDF 6／3400】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41"/>
        <w:gridCol w:w="1341"/>
        <w:gridCol w:w="1341"/>
        <w:gridCol w:w="1341"/>
        <w:gridCol w:w="1341"/>
        <w:gridCol w:w="2653"/>
      </w:tblGrid>
      <w:tr>
        <w:trPr>
          <w:cantSplit/>
          <w:tblHeader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数据集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是否 point-adjust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USAD P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USAD R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USAD F1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最有用的对照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否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0.9851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0.6618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0.7917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 0.7822；AE 0.7697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是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0.9870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0.7402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0.8460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 0.8328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WADI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否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0.9947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0.1318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0.2328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AE 0.2315；OmniAnomaly 0.2296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WADI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是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0.6451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0.3220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0.4296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IF 0.6198，高于 USAD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是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0.9314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0.9617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0.9382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 0.9441，高于 USAD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是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0.7697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0.9831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0.8186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 0.8054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MSL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是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0.8810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0.9786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0.9109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OmniAnomaly 0.8952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否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0.7448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0.6428</w:t>
            </w:r>
          </w:p>
        </w:tc>
        <w:tc>
          <w:tcPr>
            <w:tcW w:type="dxa" w:w="13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0.6901</w:t>
            </w:r>
          </w:p>
        </w:tc>
        <w:tc>
          <w:tcPr>
            <w:tcW w:type="dxa" w:w="265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6 仅报告 USAD，没有其他方法对照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SMD、SMAP、MSL 的 USAD F1* 分别是 0.9463、0.8634、0.9272。不要拿这些数替换 F1 再和其他方法的 F1 比较。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Precision=TP/(TP+FP)，Recall=TP/(TP+FN)，F1 为二者调和平均；多个实体的 F1 先算后平均，与先平均 P、R 再算 F1* 通常不相等。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Point-adjust。</w:t>
      </w:r>
      <w:r>
        <w:rPr>
          <w:rFonts w:ascii="Georgia" w:hAnsi="Georgia" w:eastAsia="SimSun"/>
          <w:b w:val="0"/>
          <w:sz w:val="24"/>
          <w:lang w:eastAsia="zh-CN"/>
        </w:rPr>
        <w:t>真实连续异常区间内只要命中一点，就把整段补记检出。例如100点异常只在最后一点报警且无误报时，原始 Recall=1%、F1≈1.98%，调整后可以都达到100%；首次告警仍然很晚。原文对窗口内异常也有判定描述，但下采样与时点、窗口标签的完整对齐规则不足。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结果含义。</w:t>
      </w:r>
      <w:r>
        <w:rPr>
          <w:rFonts w:ascii="Georgia" w:hAnsi="Georgia" w:eastAsia="SimSun"/>
          <w:b w:val="0"/>
          <w:sz w:val="24"/>
          <w:lang w:eastAsia="zh-CN"/>
        </w:rPr>
        <w:t>SWaT 原始评价下检出率约 66%；WADI 虽然在未调整 F1 比较中略高，但原始 Recall 仅 13.18%，仍存在严重漏检。SWaT 相对 OmniAnomaly 的 F1 增加 0.0095，WADI 增加 0.0032，都是绝对差。不能用“最好”掩盖实际幅度与绝对性能。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【核算】表 2 五个数据的 point-adjust F1 简单平均：USAD=0.78866，OmniAnomaly=0.77898，差约 0.00968。§5.1 写“exceeding by 0.096”，与此不符，疑似数量级笔误；应引用表值而不照抄 0.096。表 3 的跨数据集标准差也不等于随机种子重复实验的不确定性。</w:t>
      </w:r>
    </w:p>
    <w:p>
      <w:bookmarkStart w:id="12" w:name="sec_1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4.6 检出与误报的权衡</w:t>
      </w:r>
      <w:bookmarkEnd w:id="1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【论文：表 4，SWaT】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α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β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FP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TP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F1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0.0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1.0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604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35,616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0.7875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580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35,529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0.7853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0.2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571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35,285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0.7833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0.5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548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34,590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0.7741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0.3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506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34,548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0.7738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0.1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299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34,028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0.7684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从首行到末行，FP 减少约 50.50%，TP 减少约 4.46%；正文称 TP 下降 3%，与表值计算不一致。表 4 未清楚给出复现实验所需的完整阈值配置，不能假设其数值与表 2 最优 F1 对应同一个工作点。缺少相同计分单位的 TN，不能直接把表中 FP 转成 FPR。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提高实际阈值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λ</m:t>
        </m:r>
      </m:oMath>
      <w:r>
        <w:rPr>
          <w:rFonts w:ascii="Georgia" w:hAnsi="Georgia" w:eastAsia="SimSun"/>
          <w:b w:val="0"/>
          <w:sz w:val="24"/>
          <w:lang w:eastAsia="zh-CN"/>
        </w:rPr>
        <w:t>，在分数固定时一般降低 TP 与 FP。改变分数权重则不保证逐样本单调。部署应按“每天允许多少次误报警、可容忍漏掉何种事件、允许多长延迟”选择工作点，而不只追求最高 F1。【分析】</w:t>
      </w:r>
    </w:p>
    <w:p>
      <w:bookmarkStart w:id="13" w:name="sec_1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4.7 参数 消融与稳定性</w:t>
      </w:r>
      <w:bookmarkEnd w:id="1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【论文：§5.2、图 2】参数分析只在 SWaT 进行。下采样率测试 1、5、10、20、50；窗口测试 5、10、20、50、100；潜在维数测试 5、10、20、40、100。较小窗口便于快速响应，但可能少看上下文；大窗口可能稀释短异常，并增加计算量。作者参数分析称 K=10 最好，附录 SWaT 配置却是 K=12，二者应并列记录。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随机高斯噪声污染约 5% 以内表现相对稳定，10% 起开始下降，30% 明显恶化。它只验证该噪声注入实验，不代表可接受 30% 实际设备故障、长期漂移或结构性错误标签。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【论文：图 3，PDF 8】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181"/>
        <w:gridCol w:w="2181"/>
        <w:gridCol w:w="2522"/>
        <w:gridCol w:w="2474"/>
      </w:tblGrid>
      <w:tr>
        <w:trPr>
          <w:cantSplit/>
          <w:tblHeader/>
        </w:trPr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数据集</w:t>
            </w:r>
          </w:p>
        </w:tc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Combined</w:t>
            </w:r>
          </w:p>
        </w:tc>
        <w:tc>
          <w:tcPr>
            <w:tcW w:type="dxa" w:w="25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Auto-encoder only</w:t>
            </w:r>
          </w:p>
        </w:tc>
        <w:tc>
          <w:tcPr>
            <w:tcW w:type="dxa" w:w="2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Adversarial only</w:t>
            </w:r>
          </w:p>
        </w:tc>
      </w:tr>
      <w:tr>
        <w:trPr>
          <w:cantSplit/>
        </w:trPr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0.9382</w:t>
            </w:r>
          </w:p>
        </w:tc>
        <w:tc>
          <w:tcPr>
            <w:tcW w:type="dxa" w:w="25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0.8280</w:t>
            </w:r>
          </w:p>
        </w:tc>
        <w:tc>
          <w:tcPr>
            <w:tcW w:type="dxa" w:w="2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0.3852</w:t>
            </w:r>
          </w:p>
        </w:tc>
      </w:tr>
      <w:tr>
        <w:trPr>
          <w:cantSplit/>
        </w:trPr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</w:t>
            </w:r>
          </w:p>
        </w:tc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0.8186</w:t>
            </w:r>
          </w:p>
        </w:tc>
        <w:tc>
          <w:tcPr>
            <w:tcW w:type="dxa" w:w="25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0.7843</w:t>
            </w:r>
          </w:p>
        </w:tc>
        <w:tc>
          <w:tcPr>
            <w:tcW w:type="dxa" w:w="2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0.7562</w:t>
            </w:r>
          </w:p>
        </w:tc>
      </w:tr>
      <w:tr>
        <w:trPr>
          <w:cantSplit/>
        </w:trPr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MSL</w:t>
            </w:r>
          </w:p>
        </w:tc>
        <w:tc>
          <w:tcPr>
            <w:tcW w:type="dxa" w:w="21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0.9109</w:t>
            </w:r>
          </w:p>
        </w:tc>
        <w:tc>
          <w:tcPr>
            <w:tcW w:type="dxa" w:w="25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0.8791</w:t>
            </w:r>
          </w:p>
        </w:tc>
        <w:tc>
          <w:tcPr>
            <w:tcW w:type="dxa" w:w="2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0.8125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【核算】三数据平均 F1 的组合相对 AE-only 绝对增加约 0.05877，即 5.88 个百分点；相对 adversarial-only 增加约 0.23793，即 23.79 个百分点。正文称 24.09%，与可读图值略不一致，应以原图数值及计算口径为准。图中的 AE-only 值也不能全部直接等同表 2 AE 行。缺少多种子误差条，不宜声称差异有统计显著性。</w:t>
      </w:r>
    </w:p>
    <w:p>
      <w:bookmarkStart w:id="14" w:name="sec_1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4.8 训练速度与实时性</w:t>
      </w:r>
      <w:bookmarkEnd w:id="14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【论文：表 5】单位为分钟／epoch，两者使用 GTX 1080 Ti。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数据集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OmniAnomaly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USAD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原文加速倍数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13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0.06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216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WADI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31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0.12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258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87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0.06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1331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48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0.08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581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MSL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11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0.03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349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作者报告平均约 547 倍，表内加速倍数的平均也为 547。分钟数已四舍五入，直接拿展示值相除不一定重现倍数。多实体数据按作者 §5.3 的实体平均口径记录，不能把这些数直接说成训练所有实体模型的墙钟总耗时。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原文未提供同等目标质量下的总训练成本、在线单窗口延迟分布、内存峰值或能耗实测。在线路径为一次 E→D1，再一次 E→D2；固定模型前馈计算使在线使用可行，但不提供硬实时保证。</w:t>
      </w:r>
    </w:p>
    <w:p>
      <w:bookmarkStart w:id="15" w:name="sec_15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4.9 如果没有真实异常标签 如何评价</w:t>
      </w:r>
      <w:bookmarkEnd w:id="15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【未报告】本篇没有提出无真实标签时可靠计算 Recall、F1 的方法。没有真实异常集合就不知道 FN，无法从分数直方图或重构损失直接得出检出率。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分析：后续研究方案】可分别使用人工复核的分层抽样、维护记录、受控故障注入、可信仿真，以及仅正常校准期间的告警统计。每种只能回答有限问题：仿真检出率只针对模拟故障；少量复核需要说明抽样偏差；“报警少”不意味着漏检少。对末端压力模型，还应保留实际压力测量作为离线评价，检查报警是否与预测误差或控制风险相关。</w:t>
      </w:r>
    </w:p>
    <w:p>
      <w:bookmarkStart w:id="16" w:name="sec_16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5 用于评价的数据集 逐项整理</w:t>
      </w:r>
      <w:bookmarkEnd w:id="16"/>
    </w:p>
    <w:p>
      <w:bookmarkStart w:id="17" w:name="sec_1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5.1 数据规模与划分总表</w:t>
      </w:r>
      <w:bookmarkEnd w:id="17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以下样本数来自原文表 1，不是下采样后窗口数；比例为本报告按行数计算。实体×维数不应拼成单一大向量。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462"/>
        <w:gridCol w:w="1481"/>
        <w:gridCol w:w="1462"/>
        <w:gridCol w:w="1462"/>
        <w:gridCol w:w="2027"/>
        <w:gridCol w:w="1462"/>
      </w:tblGrid>
      <w:tr>
        <w:trPr>
          <w:cantSplit/>
          <w:tblHeader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数据集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训练时点数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测试时点数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实体数×每实体维数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训练／测试比例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原文异常占比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496,800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449,919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1×51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52.48%／47.52%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11.98%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WADI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1,048,571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172,801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1×123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85.85%／14.15%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5.99%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708,405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708,420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28×38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约 50%／50%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4.16%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135,183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427,617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55×25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24.02%／75.98%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13.13%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MSL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58,317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73,729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27×55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44.16%／55.84%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10.72%</w:t>
            </w:r>
          </w:p>
        </w:tc>
      </w:tr>
      <w:tr>
        <w:trPr>
          <w:cantSplit/>
        </w:trPr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</w:t>
            </w:r>
          </w:p>
        </w:tc>
        <w:tc>
          <w:tcPr>
            <w:tcW w:type="dxa" w:w="14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2,781,000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5,081,000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1×33</w:t>
            </w:r>
          </w:p>
        </w:tc>
        <w:tc>
          <w:tcPr>
            <w:tcW w:type="dxa" w:w="202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35.37%／64.63%</w:t>
            </w:r>
          </w:p>
        </w:tc>
        <w:tc>
          <w:tcPr>
            <w:tcW w:type="dxa" w:w="146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33.72%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异常比例口径：</w:t>
      </w:r>
      <w:r>
        <w:rPr>
          <w:rFonts w:ascii="Georgia" w:hAnsi="Georgia" w:eastAsia="SimSun"/>
          <w:b w:val="0"/>
          <w:sz w:val="24"/>
          <w:lang w:eastAsia="zh-CN"/>
        </w:rPr>
        <w:t>这些是异常时点比例，不是事件占比或窗口占比。SMD／SMAP／MSL 是基准测试部分的异常比例；对 SWaT／WADI／Orange，原表只笼统写数据点百分比，正文没有逐个明确分母，故保留原表比例，实际复现须用测试标签核验。训练假设正常、Orange 主要正常；不要把这些百分比写成训练污染率。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总时点数分别为 946,719、1,221,372、1,416,825、562,800、132,046、7,862,000。文件压缩大小、磁盘字节数和实际内存占用原文未报告。本次未下载数据，不能用理论浮点大小冒充真实文件规模。</w:t>
      </w:r>
    </w:p>
    <w:p>
      <w:bookmarkStart w:id="18" w:name="sec_1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5.2 SWaT</w:t>
      </w:r>
      <w:bookmarkEnd w:id="18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【论文】水处理试验平台的 51 个传感器／执行器变量构成输入。数据包括物理测量与控制状态；原文未逐列给变量名和单位。USAD 输出重构窗口、分数与异常标签；没有独立的“末端压力”监督输出。真实 normal／attack 标签用于评价，不作为输入特征。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原文训练 496,800、测试 449,919 点，51 维。描述为正常运行 7 天、攻击场景运行 4 天。表中时点数与按“一秒一点、7＋4 天”直接换算不完全一致；实际裁剪及版本必须核验，不能强行让两组数字相等。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真实标签。</w:t>
      </w:r>
      <w:r>
        <w:rPr>
          <w:rFonts w:ascii="Georgia" w:hAnsi="Georgia" w:eastAsia="SimSun"/>
          <w:b w:val="0"/>
          <w:sz w:val="24"/>
          <w:lang w:eastAsia="zh-CN"/>
        </w:rPr>
        <w:t>【外部核查】</w:t>
      </w:r>
      <w:hyperlink r:id="rId12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iTrust SWaT 数据说明</w:t>
        </w:r>
      </w:hyperlink>
      <w:r>
        <w:rPr>
          <w:rFonts w:ascii="Georgia" w:hAnsi="Georgia" w:eastAsia="SimSun"/>
          <w:b w:val="0"/>
          <w:sz w:val="24"/>
          <w:lang w:eastAsia="zh-CN"/>
        </w:rPr>
        <w:t>记录 2015 年版本有正常／异常行为标记及 41 次攻击。它表达试验攻击情景，不表示目标 AI 训练覆盖度；攻击开始、物理后果出现与监控可见异常的时间可能不同。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公开与许可。</w:t>
      </w:r>
      <w:r>
        <w:rPr>
          <w:rFonts w:ascii="Georgia" w:hAnsi="Georgia" w:eastAsia="SimSun"/>
          <w:b w:val="0"/>
          <w:sz w:val="24"/>
          <w:lang w:eastAsia="zh-CN"/>
        </w:rPr>
        <w:t xml:space="preserve">公开可申请，非任意再分发。通过 </w:t>
      </w:r>
      <w:hyperlink r:id="rId13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iTrust 申请表</w:t>
        </w:r>
      </w:hyperlink>
      <w:r>
        <w:rPr>
          <w:rFonts w:ascii="Georgia" w:hAnsi="Georgia" w:eastAsia="SimSun"/>
          <w:b w:val="0"/>
          <w:sz w:val="24"/>
          <w:lang w:eastAsia="zh-CN"/>
        </w:rPr>
        <w:t>填写姓名、机构、机构邮箱并同意条款；核查页面注明不接受个人邮箱。详细条款要求致谢、发表后告知及不得转交数据，见本章末许可汇总。本次未代用户提交申请。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数据分类。</w:t>
      </w:r>
      <w:r>
        <w:rPr>
          <w:rFonts w:ascii="Georgia" w:hAnsi="Georgia" w:eastAsia="SimSun"/>
          <w:b w:val="0"/>
          <w:sz w:val="24"/>
          <w:lang w:eastAsia="zh-CN"/>
        </w:rPr>
        <w:t>创建者按正常行为与攻击情景组织，另有攻击说明；不是按本研究①②③构造。①范围／分布外与③关系偏离都可能出现，但每次攻击需核对数据才能归类；②训练不足没有专门标签。攻击持续不自动等于 Collective：若每个点本身都异常，可是持续的 Point 异常；只有组合或序列整体异常才适合 Collective。USAD 未报告这三类各自指标。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>§5.2 图 2 下采样轴以秒描述 SWaT。按一秒原始粒度、5 点中位数聚合解释，K=12 覆盖约 60 秒；这是与附录相结合的时间换算，具体文件时间戳和测试预处理需确认。每次输入多个时刻全部变量；不是只输入当前一点。官方指出正常数据存在移除开头排水期的版本差异，不能把版本变化混同算法效果。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正常期间作为训练，含攻击期间作为测试；测试同时有正常与异常时点，按时间保留事件，不是随机把每个时点 8:2 切分。论文没有详细标明采用哪个原始文件版本、起始裁剪和所有边界处理。获取方式为官方申请后下载对应历史版本。</w:t>
      </w:r>
    </w:p>
    <w:p>
      <w:bookmarkStart w:id="19" w:name="sec_19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5.3 WADI</w:t>
      </w:r>
      <w:bookmarkEnd w:id="19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配水试验平台 123 个传感器／执行器变量；物理类型包含水系统状态，完整列名、单位原文未给。输出仍是重构、分数和异常判定，无压力估计监督目标。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训练 1,048,571、测试 172,801 点；描述正常 14 天、攻击 2 天。训练行数不能与 14×86,400 完全对应，原文未说明差异的完整来源。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标签。</w:t>
      </w:r>
      <w:r>
        <w:rPr>
          <w:rFonts w:ascii="Georgia" w:hAnsi="Georgia" w:eastAsia="SimSun"/>
          <w:b w:val="0"/>
          <w:sz w:val="24"/>
          <w:lang w:eastAsia="zh-CN"/>
        </w:rPr>
        <w:t>攻击场景提供真实异常依据。【外部核查】</w:t>
      </w:r>
      <w:hyperlink r:id="rId14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iTrust WADI 说明</w:t>
        </w:r>
      </w:hyperlink>
      <w:r>
        <w:rPr>
          <w:rFonts w:ascii="Georgia" w:hAnsi="Georgia" w:eastAsia="SimSun"/>
          <w:b w:val="0"/>
          <w:sz w:val="24"/>
          <w:lang w:eastAsia="zh-CN"/>
        </w:rPr>
        <w:t>记录 15 次攻击；2019-12 更新版删除部分不稳定期，并提供 attack=-1、normal=1 的标签文件及更正攻击日期。复现应统一转为异常 1／正常 0，不能误把原始 -1 当正常。本文未明确是哪个版本。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许可与获取。</w:t>
      </w:r>
      <w:r>
        <w:rPr>
          <w:rFonts w:ascii="Georgia" w:hAnsi="Georgia" w:eastAsia="SimSun"/>
          <w:b w:val="0"/>
          <w:sz w:val="24"/>
          <w:lang w:eastAsia="zh-CN"/>
        </w:rPr>
        <w:t>同 SWaT，通过官方申请获得；适用 iTrust 使用条件，不是由 USAD 软件许可覆盖。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分类。</w:t>
      </w:r>
      <w:r>
        <w:rPr>
          <w:rFonts w:ascii="Georgia" w:hAnsi="Georgia" w:eastAsia="SimSun"/>
          <w:b w:val="0"/>
          <w:sz w:val="24"/>
          <w:lang w:eastAsia="zh-CN"/>
        </w:rPr>
        <w:t>创建者按运行／攻击情景分类，没有本研究①②③标签。范围异常、变量关系与动态异常可能并存；训练不足区域未专门评估。原文强调部分异常持续很久，这解释了 point-adjust 的影响，但不能因此把全数据集唯一归为 Collective。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>原文没有明确列出原始采样周期。172,801 点接近 2 天的一秒采样，是算术线索而非充分元数据证据。若确认原始间隔 1 秒且训练／测试均 5 倍聚合，则 K=10 对应约 50 秒；若未聚合测试，则不是这个时长。原始起止日期、缺失时段应以获得的对应版本为准。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正常期训练、含攻击期测试；比例约 85.85:14.15。异常测试点与正常测试点按实际事件时间配置。5.99% 不代表按比例人工均匀注入。版本更新影响行数和标签边界，应记录文件版本与校验值。</w:t>
      </w:r>
    </w:p>
    <w:p>
      <w:bookmarkStart w:id="20" w:name="sec_2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5.4 SMD</w:t>
      </w:r>
      <w:bookmarkEnd w:id="20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28 台服务器的监控数值序列，每实体 38 维；具体指标含义在 USAD 中未列全。§4.1 正文写 33 维，与表 1 的 38 不一致。【外部核查】</w:t>
      </w:r>
      <w:hyperlink r:id="rId15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数据发布者 OmniAnomaly 仓库</w:t>
        </w:r>
      </w:hyperlink>
      <w:r>
        <w:rPr>
          <w:rFonts w:ascii="Georgia" w:hAnsi="Georgia" w:eastAsia="SimSun"/>
          <w:b w:val="0"/>
          <w:sz w:val="24"/>
          <w:lang w:eastAsia="zh-CN"/>
        </w:rPr>
        <w:t>支持 38 维，因此本报告采用 38 并保留原文差异。USAD 重构全部输入，不预测独立业务目标。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全部实体合计训练 708,405、测试 708,420 点，约五周；不能把全部实体时点相加后解释为一台服务器的持续时间。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标签。</w:t>
      </w:r>
      <w:r>
        <w:rPr>
          <w:rFonts w:ascii="Georgia" w:hAnsi="Georgia" w:eastAsia="SimSun"/>
          <w:b w:val="0"/>
          <w:sz w:val="24"/>
          <w:lang w:eastAsia="zh-CN"/>
        </w:rPr>
        <w:t>有测试逐点异常标签和异常涉及维度的 interpretation_label。USAD 未详述原始标注程序、复核者一致性。异常标签不是目标 AI 误差标签。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获取与许可。</w:t>
      </w:r>
      <w:r>
        <w:rPr>
          <w:rFonts w:ascii="Georgia" w:hAnsi="Georgia" w:eastAsia="SimSun"/>
          <w:b w:val="0"/>
          <w:sz w:val="24"/>
          <w:lang w:eastAsia="zh-CN"/>
        </w:rPr>
        <w:t>仓库 ServerMachineDataset 下含 train、test、test_label、interpretation_label，可从发布仓库获取；仓库标注 MIT，独立数据专用许可声明本次未确认，不应把仓库软件许可无条件外推到全部第三方数据。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分类。</w:t>
      </w:r>
      <w:r>
        <w:rPr>
          <w:rFonts w:ascii="Georgia" w:hAnsi="Georgia" w:eastAsia="SimSun"/>
          <w:b w:val="0"/>
          <w:sz w:val="24"/>
          <w:lang w:eastAsia="zh-CN"/>
        </w:rPr>
        <w:t>创建者按 3 组实体组织，并提供异常相关维度；这与 Point／Contextual／Collective 不是同一分类轴。没有①②③专属真值，也没有本篇逐类检出统计。时间事件和多维关系使③具有研究价值，须进一步构造受控评价。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>原文报告五周，未明确采样间隔和日历日期。K=5、下采样率 5，意味着名义上覆盖 25 个原始采样间隔的数据块；不能未经确认换算成 25 秒或 25 分钟。每个窗口保留多时刻数值。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每个实体前半段训练、后半段测试，各实体分别训练和测试；不应把机器尾部和另一台机器头部连成滑窗。测试异常占比 4.16%。复现应使用原始分割并说明验证集从哪里取。</w:t>
      </w:r>
    </w:p>
    <w:p>
      <w:bookmarkStart w:id="21" w:name="sec_2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5.5 SMAP</w:t>
      </w:r>
      <w:bookmarkEnd w:id="2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55 个匿名通道／实体，每个输入 25 维。不能说成一个时刻同时输入 55×25 个不同传感器。【外部核查】</w:t>
      </w:r>
      <w:hyperlink r:id="rId16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Telemanom 发布说明</w:t>
        </w:r>
      </w:hyperlink>
      <w:r>
        <w:rPr>
          <w:rFonts w:ascii="Georgia" w:hAnsi="Georgia" w:eastAsia="SimSun"/>
          <w:b w:val="0"/>
          <w:sz w:val="24"/>
          <w:lang w:eastAsia="zh-CN"/>
        </w:rPr>
        <w:t>指出输入含遥测值和 one-hot 命令信息；因此不是 25 个同类连续物理量。原始 Telemanom 有遥测预测任务，但 USAD 将窗口整体作为重构对象。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本篇训练 135,183、测试 427,617 点；保持本篇基准版本数值，不替换成 Telemanom 页面其他评估统计。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标签。</w:t>
      </w:r>
      <w:r>
        <w:rPr>
          <w:rFonts w:ascii="Georgia" w:hAnsi="Georgia" w:eastAsia="SimSun"/>
          <w:b w:val="0"/>
          <w:sz w:val="24"/>
          <w:lang w:eastAsia="zh-CN"/>
        </w:rPr>
        <w:t>NASA 专家标注异常区间；</w:t>
      </w:r>
      <w:hyperlink r:id="rId17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labeled_anomalies.csv</w:t>
        </w:r>
      </w:hyperlink>
      <w:r>
        <w:rPr>
          <w:rFonts w:ascii="Georgia" w:hAnsi="Georgia" w:eastAsia="SimSun"/>
          <w:b w:val="0"/>
          <w:sz w:val="24"/>
          <w:lang w:eastAsia="zh-CN"/>
        </w:rPr>
        <w:t>提供通道、航天器、区间起止索引、class 和长度。标签表示遥测异常；不表示控制系统一定失效，也不表示目标 AI 一定不可靠。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获取与许可。</w:t>
      </w:r>
      <w:r>
        <w:rPr>
          <w:rFonts w:ascii="Georgia" w:hAnsi="Georgia" w:eastAsia="SimSun"/>
          <w:b w:val="0"/>
          <w:sz w:val="24"/>
          <w:lang w:eastAsia="zh-CN"/>
        </w:rPr>
        <w:t>公开发布；当前发布者 README 指向 Kaggle 的 nasa-anomaly-detection-dataset-smap-msl 获取数据，标签文件在原仓库。需按该入口完成平台访问条件；本次未验证完整压缩包下载。README 许可描述与 LICENSE.txt 不一致，详见本章末。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创建者分类。</w:t>
      </w:r>
      <w:r>
        <w:rPr>
          <w:rFonts w:ascii="Georgia" w:hAnsi="Georgia" w:eastAsia="SimSun"/>
          <w:b w:val="0"/>
          <w:sz w:val="24"/>
          <w:lang w:eastAsia="zh-CN"/>
        </w:rPr>
        <w:t>发布者明确给出 point 和 contextual 分类；原始统计 SMAP 为 43 个 point、26 个 contextual 异常序列。这里 point 类也以时间区间记录，不表示每个事件仅一个采样点。没有独立 collective 类；USAD 不按这些类别报告成绩。Point 不自动等于①，Contextual 不自动等于③；是否范围内、是否稀疏、是否关系变化需针对训练集另算。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 xml:space="preserve">时间与通道标识匿名化。原始 </w:t>
      </w:r>
      <w:hyperlink r:id="rId18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Hundman 等数据论文 §4</w:t>
        </w:r>
      </w:hyperlink>
      <w:r>
        <w:rPr>
          <w:rFonts w:ascii="Georgia" w:hAnsi="Georgia" w:eastAsia="SimSun"/>
          <w:b w:val="0"/>
          <w:sz w:val="24"/>
          <w:lang w:eastAsia="zh-CN"/>
        </w:rPr>
        <w:t>说明一分钟聚合；USAD 本文未重述完整时间对齐。若沿用该一分钟表示并进行 5 倍聚合，K=5 名义覆盖约 25 分钟，须按实际版本确认。日历起止不可从匿名序列直接还原。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使用已提供训练／测试集合，按实体处理；合计比例约 24.02:75.98。测试含 13.13% 异常时点。原始发布数据已做缩放，README 指出遥测值按测试集 min/max 缩放到 (-1,1)，这带来预处理可复现性和部署因果性问题；不能把现成数组当成完全未经测试信息处理的原始流。USAD 所有最终归一化步骤原文未充分说明。</w:t>
      </w:r>
    </w:p>
    <w:p>
      <w:bookmarkStart w:id="22" w:name="sec_2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5.6 MSL</w:t>
      </w:r>
      <w:bookmarkEnd w:id="22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27 个通道／实体，每实体 55 维；与 SMAP 一样包含遥测与编码命令信息，并非一条 27×55 维序列。USAD 输出重构与异常标记，没有末端压力回归输出。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本篇训练 58,317、测试 73,729 点；比例约 44.16:55.84。不同原始论文／版本统计不完全相同，不跨版本拼接数字。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真实标签。</w:t>
      </w:r>
      <w:r>
        <w:rPr>
          <w:rFonts w:ascii="Georgia" w:hAnsi="Georgia" w:eastAsia="SimSun"/>
          <w:b w:val="0"/>
          <w:sz w:val="24"/>
          <w:lang w:eastAsia="zh-CN"/>
        </w:rPr>
        <w:t>与 SMAP 同源的专家区间标注，见上述标签文件；原始统计为 19 个 point、17 个 contextual 异常序列。USAD 没有逐类分数。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许可、公开、下载。</w:t>
      </w:r>
      <w:r>
        <w:rPr>
          <w:rFonts w:ascii="Georgia" w:hAnsi="Georgia" w:eastAsia="SimSun"/>
          <w:b w:val="0"/>
          <w:sz w:val="24"/>
          <w:lang w:eastAsia="zh-CN"/>
        </w:rPr>
        <w:t>与 SMAP 同一发布体系与获取入口，同样不能仅凭“NASA”断言全部无条件公有领域。当前镜像数据许可及发布文件条款需与实际下载包一并保存。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分类。</w:t>
      </w:r>
      <w:r>
        <w:rPr>
          <w:rFonts w:ascii="Georgia" w:hAnsi="Georgia" w:eastAsia="SimSun"/>
          <w:b w:val="0"/>
          <w:sz w:val="24"/>
          <w:lang w:eastAsia="zh-CN"/>
        </w:rPr>
        <w:t>创建者提供 point／contextual，未提供本研究①②③标签或独立 collective 类。异常片段中可能包含幅度、上下文和持续模式变化；需基于训练数据验证具体归属。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>沿用原始论文一分钟聚合说明时，5 倍下采样、K=5 对应约 25 分钟的数据块，但 USAD 版本的具体聚合与时间戳仍需复现确认；绝对时间匿名化，采集日历期间未在本篇报告。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使用提供的实体级训练／测试分割；测试异常比例 10.72%，按标注区间分布；不应重新随机拆点并跨集合生成重叠窗口。其他预缩放限制同 SMAP。</w:t>
      </w:r>
    </w:p>
    <w:p>
      <w:bookmarkStart w:id="23" w:name="sec_2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5.7 Orange 企业数据</w:t>
      </w:r>
      <w:bookmarkEnd w:id="2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A 输入与输出。</w:t>
      </w:r>
      <w:r>
        <w:rPr>
          <w:rFonts w:ascii="Georgia" w:hAnsi="Georgia" w:eastAsia="SimSun"/>
          <w:b w:val="0"/>
          <w:sz w:val="24"/>
          <w:lang w:eastAsia="zh-CN"/>
        </w:rPr>
        <w:t>33 个连续指标：27 个技术指标＋6 个业务指标。案例明确包括 total impressions（广告展示量）、total average ecpm（平均展示价格指标）、total cpm cpc revenue（收入指标）。全部作为监控变量，USAD 不预测一个独立收入目标。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B 数据量。</w:t>
      </w:r>
      <w:r>
        <w:rPr>
          <w:rFonts w:ascii="Georgia" w:hAnsi="Georgia" w:eastAsia="SimSun"/>
          <w:b w:val="0"/>
          <w:sz w:val="24"/>
          <w:lang w:eastAsia="zh-CN"/>
        </w:rPr>
        <w:t>约 32 天、2,781,000 训练点，约 60 天、5,081,000 测试点；实际文件字节量未报告。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C 标签。</w:t>
      </w:r>
      <w:r>
        <w:rPr>
          <w:rFonts w:ascii="Georgia" w:hAnsi="Georgia" w:eastAsia="SimSun"/>
          <w:b w:val="0"/>
          <w:sz w:val="24"/>
          <w:lang w:eastAsia="zh-CN"/>
        </w:rPr>
        <w:t>专家结合事故报告标注测试异常；训练选择测试之前没有重大事故的连续时段，因此仅“主要正常”，不能写绝对无异常。表 1 报异常占比 33.72%，分母细节未明确。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D 获取与许可。</w:t>
      </w:r>
      <w:r>
        <w:rPr>
          <w:rFonts w:ascii="Georgia" w:hAnsi="Georgia" w:eastAsia="SimSun"/>
          <w:b w:val="0"/>
          <w:sz w:val="24"/>
          <w:lang w:eastAsia="zh-CN"/>
        </w:rPr>
        <w:t>企业专有，未公开；无公开下载方法或数据许可文本，无法复现全套企业实验。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E 分类。</w:t>
      </w:r>
      <w:r>
        <w:rPr>
          <w:rFonts w:ascii="Georgia" w:hAnsi="Georgia" w:eastAsia="SimSun"/>
          <w:b w:val="0"/>
          <w:sz w:val="24"/>
          <w:lang w:eastAsia="zh-CN"/>
        </w:rPr>
        <w:t>业务／技术变量分类明确，事故报告提供事件依据；没有完整①②③或 Point／Contextual／Collective 标签。广告配置事故体现多个指标联合观察的价值，但原文没有证明所有变量仍在训练范围内，所以不能认定为严格构造的③类。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F 时间特征。</w:t>
      </w:r>
      <w:r>
        <w:rPr>
          <w:rFonts w:ascii="Georgia" w:hAnsi="Georgia" w:eastAsia="SimSun"/>
          <w:b w:val="0"/>
          <w:sz w:val="24"/>
          <w:lang w:eastAsia="zh-CN"/>
        </w:rPr>
        <w:t>每次使用窗口，具体 K、采样频率、日历期间、下采样与缓冲策略未报告。不能因样本数近似天数×86,400 就确认一秒采样。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G 划分。</w:t>
      </w:r>
      <w:r>
        <w:rPr>
          <w:rFonts w:ascii="Georgia" w:hAnsi="Georgia" w:eastAsia="SimSun"/>
          <w:b w:val="0"/>
          <w:sz w:val="24"/>
          <w:lang w:eastAsia="zh-CN"/>
        </w:rPr>
        <w:t>前一段约 32 天主要正常训练，后一段约 60 天关键时期测试；约 35.37:64.63。非随机划分。测试事件由实际业务事故组成，非按固定比例人工生成。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【论文：§5.5，图 4】一个配置错误使广告分配到非预期合作方，展示量增加、平均价格下降，收入相对稳定。人工约 24 小时才发现，USAD 不到 30 分钟发现。作者称测试期重大事故均在 30 分钟内发现，但未给出重大事故总数、逐事件延迟表或置信区间；总体 Recall 0.6428 与“重大事件均检出”并不矛盾，因为分母不同。</w:t>
      </w:r>
    </w:p>
    <w:p>
      <w:bookmarkStart w:id="24" w:name="sec_24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5.8 窗口与超参数统一记录</w:t>
      </w:r>
      <w:bookmarkEnd w:id="24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【论文：附录表 7】</w:t>
      </w:r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00"/>
        <w:gridCol w:w="720"/>
        <w:gridCol w:w="980"/>
        <w:gridCol w:w="1540"/>
        <w:gridCol w:w="1400"/>
        <w:gridCol w:w="2520"/>
      </w:tblGrid>
      <w:tr>
        <w:trPr>
          <w:cantSplit/>
          <w:tblHeader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数据集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K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epochs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潜在维数 h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下采样率 r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每窗口展开维数 Kd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12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70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40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612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WADI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10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70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100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1,230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250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38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190／实体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250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55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125／实体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MSL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250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33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  <w:jc w:val="center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275／实体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</w:t>
            </w:r>
          </w:p>
        </w:tc>
        <w:tc>
          <w:tcPr>
            <w:tcW w:type="dxa" w:w="7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未报告</w:t>
            </w:r>
          </w:p>
        </w:tc>
        <w:tc>
          <w:tcPr>
            <w:tcW w:type="dxa" w:w="98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未报告</w:t>
            </w:r>
          </w:p>
        </w:tc>
        <w:tc>
          <w:tcPr>
            <w:tcW w:type="dxa" w:w="15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未报告</w:t>
            </w:r>
          </w:p>
        </w:tc>
        <w:tc>
          <w:tcPr>
            <w:tcW w:type="dxa" w:w="140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未报告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未报告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这里的“输入包含多个时刻”所有公开实验都成立。K=5 是五个预处理后时点，不必是五秒；h 也不是原始变量数。附录未给出所有 stride、标签对齐及实体汇总细节，应作为复现缺口记录。</w:t>
      </w:r>
    </w:p>
    <w:p>
      <w:bookmarkStart w:id="25" w:name="sec_25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5.9 数据许可核查汇总</w:t>
      </w:r>
      <w:bookmarkEnd w:id="25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675"/>
        <w:gridCol w:w="4240"/>
        <w:gridCol w:w="3443"/>
      </w:tblGrid>
      <w:tr>
        <w:trPr>
          <w:cantSplit/>
          <w:tblHeader/>
        </w:trPr>
        <w:tc>
          <w:tcPr>
            <w:tcW w:type="dxa" w:w="16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对象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本次确认</w:t>
            </w:r>
          </w:p>
        </w:tc>
        <w:tc>
          <w:tcPr>
            <w:tcW w:type="dxa" w:w="34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SWaT、WADI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hyperlink r:id="rId19">
              <w:r>
                <w:rPr>
                  <w:rFonts w:ascii="Georgia" w:hAnsi="Georgia" w:eastAsia="SimSun"/>
                  <w:color w:val="167039"/>
                  <w:sz w:val="20"/>
                  <w:u w:val="single"/>
                  <w:lang w:eastAsia="zh-CN"/>
                </w:rPr>
                <w:t>iTrust 条款</w:t>
              </w:r>
            </w:hyperlink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要求公开申请者及机构信息、致谢、发表告知、不得向他人私下或公开分享数据；官方申请获取</w:t>
            </w:r>
          </w:p>
        </w:tc>
        <w:tc>
          <w:tcPr>
            <w:tcW w:type="dxa" w:w="34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“公开数据等于可自由再分发”或“USAD BSD-3 覆盖数据”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发布仓库可取得，仓库标注 MIT；独立数据条款未单独确认</w:t>
            </w:r>
          </w:p>
        </w:tc>
        <w:tc>
          <w:tcPr>
            <w:tcW w:type="dxa" w:w="34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对其他镜像或第三方文件作无限制许可判断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SMAP／MSL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README 称 Apache 2.0；</w:t>
            </w:r>
            <w:hyperlink r:id="rId20">
              <w:r>
                <w:rPr>
                  <w:rFonts w:ascii="Georgia" w:hAnsi="Georgia" w:eastAsia="SimSun"/>
                  <w:color w:val="167039"/>
                  <w:sz w:val="20"/>
                  <w:u w:val="single"/>
                  <w:lang w:eastAsia="zh-CN"/>
                </w:rPr>
                <w:t>LICENSE.txt</w:t>
              </w:r>
            </w:hyperlink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实为 Caltech 的三条款式许可正文；二者不一致</w:t>
            </w:r>
          </w:p>
        </w:tc>
        <w:tc>
          <w:tcPr>
            <w:tcW w:type="dxa" w:w="34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直接断言外链数据包统一适用 Apache 2.0；直接视为 NASA 公有领域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</w:t>
            </w:r>
          </w:p>
        </w:tc>
        <w:tc>
          <w:tcPr>
            <w:tcW w:type="dxa" w:w="42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专有、未公开</w:t>
            </w:r>
          </w:p>
        </w:tc>
        <w:tc>
          <w:tcPr>
            <w:tcW w:type="dxa" w:w="344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可以无许可下载或分享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上述是来源记录，不替代实际使用时核对所获数据包随附条款。没有未报告的许可证名称被自行补成事实。</w:t>
      </w:r>
    </w:p>
    <w:p>
      <w:bookmarkStart w:id="26" w:name="sec_26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6 优点 缺点与应用限制</w:t>
      </w:r>
      <w:bookmarkEnd w:id="26"/>
    </w:p>
    <w:p>
      <w:bookmarkStart w:id="27" w:name="sec_27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6.1 优点</w:t>
      </w:r>
      <w:bookmarkEnd w:id="27"/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不需要异常类别标签参与网络训练，适合异常难收集的环境。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同时输入多个变量与过去窗口，具备学习联合和短期时序模式的能力。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不需要访问目标 AI 模型，能作为独立输入监控模块。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论文环境下每轮训练明显快于 OmniAnomaly，便于频繁离线重训。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可在同一个模型上调整分数组合，支持不同告警偏好。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>• 有真实 IT 数据与水系统试验平台实验，应用关联较强。</w:t>
      </w:r>
    </w:p>
    <w:p>
      <w:bookmarkStart w:id="28" w:name="sec_28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6.2 缺点与条件</w:t>
      </w:r>
      <w:bookmarkEnd w:id="28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55"/>
        <w:gridCol w:w="6204"/>
      </w:tblGrid>
      <w:tr>
        <w:trPr>
          <w:cantSplit/>
          <w:tblHeader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限制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为什么影响应用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依赖正常覆盖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未覆盖的正常季节或工况可能误报；混入持久故障可能把故障学成正常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重构不等于密度或预测可信度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训练稀疏区域、甚至部分异常也可能重构良好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有限固定窗口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长周期、长时滞和不规则采样关系可能无法表达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前馈全连接规模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K 与 d 增长使参数和运算快速增加，不能无条件称可扩展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混合数值与离散状态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需要编码与尺度设计，中位数和连续损失可能掩盖稀有状态变化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下采样与聚合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降噪省算力，也可能过滤短促却关键的故障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阈值缺乏原生校准保证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最高 F1 并非可直接部署的无标签阈值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缺失、不同步、传感器更换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原模型未提供完整处理方案，预处理变化会改变分数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可解释性有限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总误差不直接告诉事故根因，某维误差高不等于该维是因果源头</w:t>
            </w:r>
          </w:p>
        </w:tc>
      </w:tr>
      <w:tr>
        <w:trPr>
          <w:cantSplit/>
        </w:trPr>
        <w:tc>
          <w:tcPr>
            <w:tcW w:type="dxa" w:w="31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输入看不到条件关系变化</w:t>
            </w:r>
          </w:p>
        </w:tc>
        <w:tc>
          <w:tcPr>
            <w:tcW w:type="dxa" w:w="62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目标 Y 与 X 关系改变而 X 模式相似时可漏报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训练数据量。</w:t>
      </w:r>
      <w:r>
        <w:rPr>
          <w:rFonts w:ascii="Georgia" w:hAnsi="Georgia" w:eastAsia="SimSun"/>
          <w:b w:val="0"/>
          <w:sz w:val="24"/>
          <w:lang w:eastAsia="zh-CN"/>
        </w:rPr>
        <w:t>没有给出最少样本数定理或通用门槛。文中样本多不意味着必须百万点，也不证明几千点足够；应按工况覆盖、独立事件数量和时间相关性评估有效样本量。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可适用 AI。</w:t>
      </w:r>
      <w:r>
        <w:rPr>
          <w:rFonts w:ascii="Georgia" w:hAnsi="Georgia" w:eastAsia="SimSun"/>
          <w:b w:val="0"/>
          <w:sz w:val="24"/>
          <w:lang w:eastAsia="zh-CN"/>
        </w:rPr>
        <w:t>作为外置模块，可与回归、树模型、神经网络等目标模型并行；这是接口层面的兼容性分析，不是论文逐一验证。其输入必须是固定维度可数值化的时间窗口，目标模型是否使用相同窗口需单独记录。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计算量。</w:t>
      </w:r>
      <w:r>
        <w:rPr>
          <w:rFonts w:ascii="Georgia" w:hAnsi="Georgia" w:eastAsia="SimSun"/>
          <w:b w:val="0"/>
          <w:sz w:val="24"/>
          <w:lang w:eastAsia="zh-CN"/>
        </w:rPr>
        <w:t>令 q=Kd，编码器宽度为 q→q/2→q/4→h；两个解码器各为 h→q/4→q/2→q。隐藏层为 ReLU，末层为 Sigmoid，输出在0到1之间，需要匹配输入尺度。附录末层写 q/4→q，未与前层衔接，公开代码为 q/2→q。忽略偏置与取整，参数主项约为15q²/8+3qh/4。根据这些层宽，单窗口前向运算量为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O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，训练每轮约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O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+</m:t>
        </m:r>
        <m:r>
          <m:rPr>
            <m:sty m:val="p"/>
          </m:rPr>
          <w:rPr>
            <w:rFonts w:ascii="Cambria Math" w:hAnsi="Cambria Math"/>
            <w:sz w:val="22"/>
          </w:rPr>
          <m:t xml:space="preserve">q</m:t>
        </m:r>
        <m:r>
          <m:rPr>
            <m:sty m:val="p"/>
          </m:rPr>
          <w:rPr>
            <w:rFonts w:ascii="Cambria Math" w:hAnsi="Cambria Math"/>
            <w:sz w:val="22"/>
          </w:rPr>
          <m:t xml:space="preserve">h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并有反向和双目标更新常数；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是训练窗口数。在线存储至少需要模型参数及</w:t>
      </w:r>
      <m:oMath>
        <m:r>
          <m:rPr>
            <m:sty m:val="p"/>
          </m:rPr>
          <w:rPr>
            <w:rFonts w:ascii="Cambria Math" w:hAnsi="Cambria Math"/>
            <w:sz w:val="22"/>
          </w:rPr>
          <m:t xml:space="preserve">K</m:t>
        </m:r>
        <m:r>
          <m:rPr>
            <m:sty m:val="p"/>
          </m:rPr>
          <w:rPr>
            <w:rFonts w:ascii="Cambria Math" w:hAnsi="Cambria Math"/>
            <w:sz w:val="22"/>
          </w:rPr>
          <m:t xml:space="preserve">d</m:t>
        </m:r>
      </m:oMath>
      <w:r>
        <w:rPr>
          <w:rFonts w:ascii="Georgia" w:hAnsi="Georgia" w:eastAsia="SimSun"/>
          <w:b w:val="0"/>
          <w:sz w:val="24"/>
          <w:lang w:eastAsia="zh-CN"/>
        </w:rPr>
        <w:t>个输入值，训练还需批次激活与优化器状态。这些是架构推导，未测实际设备延迟。</w:t>
      </w:r>
    </w:p>
    <w:p>
      <w:bookmarkStart w:id="29" w:name="sec_29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7 社会基础设施与末端压力估计模型的适用性</w:t>
      </w:r>
      <w:bookmarkEnd w:id="29"/>
    </w:p>
    <w:p>
      <w:bookmarkStart w:id="30" w:name="sec_30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7.1 证据分级</w:t>
      </w:r>
      <w:bookmarkEnd w:id="30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496"/>
        <w:gridCol w:w="4863"/>
      </w:tblGrid>
      <w:tr>
        <w:trPr>
          <w:cantSplit/>
          <w:tblHeader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判断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支持程度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可处理多变量数值监控输入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原方法与全部实验直接支持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可应用水处理／配水异常研究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SWaT、WADI 直接实验支持，但为试验平台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可帮助真实 IT 运维发现事件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 可行性研究支持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对公司末端压力估计输入可独立打分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接口上可行的分析，尚未在公司数据验证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可保证压力预测误差上界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无证据，不成立为论文结论</w:t>
            </w:r>
          </w:p>
        </w:tc>
      </w:tr>
      <w:tr>
        <w:trPr>
          <w:cantSplit/>
        </w:trPr>
        <w:tc>
          <w:tcPr>
            <w:tcW w:type="dxa" w:w="449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可直接闭环安全控制</w:t>
            </w:r>
          </w:p>
        </w:tc>
        <w:tc>
          <w:tcPr>
            <w:tcW w:type="dxa" w:w="486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原文未验证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/>
          <w:sz w:val="24"/>
          <w:lang w:eastAsia="zh-CN"/>
        </w:rPr>
        <w:t>监控系统：</w:t>
      </w:r>
      <w:r>
        <w:rPr>
          <w:rFonts w:ascii="Georgia" w:hAnsi="Georgia" w:eastAsia="SimSun"/>
          <w:b w:val="0"/>
          <w:sz w:val="24"/>
          <w:lang w:eastAsia="zh-CN"/>
        </w:rPr>
        <w:t>适合作为候选异常告警器，尤其关注多变量联合变化。</w:t>
      </w:r>
      <w:r>
        <w:rPr>
          <w:rFonts w:ascii="Georgia" w:hAnsi="Georgia" w:eastAsia="SimSun"/>
          <w:b/>
          <w:sz w:val="24"/>
          <w:lang w:eastAsia="zh-CN"/>
        </w:rPr>
        <w:t>控制系统：</w:t>
      </w:r>
      <w:r>
        <w:rPr>
          <w:rFonts w:ascii="Georgia" w:hAnsi="Georgia" w:eastAsia="SimSun"/>
          <w:b w:val="0"/>
          <w:sz w:val="24"/>
          <w:lang w:eastAsia="zh-CN"/>
        </w:rPr>
        <w:t>分数本身不说明该采取哪条控制动作，也不衡量动作安全性；告警到控制策略的映射需要领域模型和独立验证。</w:t>
      </w:r>
    </w:p>
    <w:p>
      <w:bookmarkStart w:id="31" w:name="sec_31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7.2 以末端压力模型为参考的接入方式</w:t>
      </w:r>
      <w:bookmarkEnd w:id="31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公司真实变量表、采样周期、模型形式及山原先生论文尚未提供，以下全部为分析方案，不能写成公司已有事实。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假设目标模型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f</m:t>
        </m:r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  <w:r>
        <w:rPr>
          <w:rFonts w:ascii="Georgia" w:hAnsi="Georgia" w:eastAsia="SimSun"/>
          <w:b w:val="0"/>
          <w:sz w:val="24"/>
          <w:lang w:eastAsia="zh-CN"/>
        </w:rPr>
        <w:t>估计末端压力；输入可能包括其他可测压力、流量、泵阀状态等。USAD 在实际可获得的输入历史上构造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，输出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。这两条路径分别输出预测值和输入模式异常程度。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必须先确定：目标模型是只用当前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，还是使用历史窗口？USAD 若额外使用历史，检测的是更丰富的信息空间；它报警并不必然意味着目标模型当前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未见过。如果实际末端压力在线不可测，就不能为了检测方便把它偷偷加入输入；离线评价可用保留的真实压力。</w:t>
      </w:r>
    </w:p>
    <w:p>
      <w:bookmarkStart w:id="32" w:name="sec_32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7.3 面向本研究三类学习外的验证设计</w:t>
      </w:r>
      <w:bookmarkEnd w:id="32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611"/>
        <w:gridCol w:w="3967"/>
        <w:gridCol w:w="3781"/>
      </w:tblGrid>
      <w:tr>
        <w:trPr>
          <w:cantSplit/>
          <w:tblHeader/>
        </w:trPr>
        <w:tc>
          <w:tcPr>
            <w:tcW w:type="dxa" w:w="16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类别</w:t>
            </w:r>
          </w:p>
        </w:tc>
        <w:tc>
          <w:tcPr>
            <w:tcW w:type="dxa" w:w="39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建议构造或选取方式</w:t>
            </w:r>
          </w:p>
        </w:tc>
        <w:tc>
          <w:tcPr>
            <w:tcW w:type="dxa" w:w="37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必须避免的误判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① 范围／分布外</w:t>
            </w:r>
          </w:p>
        </w:tc>
        <w:tc>
          <w:tcPr>
            <w:tcW w:type="dxa" w:w="39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留出某些工况；在物理可行约束下产生超出训练范围的输入；另测边界内分布变化</w:t>
            </w:r>
          </w:p>
        </w:tc>
        <w:tc>
          <w:tcPr>
            <w:tcW w:type="dxa" w:w="37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任意独立加噪可能构成不可能的物理状态，不能代表真实故障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② 训练不足区域</w:t>
            </w:r>
          </w:p>
        </w:tc>
        <w:tc>
          <w:tcPr>
            <w:tcW w:type="dxa" w:w="39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在有效工况空间移除或稀释局部训练区域，再用该区域真实样本测试</w:t>
            </w:r>
          </w:p>
        </w:tc>
        <w:tc>
          <w:tcPr>
            <w:tcW w:type="dxa" w:w="37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 与目标 AI 需明确各自删去了哪些训练样本，否则“学习外”基准不一致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③ 关系变化</w:t>
            </w:r>
          </w:p>
        </w:tc>
        <w:tc>
          <w:tcPr>
            <w:tcW w:type="dxa" w:w="396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使用真实异常关系事件，或在仿真中改变耦合／时间滞后，尽量保持各变量边际范围</w:t>
            </w:r>
          </w:p>
        </w:tc>
        <w:tc>
          <w:tcPr>
            <w:tcW w:type="dxa" w:w="378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随机打乱变量可能同时制造范围、密度和物理异常，需要记录混杂因素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这些类别可能重叠，尤其①“分布外”作为广义概念会包含③；建议采用多标签记录，分别标注“范围越界、密度降低、关系改变、时序改变”，避免强行互斥。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进一步与 Point／Contextual／Collective 交叉标注：单点数值异常、给定工况才异常、单点看正常但整段模式异常。事件持续时间是另外一个字段，不替代异常类别。</w:t>
      </w:r>
    </w:p>
    <w:p>
      <w:bookmarkStart w:id="33" w:name="sec_33"/>
      <w:pPr>
        <w:pStyle w:val="Heading2"/>
        <w:keepNext/>
        <w:spacing w:before="200" w:after="140"/>
        <w:jc w:val="left"/>
      </w:pPr>
      <w:r>
        <w:rPr>
          <w:rFonts w:ascii="Georgia" w:hAnsi="Georgia" w:eastAsia="SimSun"/>
          <w:b w:val="0"/>
          <w:lang w:eastAsia="zh-CN"/>
        </w:rPr>
        <w:t>7.4 如何判断 对目标 AI 有帮助</w:t>
      </w:r>
      <w:bookmarkEnd w:id="33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在独立测试期同时记录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、预测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和实际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  <w:r>
        <w:rPr>
          <w:rFonts w:ascii="Georgia" w:hAnsi="Georgia" w:eastAsia="SimSun"/>
          <w:b w:val="0"/>
          <w:sz w:val="24"/>
          <w:lang w:eastAsia="zh-CN"/>
        </w:rPr>
        <w:t>，用任务误差</w:t>
      </w:r>
      <m:oMath>
        <m:sSub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p>
        </m:sSubSup>
        <m:r>
          <m:rPr>
            <m:sty m:val="p"/>
          </m:rPr>
          <w:rPr>
            <w:rFonts w:ascii="Cambria Math" w:hAnsi="Cambria Math"/>
            <w:sz w:val="22"/>
          </w:rPr>
          <m:t xml:space="preserve">=</m:t>
        </m:r>
        <m:r>
          <m:rPr>
            <m:sty m:val="p"/>
          </m:rPr>
          <w:rPr>
            <w:rFonts w:ascii="Cambria Math" w:hAnsi="Cambria Math"/>
            <w:sz w:val="22"/>
          </w:rPr>
          <m:t xml:space="preserve">|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−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|</m:t>
        </m:r>
      </m:oMath>
      <w:r>
        <w:rPr>
          <w:rFonts w:ascii="Georgia" w:hAnsi="Georgia" w:eastAsia="SimSun"/>
          <w:b w:val="0"/>
          <w:sz w:val="24"/>
          <w:lang w:eastAsia="zh-CN"/>
        </w:rPr>
        <w:t>评价。它与 USAD 重构误差是不同量。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建议报告：三类输入的检出率、正常期 FPR、每日误告警事件数、首次检出延迟；以及未报警样本的压力误差、危险大误差被报警覆盖的比例、不同阈值下保留预测的比例。没有实测目标值时，只能评价输入异常，不能声称已验证预测可靠性。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训练、校准、测试按时间分开；跨边界窗口需要处理重叠，避免相同原始数据同时进入训练和测试。不同运行模式和季节分别报告，并保留不做 point-adjust 的原始结果。上述是本研究建议，不属于论文已完成实验。</w:t>
      </w:r>
    </w:p>
    <w:p>
      <w:bookmarkStart w:id="34" w:name="sec_34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8 需要向带教主动指出的原文问题与待确认项</w:t>
      </w:r>
      <w:bookmarkEnd w:id="34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07"/>
        <w:gridCol w:w="3999"/>
        <w:gridCol w:w="3052"/>
      </w:tblGrid>
      <w:tr>
        <w:trPr>
          <w:cantSplit/>
          <w:tblHeader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项目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原文／外部证据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报告处理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SMD 维数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§4.1 写 33，表 1 与发布仓库为 38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用 38，显式保留不一致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m 符号复用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输入维数和潜在维数都曾用 m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本报告改用 d、h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L2 与 MSE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式 2–9 写 L2；公开代码用 MSE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分开讲解，阈值不能直接复用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解码器末层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附录 q/4→q 与前层不衔接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代码为 q/2→q，标记疑似排版问题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平均提高 0.096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2 计算约 0.00968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不沿用正文数量级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TP 下降 3%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4 首末行约下降 4.46%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报表值及算术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消融增益百分比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图值平均差与正文 24.09% 不完全一致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给图值，区分百分点与相对百分比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 K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参数分析称 10 最好，表 7 配置 12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二者并列，不擅自改表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最佳阈值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未说明独立校准集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不称无标签自动选阈值，也不虚构搜索步长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时点／窗口／下采样标签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完整对齐规则不充分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复现前必须核验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表 1 行数与天数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SWaT／WADI 不能简单按秒换算吻合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保留两个口径，核对版本和裁剪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速度与稳定性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每 epoch 数值，缺少全面多种子和延迟评测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不作端到端或硬实时保证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Orange 细节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参数、时间粒度、事件数未完整公开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标为未报告</w:t>
            </w:r>
          </w:p>
        </w:tc>
      </w:tr>
      <w:tr>
        <w:trPr>
          <w:cantSplit/>
        </w:trPr>
        <w:tc>
          <w:tcPr>
            <w:tcW w:type="dxa" w:w="230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NASA 许可描述</w:t>
            </w:r>
          </w:p>
        </w:tc>
        <w:tc>
          <w:tcPr>
            <w:tcW w:type="dxa" w:w="399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README 与 LICENSE 不同</w:t>
            </w:r>
          </w:p>
        </w:tc>
        <w:tc>
          <w:tcPr>
            <w:tcW w:type="dxa" w:w="305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保留差异，单独核验数据包</w:t>
            </w:r>
          </w:p>
        </w:tc>
      </w:tr>
    </w:tbl>
    <w:p>
      <w:pPr>
        <w:spacing w:after="60" w:before="0" w:line="60" w:lineRule="exact"/>
      </w:pP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这些问题不意味着论文方法无效，而是界定哪些结论可以直接引用、哪些必须复现或补充证据。</w:t>
      </w:r>
    </w:p>
    <w:p>
      <w:bookmarkStart w:id="35" w:name="sec_35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9 纳入后续研究总报告的标准记录</w:t>
      </w:r>
      <w:bookmarkEnd w:id="35"/>
    </w:p>
    <w:tbl>
      <w:tblPr>
        <w:tblStyle w:val="Table1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04"/>
        <w:gridCol w:w="6255"/>
      </w:tblGrid>
      <w:tr>
        <w:trPr>
          <w:cantSplit/>
          <w:tblHeader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字段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7EDE8"/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/>
                <w:sz w:val="20"/>
                <w:lang w:eastAsia="zh-CN"/>
              </w:rPr>
              <w:t>本篇结论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方法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USAD，KDD 2020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检测对象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多变量固定长度时间窗口的异常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学习外定义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相对正常训练窗口模式的显著偏离；重构误差代理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主分类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基于重构误差，AE＋对抗训练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训练标签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不需异常标签进入损失；依赖正常或主要正常训练选择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运行信息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输入历史、预处理参数、USAD 网络、权重与阈值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目标 AI 访问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不需要目标 AI 内部、输出或梯度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分数／方向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直接＋串联重构误差；大为异常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阈值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论文报告搜索最高 F1；部署校准机制未充分给出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①／②／③覆盖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①可能；②无直接保证；③有潜力但无独立受控验证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数据证据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SWaT、WADI、SMD、SMAP、MSL，另有 Orange 专有数据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最大价值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可作为独立、训练较快的时序输入检测基线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最大证据限制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Point-adjust＋最佳阈值；无目标预测可靠性验证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基础设施判断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值得作为监控候选；闭环控制需进一步任务级验证</w:t>
            </w:r>
          </w:p>
        </w:tc>
      </w:tr>
      <w:tr>
        <w:trPr>
          <w:cantSplit/>
        </w:trPr>
        <w:tc>
          <w:tcPr>
            <w:tcW w:type="dxa" w:w="31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后续优先工作</w:t>
            </w:r>
          </w:p>
        </w:tc>
        <w:tc>
          <w:tcPr>
            <w:tcW w:type="dxa" w:w="62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before="0" w:after="100" w:line="264" w:lineRule="auto"/>
            </w:pPr>
            <w:r>
              <w:rPr>
                <w:rFonts w:ascii="Georgia" w:hAnsi="Georgia" w:eastAsia="SimSun"/>
                <w:b w:val="0"/>
                <w:sz w:val="20"/>
                <w:lang w:eastAsia="zh-CN"/>
              </w:rPr>
              <w:t>明确公司模型输入与训练范围；固定无泄漏阈值；三类学习外分层评估</w:t>
            </w:r>
          </w:p>
        </w:tc>
      </w:tr>
    </w:tbl>
    <w:p>
      <w:pPr>
        <w:spacing w:after="60" w:before="0" w:line="60" w:lineRule="exact"/>
      </w:pPr>
    </w:p>
    <w:p>
      <w:bookmarkStart w:id="36" w:name="sec_36"/>
      <w:pPr>
        <w:pStyle w:val="Heading1"/>
        <w:keepNext/>
        <w:spacing w:before="300" w:after="140"/>
        <w:jc w:val="left"/>
      </w:pPr>
      <w:r>
        <w:rPr>
          <w:rFonts w:ascii="Georgia" w:hAnsi="Georgia" w:eastAsia="SimSun"/>
          <w:b w:val="0"/>
          <w:lang w:eastAsia="zh-CN"/>
        </w:rPr>
        <w:t>10 来源索引</w:t>
      </w:r>
      <w:bookmarkEnd w:id="36"/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正文引用的“论文”均指用户提供的 PDF。核心定位：§3.1–3.3＝PDF 2–4；§4＝PDF 4–5；表 2–3＝PDF 6；表 4–5＝PDF 7；图 2–3／表 6＝PDF 8；图 4＝PDF 9；表 7／实现附录＝PDF 10。</w:t>
      </w:r>
    </w:p>
    <w:p>
      <w:pPr>
        <w:widowControl/>
        <w:spacing w:before="0" w:after="140" w:line="269" w:lineRule="auto"/>
      </w:pPr>
      <w:r>
        <w:rPr>
          <w:rFonts w:ascii="Georgia" w:hAnsi="Georgia" w:eastAsia="SimSun"/>
          <w:b w:val="0"/>
          <w:sz w:val="24"/>
          <w:lang w:eastAsia="zh-CN"/>
        </w:rPr>
        <w:t>外部仅用于补足实现和数据来源，并未用其他论文成绩代替本篇实验：</w:t>
      </w:r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6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USAD 出版信息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0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作者参与的 USAD 实现仓库</w:t>
        </w:r>
      </w:hyperlink>
      <w:r>
        <w:rPr>
          <w:rFonts w:ascii="Georgia" w:hAnsi="Georgia" w:eastAsia="SimSun"/>
          <w:b w:val="0"/>
          <w:sz w:val="24"/>
          <w:lang w:eastAsia="zh-CN"/>
        </w:rPr>
        <w:t>；</w:t>
      </w:r>
      <w:hyperlink r:id="rId11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模型源代码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5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SMD／OmniAnomaly 数据发布仓库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6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Telemanom 数据发布说明</w:t>
        </w:r>
      </w:hyperlink>
      <w:r>
        <w:rPr>
          <w:rFonts w:ascii="Georgia" w:hAnsi="Georgia" w:eastAsia="SimSun"/>
          <w:b w:val="0"/>
          <w:sz w:val="24"/>
          <w:lang w:eastAsia="zh-CN"/>
        </w:rPr>
        <w:t>；</w:t>
      </w:r>
      <w:hyperlink r:id="rId17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标签文件</w:t>
        </w:r>
      </w:hyperlink>
      <w:r>
        <w:rPr>
          <w:rFonts w:ascii="Georgia" w:hAnsi="Georgia" w:eastAsia="SimSun"/>
          <w:b w:val="0"/>
          <w:sz w:val="24"/>
          <w:lang w:eastAsia="zh-CN"/>
        </w:rPr>
        <w:t>；</w:t>
      </w:r>
      <w:hyperlink r:id="rId20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许可正文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8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NASA 数据原始研究 Hundman et al. 2018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2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iTrust SWaT 数据特征</w:t>
        </w:r>
      </w:hyperlink>
      <w:r>
        <w:rPr>
          <w:rFonts w:ascii="Georgia" w:hAnsi="Georgia" w:eastAsia="SimSun"/>
          <w:b w:val="0"/>
          <w:sz w:val="24"/>
          <w:lang w:eastAsia="zh-CN"/>
        </w:rPr>
        <w:t>；</w:t>
      </w:r>
      <w:hyperlink r:id="rId14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WADI 数据特征</w:t>
        </w:r>
      </w:hyperlink>
    </w:p>
    <w:p>
      <w:pPr>
        <w:widowControl/>
        <w:spacing w:before="0" w:after="140" w:line="269" w:lineRule="auto"/>
        <w:ind w:left="216" w:hanging="216"/>
      </w:pPr>
      <w:r>
        <w:rPr>
          <w:rFonts w:ascii="Georgia" w:hAnsi="Georgia" w:eastAsia="SimSun"/>
          <w:b w:val="0"/>
          <w:sz w:val="24"/>
          <w:lang w:eastAsia="zh-CN"/>
        </w:rPr>
        <w:t xml:space="preserve">• </w:t>
      </w:r>
      <w:hyperlink r:id="rId13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iTrust 数据申请</w:t>
        </w:r>
      </w:hyperlink>
      <w:r>
        <w:rPr>
          <w:rFonts w:ascii="Georgia" w:hAnsi="Georgia" w:eastAsia="SimSun"/>
          <w:b w:val="0"/>
          <w:sz w:val="24"/>
          <w:lang w:eastAsia="zh-CN"/>
        </w:rPr>
        <w:t>；</w:t>
      </w:r>
      <w:hyperlink r:id="rId19">
        <w:r>
          <w:rPr>
            <w:rFonts w:ascii="Georgia" w:hAnsi="Georgia" w:eastAsia="SimSun"/>
            <w:color w:val="167039"/>
            <w:sz w:val="24"/>
            <w:u w:val="single"/>
            <w:lang w:eastAsia="zh-CN"/>
          </w:rPr>
          <w:t>使用条款</w:t>
        </w:r>
      </w:hyperlink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USAD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w14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w14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eastAsia="SimSun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SimSun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SimSun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SimSun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  <w:rFonts w:eastAsia="SimSun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  <w:rFonts w:eastAsia="SimSun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  <w:rFonts w:eastAsia="SimSun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  <w:rFonts w:eastAsia="SimSu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  <w:rFonts w:eastAsia="SimSu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6" Type="http://schemas.openxmlformats.org/officeDocument/2006/relationships/hyperlink" Target="https://doi.org/10.1145/3394486.3403392" TargetMode="External"/><Relationship Id="rId10" Type="http://schemas.openxmlformats.org/officeDocument/2006/relationships/hyperlink" Target="https://github.com/manigalati/usad" TargetMode="External"/><Relationship Id="rId11" Type="http://schemas.openxmlformats.org/officeDocument/2006/relationships/hyperlink" Target="https://raw.githubusercontent.com/manigalati/usad/master/usad.py" TargetMode="External"/><Relationship Id="rId12" Type="http://schemas.openxmlformats.org/officeDocument/2006/relationships/hyperlink" Target="https://www.sutd.edu.sg/itrust/itrust-labs/datasets/dataset-characteristics/swat/" TargetMode="External"/><Relationship Id="rId13" Type="http://schemas.openxmlformats.org/officeDocument/2006/relationships/hyperlink" Target="https://www.sutd.edu.sg/itrust/request-for-datasets/" TargetMode="External"/><Relationship Id="rId14" Type="http://schemas.openxmlformats.org/officeDocument/2006/relationships/hyperlink" Target="https://www.sutd.edu.sg/itrust/itrust-labs/datasets/dataset-characteristics/wadi/" TargetMode="External"/><Relationship Id="rId15" Type="http://schemas.openxmlformats.org/officeDocument/2006/relationships/hyperlink" Target="https://github.com/NetManAIOps/OmniAnomaly" TargetMode="External"/><Relationship Id="rId16" Type="http://schemas.openxmlformats.org/officeDocument/2006/relationships/hyperlink" Target="https://raw.githubusercontent.com/khundman/telemanom/master/README.md" TargetMode="External"/><Relationship Id="rId17" Type="http://schemas.openxmlformats.org/officeDocument/2006/relationships/hyperlink" Target="https://raw.githubusercontent.com/khundman/telemanom/master/labeled_anomalies.csv" TargetMode="External"/><Relationship Id="rId18" Type="http://schemas.openxmlformats.org/officeDocument/2006/relationships/hyperlink" Target="https://arxiv.org/html/1802.04431" TargetMode="External"/><Relationship Id="rId19" Type="http://schemas.openxmlformats.org/officeDocument/2006/relationships/hyperlink" Target="https://www.sutd.edu.sg/itrust/itrust-labs/datasets/terms-of-usage/" TargetMode="External"/><Relationship Id="rId20" Type="http://schemas.openxmlformats.org/officeDocument/2006/relationships/hyperlink" Target="https://raw.githubusercontent.com/khundman/telemanom/master/LICENSE.txt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USAD 研究报告 中文版</dc:title>
  <cp:lastModifiedBy/>
  <cp:revision>1</cp:revision>
  <dcterms:modified xsi:type="dcterms:W3CDTF">2026-09-09T15:38:54Z</dcterms:modified>
  <dc:subject>学習外入力データ研究</dc:subject>
  <dc:creator/>
</cp:coreProperties>
</file>