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napToGrid w:val="0"/>
      </w:pPr>
      <w:r>
        <w:t>Reconditionor / SOLID 论文精读与研究分析</w:t>
      </w:r>
    </w:p>
    <w:p>
      <w:pPr>
        <w:snapToGrid w:val="0"/>
      </w:pPr>
      <w:r>
        <w:t>中文精读・日本語研究報告・口頭説明・三篇文献の比較</w:t>
      </w:r>
    </w:p>
    <w:p>
      <w:pPr>
        <w:snapToGrid w:val="0"/>
      </w:pPr>
      <w:r>
        <w:t>P03　Calibration of Time-Series Forecasting: Detecting and Adapting Context-Driven Distribution Shift</w:t>
      </w:r>
    </w:p>
    <w:p>
      <w:pPr>
        <w:snapToGrid w:val="0"/>
      </w:pPr>
      <w:r>
        <w:t>核对日期：2026年9月8日　研究主题：学習外入力データ検知／多変量時系列／回帰</w:t>
      </w:r>
    </w:p>
    <w:p>
      <w:pPr>
        <w:snapToGrid w:val="0"/>
      </w:pPr>
      <w:r>
        <w:t>本报告以用户上传的 KDD 2024 正式版（12页，会议页码341–352）为主；补读作者 arXiv v2 完整版（15页）的证明和数据说明，并核对公开代码。两版本的附录、表格编号不同，文中分别标记，不混用编号。</w:t>
      </w:r>
    </w:p>
    <w:p>
      <w:pPr>
        <w:snapToGrid w:val="0"/>
      </w:pPr>
      <w:r>
        <w:t>证据标记：【论文】正式版内容；【补充】作者完整版；【代码】公开实现；【分析】本报告的解释、推导或适用性判断；【待确认】现有资料无法确定。教学例子的数字为自行构造，不是论文实验数据。本次未训练模型、未复现性能。</w:t>
      </w:r>
    </w:p>
    <w:p>
      <w:pPr>
        <w:pStyle w:val="Heading2"/>
        <w:snapToGrid w:val="0"/>
      </w:pPr>
      <w:r>
        <w:t>先读结论：这篇在本研究中的位置</w:t>
      </w:r>
    </w:p>
    <w:p>
      <w:pPr>
        <w:snapToGrid w:val="0"/>
      </w:pPr>
      <w:r>
        <w:t>这篇同时研究多变量时间序列和连续值预测，且明确处理分布变化。其价值是“用历史残差诊断模型是否受到时间情境影响，再按当前情境适配预测模型”。但 Reconditionor 输出的是模型与数据集层面的情境敏感度，SOLID 输出的是修正后的预测；二者都没有直接输出每条当前输入的 ID／OOD 二分类标签。</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要求</w:t>
            </w:r>
          </w:p>
        </w:tc>
        <w:tc>
          <w:tcPr>
            <w:tcW w:type="dxa" w:w="3500"/>
            <w:vAlign w:val="center"/>
            <w:shd w:fill="E8EEF5"/>
          </w:tcPr>
          <w:p>
            <w:pPr>
              <w:pStyle w:val="TableText"/>
            </w:pPr>
            <w:r>
              <w:rPr>
                <w:b/>
                <w:color w:val="1F4D78"/>
              </w:rPr>
              <w:t>判断</w:t>
            </w:r>
          </w:p>
        </w:tc>
        <w:tc>
          <w:tcPr>
            <w:tcW w:type="dxa" w:w="3810"/>
            <w:vAlign w:val="center"/>
            <w:shd w:fill="E8EEF5"/>
          </w:tcPr>
          <w:p>
            <w:pPr>
              <w:pStyle w:val="TableText"/>
            </w:pPr>
            <w:r>
              <w:rPr>
                <w:b/>
                <w:color w:val="1F4D78"/>
              </w:rPr>
              <w:t>准确表述</w:t>
            </w:r>
          </w:p>
        </w:tc>
      </w:tr>
      <w:tr>
        <w:trPr>
          <w:cantSplit/>
        </w:trPr>
        <w:tc>
          <w:tcPr>
            <w:tcW w:type="dxa" w:w="2050"/>
            <w:vAlign w:val="center"/>
          </w:tcPr>
          <w:p>
            <w:pPr>
              <w:pStyle w:val="TableText"/>
            </w:pPr>
            <w:r>
              <w:t>多变量数据</w:t>
            </w:r>
          </w:p>
        </w:tc>
        <w:tc>
          <w:tcPr>
            <w:tcW w:type="dxa" w:w="3500"/>
            <w:vAlign w:val="center"/>
          </w:tcPr>
          <w:p>
            <w:pPr>
              <w:pStyle w:val="TableText"/>
            </w:pPr>
            <w:r>
              <w:t>✓</w:t>
            </w:r>
          </w:p>
        </w:tc>
        <w:tc>
          <w:tcPr>
            <w:tcW w:type="dxa" w:w="3810"/>
            <w:vAlign w:val="center"/>
          </w:tcPr>
          <w:p>
            <w:pPr>
              <w:pStyle w:val="TableText"/>
            </w:pPr>
            <w:r>
              <w:t>8个数据集，7～862个变量。</w:t>
            </w:r>
          </w:p>
        </w:tc>
      </w:tr>
      <w:tr>
        <w:trPr>
          <w:cantSplit/>
        </w:trPr>
        <w:tc>
          <w:tcPr>
            <w:tcW w:type="dxa" w:w="2050"/>
            <w:vAlign w:val="center"/>
          </w:tcPr>
          <w:p>
            <w:pPr>
              <w:pStyle w:val="TableText"/>
            </w:pPr>
            <w:r>
              <w:t>回归／连续值预测</w:t>
            </w:r>
          </w:p>
        </w:tc>
        <w:tc>
          <w:tcPr>
            <w:tcW w:type="dxa" w:w="3500"/>
            <w:vAlign w:val="center"/>
          </w:tcPr>
          <w:p>
            <w:pPr>
              <w:pStyle w:val="TableText"/>
            </w:pPr>
            <w:r>
              <w:t>✓</w:t>
            </w:r>
          </w:p>
        </w:tc>
        <w:tc>
          <w:tcPr>
            <w:tcW w:type="dxa" w:w="3810"/>
            <w:vAlign w:val="center"/>
          </w:tcPr>
          <w:p>
            <w:pPr>
              <w:pStyle w:val="TableText"/>
            </w:pPr>
            <w:r>
              <w:t>历史多变量窗口→未来多变量窗口。</w:t>
            </w:r>
          </w:p>
        </w:tc>
      </w:tr>
      <w:tr>
        <w:trPr>
          <w:cantSplit/>
        </w:trPr>
        <w:tc>
          <w:tcPr>
            <w:tcW w:type="dxa" w:w="2050"/>
            <w:vAlign w:val="center"/>
          </w:tcPr>
          <w:p>
            <w:pPr>
              <w:pStyle w:val="TableText"/>
            </w:pPr>
            <w:r>
              <w:t>时间序列</w:t>
            </w:r>
          </w:p>
        </w:tc>
        <w:tc>
          <w:tcPr>
            <w:tcW w:type="dxa" w:w="3500"/>
            <w:vAlign w:val="center"/>
          </w:tcPr>
          <w:p>
            <w:pPr>
              <w:pStyle w:val="TableText"/>
            </w:pPr>
            <w:r>
              <w:t>✓</w:t>
            </w:r>
          </w:p>
        </w:tc>
        <w:tc>
          <w:tcPr>
            <w:tcW w:type="dxa" w:w="3810"/>
            <w:vAlign w:val="center"/>
          </w:tcPr>
          <w:p>
            <w:pPr>
              <w:pStyle w:val="TableText"/>
            </w:pPr>
            <w:r>
              <w:t>一次输入多个时刻，明确考虑时间段与周期相位。</w:t>
            </w:r>
          </w:p>
        </w:tc>
      </w:tr>
      <w:tr>
        <w:trPr>
          <w:cantSplit/>
        </w:trPr>
        <w:tc>
          <w:tcPr>
            <w:tcW w:type="dxa" w:w="2050"/>
            <w:vAlign w:val="center"/>
          </w:tcPr>
          <w:p>
            <w:pPr>
              <w:pStyle w:val="TableText"/>
            </w:pPr>
            <w:r>
              <w:t>学習外／分布变化研究</w:t>
            </w:r>
          </w:p>
        </w:tc>
        <w:tc>
          <w:tcPr>
            <w:tcW w:type="dxa" w:w="3500"/>
            <w:vAlign w:val="center"/>
          </w:tcPr>
          <w:p>
            <w:pPr>
              <w:pStyle w:val="TableText"/>
            </w:pPr>
            <w:r>
              <w:t>✓，需说明任务</w:t>
            </w:r>
          </w:p>
        </w:tc>
        <w:tc>
          <w:tcPr>
            <w:tcW w:type="dxa" w:w="3810"/>
            <w:vAlign w:val="center"/>
          </w:tcPr>
          <w:p>
            <w:pPr>
              <w:pStyle w:val="TableText"/>
            </w:pPr>
            <w:r>
              <w:t>残差依赖诊断＋模型适配。</w:t>
            </w:r>
          </w:p>
        </w:tc>
      </w:tr>
      <w:tr>
        <w:trPr>
          <w:cantSplit/>
        </w:trPr>
        <w:tc>
          <w:tcPr>
            <w:tcW w:type="dxa" w:w="2050"/>
            <w:vAlign w:val="center"/>
          </w:tcPr>
          <w:p>
            <w:pPr>
              <w:pStyle w:val="TableText"/>
            </w:pPr>
            <w:r>
              <w:t>当前输入单独判定 ID／OOD</w:t>
            </w:r>
          </w:p>
        </w:tc>
        <w:tc>
          <w:tcPr>
            <w:tcW w:type="dxa" w:w="3500"/>
            <w:vAlign w:val="center"/>
          </w:tcPr>
          <w:p>
            <w:pPr>
              <w:pStyle w:val="TableText"/>
            </w:pPr>
            <w:r>
              <w:t>× 本文未提供</w:t>
            </w:r>
          </w:p>
        </w:tc>
        <w:tc>
          <w:tcPr>
            <w:tcW w:type="dxa" w:w="3810"/>
            <w:vAlign w:val="center"/>
          </w:tcPr>
          <w:p>
            <w:pPr>
              <w:pStyle w:val="TableText"/>
            </w:pPr>
            <w:r>
              <w:t>需另设逐样本检测器、阈值和评价。</w:t>
            </w:r>
          </w:p>
        </w:tc>
      </w:tr>
      <w:tr>
        <w:trPr>
          <w:cantSplit/>
        </w:trPr>
        <w:tc>
          <w:tcPr>
            <w:tcW w:type="dxa" w:w="2050"/>
            <w:vAlign w:val="center"/>
          </w:tcPr>
          <w:p>
            <w:pPr>
              <w:pStyle w:val="TableText"/>
            </w:pPr>
            <w:r>
              <w:t>综述</w:t>
            </w:r>
          </w:p>
        </w:tc>
        <w:tc>
          <w:tcPr>
            <w:tcW w:type="dxa" w:w="3500"/>
            <w:vAlign w:val="center"/>
          </w:tcPr>
          <w:p>
            <w:pPr>
              <w:pStyle w:val="TableText"/>
            </w:pPr>
            <w:r>
              <w:t>×</w:t>
            </w:r>
          </w:p>
        </w:tc>
        <w:tc>
          <w:tcPr>
            <w:tcW w:type="dxa" w:w="3810"/>
            <w:vAlign w:val="center"/>
          </w:tcPr>
          <w:p>
            <w:pPr>
              <w:pStyle w:val="TableText"/>
            </w:pPr>
            <w:r>
              <w:t>原创方法论文；Related Work 可作为后续检索入口。</w:t>
            </w:r>
          </w:p>
        </w:tc>
      </w:tr>
    </w:tbl>
    <w:p>
      <w:pPr>
        <w:spacing w:after="0"/>
        <w:snapToGrid w:val="0"/>
      </w:pPr>
    </w:p>
    <w:p>
      <w:pPr>
        <w:snapToGrid w:val="0"/>
      </w:pPr>
      <w:r>
        <w:t>最适合带教汇报的一句话：本論文は、時系列予測モデルの残差と時間的文脈の依存関係を診断し、類似文脈の過去データで予測層を調整する手法であり、新しい入力を一件ずつ学習内・外に分類する手法ではありません。</w:t>
      </w:r>
    </w:p>
    <w:p>
      <w:pPr>
        <w:pStyle w:val="Heading1"/>
        <w:pageBreakBefore/>
        <w:snapToGrid w:val="0"/>
      </w:pPr>
      <w:r>
        <w:t>第一部分　中文精读</w:t>
      </w:r>
    </w:p>
    <w:p>
      <w:pPr>
        <w:pStyle w:val="Heading2"/>
        <w:snapToGrid w:val="0"/>
      </w:pPr>
      <w:r>
        <w:t>1　Introduction：作者为什么提出这个问题？</w:t>
      </w:r>
    </w:p>
    <w:p>
      <w:pPr>
        <w:pStyle w:val="Heading3"/>
        <w:snapToGrid w:val="0"/>
      </w:pPr>
      <w:r>
        <w:t>A．这一节在讲什么？</w:t>
      </w:r>
    </w:p>
    <w:p>
      <w:pPr>
        <w:snapToGrid w:val="0"/>
      </w:pPr>
      <w:r>
        <w:t>用电量、交通占有率、气象观测等数据会随时间变化。同样一段历史序列，在不同季节、工作日／休息日或不同运行阶段，未来可能不同。作者将这些影响数据生成的因素统称为 context，即“情境／文脈”。某些情境能从时间戳知道，另一些如政策变化、设备状态变化无法直接观察。【论文：§1，pp.341–342】</w:t>
      </w:r>
    </w:p>
    <w:p>
      <w:pPr>
        <w:snapToGrid w:val="0"/>
      </w:pPr>
      <w:r>
        <w:t>模型把不同情境的训练数据混在一起，可能学到一个折中的预测关系。整体平均残差接近零，并不代表每个情境都预测准确：例如冬季系统性低估，夏季系统性高估，正负误差抵消了。</w:t>
      </w:r>
    </w:p>
    <w:p>
      <w:pPr>
        <w:pStyle w:val="Heading3"/>
        <w:snapToGrid w:val="0"/>
      </w:pPr>
      <w:r>
        <w:t>B．作者为什么要讲这个？</w:t>
      </w:r>
    </w:p>
    <w:p>
      <w:pPr>
        <w:snapToGrid w:val="0"/>
      </w:pPr>
      <w:r>
        <w:t>它把问题从“换一个更强的网络”转向“已经训练好的网络，在什么情境下失效，能否在预测前调整”。因此论文同时提出诊断工具 Reconditionor 和适配工具 SOLID，而不仅是新的网络结构。</w:t>
      </w:r>
    </w:p>
    <w:p>
      <w:pPr>
        <w:pStyle w:val="Heading3"/>
        <w:snapToGrid w:val="0"/>
      </w:pPr>
      <w:r>
        <w:t>C．核心问题、假设与想证明的内容</w:t>
      </w:r>
    </w:p>
    <w:p>
      <w:pPr>
        <w:snapToGrid w:val="0"/>
      </w:pPr>
      <w:r>
        <w:t>核心问题有两个：能否利用历史预测残差识别情境对模型的影响；能否用相似情境的历史样本，在不重训整个模型的情况下改善当前预测。</w:t>
      </w:r>
    </w:p>
    <w:p>
      <w:pPr>
        <w:snapToGrid w:val="0"/>
      </w:pPr>
      <w:r>
        <w:t>核心假设是：情境影响历史输入 X 与未来输出 Y；观测时间段与周期相位能够提供有用的情境信息；输入相似可作为部分未观测情境的代理；冻结特征提取器后，调整预测层仍有足够的纠偏能力。这些假设在全新工况或输入相同但机制突变时可能不成立。</w:t>
      </w:r>
    </w:p>
    <w:p>
      <w:pPr>
        <w:snapToGrid w:val="0"/>
      </w:pPr>
      <w:r>
        <w:t>作者希望用理论解释“全局模型偏差—局部模型方差”的取舍，并用实验说明诊断分数与适配收益有关、SOLID 可改善不同预测模型。本文没有证明全部 OOD 都可检测，也没有给出任意未来分布下的误差保证。</w:t>
      </w:r>
    </w:p>
    <w:p>
      <w:pPr>
        <w:pStyle w:val="Heading3"/>
        <w:snapToGrid w:val="0"/>
      </w:pPr>
      <w:r>
        <w:t>D．直观例子：正负误差抵消</w:t>
      </w:r>
    </w:p>
    <w:p>
      <w:pPr>
        <w:snapToGrid w:val="0"/>
      </w:pPr>
      <w:r>
        <w:t>【教学例】模型每次预测压力为10。白天真实值为12，残差 r=预测−真实=−2；夜间真实值为8，残差为+2。白天夜间各占一半，总残差均值为0，但每个时段都错2。按时段看误差，才发现模型需要不同的修正。</w:t>
      </w:r>
    </w:p>
    <w:p>
      <w:pPr>
        <w:snapToGrid w:val="0"/>
      </w:pPr>
      <w:r>
        <w:t>“总体无偏”与“条件无偏”必须区分：前者看 E[r]，后者看每个情境的 E[r｜C=c]。这也是 Fig.1 的核心信息，而不是“训练集中混有异常标签”。</w:t>
      </w:r>
    </w:p>
    <w:p>
      <w:pPr>
        <w:pStyle w:val="Heading3"/>
        <w:snapToGrid w:val="0"/>
      </w:pPr>
      <w:r>
        <w:t>E．本节真正重要的结论</w:t>
      </w:r>
    </w:p>
    <w:p>
      <w:pPr>
        <w:pStyle w:val="ReportBullet"/>
        <w:keepNext/>
        <w:numPr>
          <w:ilvl w:val="0"/>
          <w:numId w:val="51"/>
        </w:numPr>
        <w:snapToGrid w:val="0"/>
      </w:pPr>
      <w:r>
        <w:t>情境变化可以发生在训练集内部，不一定意味着从未出现过的新输入。</w:t>
      </w:r>
    </w:p>
    <w:p>
      <w:pPr>
        <w:pStyle w:val="ReportBullet"/>
        <w:keepNext/>
        <w:numPr>
          <w:ilvl w:val="0"/>
          <w:numId w:val="51"/>
        </w:numPr>
        <w:snapToGrid w:val="0"/>
      </w:pPr>
      <w:r>
        <w:t>本文首先诊断模型的误差结构，然后决定是否值得适配。</w:t>
      </w:r>
    </w:p>
    <w:p>
      <w:pPr>
        <w:pStyle w:val="ReportBullet"/>
        <w:numPr>
          <w:ilvl w:val="0"/>
          <w:numId w:val="51"/>
        </w:numPr>
        <w:snapToGrid w:val="0"/>
      </w:pPr>
      <w:r>
        <w:t>本文的 calibration 指预测修正，不是概率可靠度曲线、预测区间覆盖率或 conformal calibration。</w:t>
      </w:r>
    </w:p>
    <w:p>
      <w:pPr>
        <w:pStyle w:val="Heading2"/>
        <w:snapToGrid w:val="0"/>
      </w:pPr>
      <w:r>
        <w:t>2　全文结构与阅读顺序</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章节</w:t>
            </w:r>
          </w:p>
        </w:tc>
        <w:tc>
          <w:tcPr>
            <w:tcW w:type="dxa" w:w="3500"/>
            <w:vAlign w:val="center"/>
            <w:shd w:fill="E8EEF5"/>
          </w:tcPr>
          <w:p>
            <w:pPr>
              <w:pStyle w:val="TableText"/>
            </w:pPr>
            <w:r>
              <w:rPr>
                <w:b/>
                <w:color w:val="1F4D78"/>
              </w:rPr>
              <w:t>正式版会议页码</w:t>
            </w:r>
          </w:p>
        </w:tc>
        <w:tc>
          <w:tcPr>
            <w:tcW w:type="dxa" w:w="3810"/>
            <w:vAlign w:val="center"/>
            <w:shd w:fill="E8EEF5"/>
          </w:tcPr>
          <w:p>
            <w:pPr>
              <w:pStyle w:val="TableText"/>
            </w:pPr>
            <w:r>
              <w:rPr>
                <w:b/>
                <w:color w:val="1F4D78"/>
              </w:rPr>
              <w:t>作用</w:t>
            </w:r>
          </w:p>
        </w:tc>
      </w:tr>
      <w:tr>
        <w:trPr>
          <w:cantSplit/>
        </w:trPr>
        <w:tc>
          <w:tcPr>
            <w:tcW w:type="dxa" w:w="2050"/>
            <w:vAlign w:val="center"/>
          </w:tcPr>
          <w:p>
            <w:pPr>
              <w:pStyle w:val="TableText"/>
            </w:pPr>
            <w:r>
              <w:t>§1 Introduction</w:t>
            </w:r>
          </w:p>
        </w:tc>
        <w:tc>
          <w:tcPr>
            <w:tcW w:type="dxa" w:w="3500"/>
            <w:vAlign w:val="center"/>
          </w:tcPr>
          <w:p>
            <w:pPr>
              <w:pStyle w:val="TableText"/>
            </w:pPr>
            <w:r>
              <w:t>341–342</w:t>
            </w:r>
          </w:p>
        </w:tc>
        <w:tc>
          <w:tcPr>
            <w:tcW w:type="dxa" w:w="3810"/>
            <w:vAlign w:val="center"/>
          </w:tcPr>
          <w:p>
            <w:pPr>
              <w:pStyle w:val="TableText"/>
            </w:pPr>
            <w:r>
              <w:t>提出情境导致的预测偏差及两阶段思路。</w:t>
            </w:r>
          </w:p>
        </w:tc>
      </w:tr>
      <w:tr>
        <w:trPr>
          <w:cantSplit/>
        </w:trPr>
        <w:tc>
          <w:tcPr>
            <w:tcW w:type="dxa" w:w="2050"/>
            <w:vAlign w:val="center"/>
          </w:tcPr>
          <w:p>
            <w:pPr>
              <w:pStyle w:val="TableText"/>
            </w:pPr>
            <w:r>
              <w:t>§2 Related Work</w:t>
            </w:r>
          </w:p>
        </w:tc>
        <w:tc>
          <w:tcPr>
            <w:tcW w:type="dxa" w:w="3500"/>
            <w:vAlign w:val="center"/>
          </w:tcPr>
          <w:p>
            <w:pPr>
              <w:pStyle w:val="TableText"/>
            </w:pPr>
            <w:r>
              <w:t>343</w:t>
            </w:r>
          </w:p>
        </w:tc>
        <w:tc>
          <w:tcPr>
            <w:tcW w:type="dxa" w:w="3810"/>
            <w:vAlign w:val="center"/>
          </w:tcPr>
          <w:p>
            <w:pPr>
              <w:pStyle w:val="TableText"/>
            </w:pPr>
            <w:r>
              <w:t>区分预测网络、分布变化检测与适配。</w:t>
            </w:r>
          </w:p>
        </w:tc>
      </w:tr>
      <w:tr>
        <w:trPr>
          <w:cantSplit/>
        </w:trPr>
        <w:tc>
          <w:tcPr>
            <w:tcW w:type="dxa" w:w="2050"/>
            <w:vAlign w:val="center"/>
          </w:tcPr>
          <w:p>
            <w:pPr>
              <w:pStyle w:val="TableText"/>
            </w:pPr>
            <w:r>
              <w:t>§3 Preliminaries</w:t>
            </w:r>
          </w:p>
        </w:tc>
        <w:tc>
          <w:tcPr>
            <w:tcW w:type="dxa" w:w="3500"/>
            <w:vAlign w:val="center"/>
          </w:tcPr>
          <w:p>
            <w:pPr>
              <w:pStyle w:val="TableText"/>
            </w:pPr>
            <w:r>
              <w:t>343</w:t>
            </w:r>
          </w:p>
        </w:tc>
        <w:tc>
          <w:tcPr>
            <w:tcW w:type="dxa" w:w="3810"/>
            <w:vAlign w:val="center"/>
          </w:tcPr>
          <w:p>
            <w:pPr>
              <w:pStyle w:val="TableText"/>
            </w:pPr>
            <w:r>
              <w:t>定义多变量输入窗口、预测窗口与模型拆分。</w:t>
            </w:r>
          </w:p>
        </w:tc>
      </w:tr>
      <w:tr>
        <w:trPr>
          <w:cantSplit/>
        </w:trPr>
        <w:tc>
          <w:tcPr>
            <w:tcW w:type="dxa" w:w="2050"/>
            <w:vAlign w:val="center"/>
          </w:tcPr>
          <w:p>
            <w:pPr>
              <w:pStyle w:val="TableText"/>
            </w:pPr>
            <w:r>
              <w:t>§4 CDS</w:t>
            </w:r>
          </w:p>
        </w:tc>
        <w:tc>
          <w:tcPr>
            <w:tcW w:type="dxa" w:w="3500"/>
            <w:vAlign w:val="center"/>
          </w:tcPr>
          <w:p>
            <w:pPr>
              <w:pStyle w:val="TableText"/>
            </w:pPr>
            <w:r>
              <w:t>343</w:t>
            </w:r>
          </w:p>
        </w:tc>
        <w:tc>
          <w:tcPr>
            <w:tcW w:type="dxa" w:w="3810"/>
            <w:vAlign w:val="center"/>
          </w:tcPr>
          <w:p>
            <w:pPr>
              <w:pStyle w:val="TableText"/>
            </w:pPr>
            <w:r>
              <w:t>给出 P(Y｜X) 与 P(Y｜X,C) 不同的定义。</w:t>
            </w:r>
          </w:p>
        </w:tc>
      </w:tr>
      <w:tr>
        <w:trPr>
          <w:cantSplit/>
        </w:trPr>
        <w:tc>
          <w:tcPr>
            <w:tcW w:type="dxa" w:w="2050"/>
            <w:vAlign w:val="center"/>
          </w:tcPr>
          <w:p>
            <w:pPr>
              <w:pStyle w:val="TableText"/>
            </w:pPr>
            <w:r>
              <w:t>§5 Framework</w:t>
            </w:r>
          </w:p>
        </w:tc>
        <w:tc>
          <w:tcPr>
            <w:tcW w:type="dxa" w:w="3500"/>
            <w:vAlign w:val="center"/>
          </w:tcPr>
          <w:p>
            <w:pPr>
              <w:pStyle w:val="TableText"/>
            </w:pPr>
            <w:r>
              <w:t>343–346</w:t>
            </w:r>
          </w:p>
        </w:tc>
        <w:tc>
          <w:tcPr>
            <w:tcW w:type="dxa" w:w="3810"/>
            <w:vAlign w:val="center"/>
          </w:tcPr>
          <w:p>
            <w:pPr>
              <w:pStyle w:val="TableText"/>
            </w:pPr>
            <w:r>
              <w:t>Reconditionor、SOLID、三步历史样本选择。</w:t>
            </w:r>
          </w:p>
        </w:tc>
      </w:tr>
      <w:tr>
        <w:trPr>
          <w:cantSplit/>
        </w:trPr>
        <w:tc>
          <w:tcPr>
            <w:tcW w:type="dxa" w:w="2050"/>
            <w:vAlign w:val="center"/>
          </w:tcPr>
          <w:p>
            <w:pPr>
              <w:pStyle w:val="TableText"/>
            </w:pPr>
            <w:r>
              <w:t>§6 Theory</w:t>
            </w:r>
          </w:p>
        </w:tc>
        <w:tc>
          <w:tcPr>
            <w:tcW w:type="dxa" w:w="3500"/>
            <w:vAlign w:val="center"/>
          </w:tcPr>
          <w:p>
            <w:pPr>
              <w:pStyle w:val="TableText"/>
            </w:pPr>
            <w:r>
              <w:t>346</w:t>
            </w:r>
          </w:p>
        </w:tc>
        <w:tc>
          <w:tcPr>
            <w:tcW w:type="dxa" w:w="3810"/>
            <w:vAlign w:val="center"/>
          </w:tcPr>
          <w:p>
            <w:pPr>
              <w:pStyle w:val="TableText"/>
            </w:pPr>
            <w:r>
              <w:t>全局与分情境线性回归的偏差—方差分析。</w:t>
            </w:r>
          </w:p>
        </w:tc>
      </w:tr>
      <w:tr>
        <w:trPr>
          <w:cantSplit/>
        </w:trPr>
        <w:tc>
          <w:tcPr>
            <w:tcW w:type="dxa" w:w="2050"/>
            <w:vAlign w:val="center"/>
          </w:tcPr>
          <w:p>
            <w:pPr>
              <w:pStyle w:val="TableText"/>
            </w:pPr>
            <w:r>
              <w:t>§7 Experiments</w:t>
            </w:r>
          </w:p>
        </w:tc>
        <w:tc>
          <w:tcPr>
            <w:tcW w:type="dxa" w:w="3500"/>
            <w:vAlign w:val="center"/>
          </w:tcPr>
          <w:p>
            <w:pPr>
              <w:pStyle w:val="TableText"/>
            </w:pPr>
            <w:r>
              <w:t>346–349</w:t>
            </w:r>
          </w:p>
        </w:tc>
        <w:tc>
          <w:tcPr>
            <w:tcW w:type="dxa" w:w="3810"/>
            <w:vAlign w:val="center"/>
          </w:tcPr>
          <w:p>
            <w:pPr>
              <w:pStyle w:val="TableText"/>
            </w:pPr>
            <w:r>
              <w:t>主结果、相关性、消融、模型适配范围与速度。</w:t>
            </w:r>
          </w:p>
        </w:tc>
      </w:tr>
      <w:tr>
        <w:trPr>
          <w:cantSplit/>
        </w:trPr>
        <w:tc>
          <w:tcPr>
            <w:tcW w:type="dxa" w:w="2050"/>
            <w:vAlign w:val="center"/>
          </w:tcPr>
          <w:p>
            <w:pPr>
              <w:pStyle w:val="TableText"/>
            </w:pPr>
            <w:r>
              <w:t>§8 Conclusion</w:t>
            </w:r>
          </w:p>
        </w:tc>
        <w:tc>
          <w:tcPr>
            <w:tcW w:type="dxa" w:w="3500"/>
            <w:vAlign w:val="center"/>
          </w:tcPr>
          <w:p>
            <w:pPr>
              <w:pStyle w:val="TableText"/>
            </w:pPr>
            <w:r>
              <w:t>349</w:t>
            </w:r>
          </w:p>
        </w:tc>
        <w:tc>
          <w:tcPr>
            <w:tcW w:type="dxa" w:w="3810"/>
            <w:vAlign w:val="center"/>
          </w:tcPr>
          <w:p>
            <w:pPr>
              <w:pStyle w:val="TableText"/>
            </w:pPr>
            <w:r>
              <w:t>结论、额外开销及未观测情境检测的限制。</w:t>
            </w:r>
          </w:p>
        </w:tc>
      </w:tr>
      <w:tr>
        <w:trPr>
          <w:cantSplit/>
        </w:trPr>
        <w:tc>
          <w:tcPr>
            <w:tcW w:type="dxa" w:w="2050"/>
            <w:vAlign w:val="center"/>
          </w:tcPr>
          <w:p>
            <w:pPr>
              <w:pStyle w:val="TableText"/>
            </w:pPr>
            <w:r>
              <w:t>Appendix A／B</w:t>
            </w:r>
          </w:p>
        </w:tc>
        <w:tc>
          <w:tcPr>
            <w:tcW w:type="dxa" w:w="3500"/>
            <w:vAlign w:val="center"/>
          </w:tcPr>
          <w:p>
            <w:pPr>
              <w:pStyle w:val="TableText"/>
            </w:pPr>
            <w:r>
              <w:t>350</w:t>
            </w:r>
          </w:p>
        </w:tc>
        <w:tc>
          <w:tcPr>
            <w:tcW w:type="dxa" w:w="3810"/>
            <w:vAlign w:val="center"/>
          </w:tcPr>
          <w:p>
            <w:pPr>
              <w:pStyle w:val="TableText"/>
            </w:pPr>
            <w:r>
              <w:t>A指向完整证明；B给超参数与模型拆分。</w:t>
            </w:r>
          </w:p>
        </w:tc>
      </w:tr>
      <w:tr>
        <w:trPr>
          <w:cantSplit/>
        </w:trPr>
        <w:tc>
          <w:tcPr>
            <w:tcW w:type="dxa" w:w="2050"/>
            <w:vAlign w:val="center"/>
          </w:tcPr>
          <w:p>
            <w:pPr>
              <w:pStyle w:val="TableText"/>
            </w:pPr>
            <w:r>
              <w:t>Appendix C</w:t>
            </w:r>
          </w:p>
        </w:tc>
        <w:tc>
          <w:tcPr>
            <w:tcW w:type="dxa" w:w="3500"/>
            <w:vAlign w:val="center"/>
          </w:tcPr>
          <w:p>
            <w:pPr>
              <w:pStyle w:val="TableText"/>
            </w:pPr>
            <w:r>
              <w:t>351–352</w:t>
            </w:r>
          </w:p>
        </w:tc>
        <w:tc>
          <w:tcPr>
            <w:tcW w:type="dxa" w:w="3810"/>
            <w:vAlign w:val="center"/>
          </w:tcPr>
          <w:p>
            <w:pPr>
              <w:pStyle w:val="TableText"/>
            </w:pPr>
            <w:r>
              <w:t>补充结果、可视化、相关性、敏感度、案例。</w:t>
            </w:r>
          </w:p>
        </w:tc>
      </w:tr>
    </w:tbl>
    <w:p>
      <w:pPr>
        <w:spacing w:after="0"/>
        <w:snapToGrid w:val="0"/>
      </w:pPr>
    </w:p>
    <w:p>
      <w:pPr>
        <w:snapToGrid w:val="0"/>
      </w:pPr>
      <w:r>
        <w:t>完整版 arXiv v2 的 Appendix A 包含证明；B.1 与 Table 2 给数据集详情；B.3／Table 3 对应正式版 B.1／Table 2；完整版 Table 8 对应正式版 Table 3。优先读定义→Algorithm 1→Algorithm 2→Table 1→§6；再用附录核对细节。</w:t>
      </w:r>
    </w:p>
    <w:p>
      <w:pPr>
        <w:pStyle w:val="Heading2"/>
        <w:snapToGrid w:val="0"/>
      </w:pPr>
      <w:r>
        <w:t>3　Related Work 与 Preliminaries：先认清输入、输出和模型</w:t>
      </w:r>
    </w:p>
    <w:p>
      <w:pPr>
        <w:pStyle w:val="Heading3"/>
        <w:snapToGrid w:val="0"/>
      </w:pPr>
      <w:r>
        <w:t>A．在讲什么，为什么需要？</w:t>
      </w:r>
    </w:p>
    <w:p>
      <w:pPr>
        <w:snapToGrid w:val="0"/>
      </w:pPr>
      <w:r>
        <w:t>Related Work 将已有工作分为预测网络、分布变化检测以及应对分布变化的方法。RevIN、Dish-TS 主要通过归一化等机制帮助训练／预测；SOLID 在已训练模型上做测试时适配，因而可能与它们结合。不能由“可结合”直接推出不同分布变化在数学上相互正交。【论文：§2、§7.3.3】</w:t>
      </w:r>
    </w:p>
    <w:p>
      <w:pPr>
        <w:snapToGrid w:val="0"/>
      </w:pPr>
      <w:r>
        <w:t>Preliminaries 规定一次输入不是一个时刻的 M 个数，而是 L 个时刻、每个时刻 M 个数；输出是未来 T 个时刻。这一形式决定了真值反馈要延迟，也决定了“样本数”不能直接等于原始行数。</w:t>
      </w:r>
    </w:p>
    <w:p>
      <w:pPr>
        <w:pStyle w:val="Heading3"/>
        <w:snapToGrid w:val="0"/>
      </w:pPr>
      <w:r>
        <w:t>B．关键概念与公式</w:t>
      </w:r>
    </w:p>
    <w:p>
      <w:pPr>
        <w:pStyle w:val="EquationText"/>
        <w:jc w:val="center"/>
        <w:snapToGrid w:val="0"/>
      </w:pPr>
      <w:r/>
      <m:oMath>
        <m:r>
          <m:t>X_t = [x_(t−L), …, x_(t−1)] ∈ R^(L×M)</m:t>
        </m:r>
      </m:oMath>
    </w:p>
    <w:p>
      <w:pPr>
        <w:pStyle w:val="EquationText"/>
        <w:jc w:val="center"/>
        <w:snapToGrid w:val="0"/>
      </w:pPr>
      <w:r/>
      <m:oMath>
        <m:r>
          <m:t>Y_t = [x_t, …, x_(t+T−1)] ∈ R^(T×M)</m:t>
        </m:r>
      </m:oMath>
    </w:p>
    <w:p>
      <w:pPr>
        <w:snapToGrid w:val="0"/>
      </w:pPr>
      <w:r>
        <w:t>x_t 是某时刻 M 维观测；L 是回看长度，T 是预测长度，t 是预测起点。数学上模型学习矩阵到矩阵的映射；直观上是“看一段过去，预测一段未来”。输入范围或相关关系可以在变量之间变化，也可以在跨时刻的关系上变化。</w:t>
      </w:r>
    </w:p>
    <w:p>
      <w:pPr>
        <w:pStyle w:val="EquationText"/>
        <w:jc w:val="center"/>
        <w:snapToGrid w:val="0"/>
      </w:pPr>
      <w:r/>
      <m:oMath>
        <m:r>
          <m:t>f(X_t) = h_θ(g_Φ(X_t))</m:t>
        </m:r>
      </m:oMath>
    </w:p>
    <w:p>
      <w:pPr>
        <w:snapToGrid w:val="0"/>
      </w:pPr>
      <w:r>
        <w:t>g_Φ 为特征提取器，Φ 为其参数；h_θ 为预测层，θ 为待适配参数。公式是方法的接口：冻结 Φ，仅更新 θ。实际网络的特征可能保留通道、patch、时间等多维结构，论文的 d 维表示是概念简写。</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模型组</w:t>
            </w:r>
          </w:p>
        </w:tc>
        <w:tc>
          <w:tcPr>
            <w:tcW w:type="dxa" w:w="3500"/>
            <w:vAlign w:val="center"/>
            <w:shd w:fill="E8EEF5"/>
          </w:tcPr>
          <w:p>
            <w:pPr>
              <w:pStyle w:val="TableText"/>
              <w:keepNext/>
            </w:pPr>
            <w:r>
              <w:rPr>
                <w:b/>
                <w:color w:val="1F4D78"/>
              </w:rPr>
              <w:t>实例</w:t>
            </w:r>
          </w:p>
        </w:tc>
        <w:tc>
          <w:tcPr>
            <w:tcW w:type="dxa" w:w="3810"/>
            <w:vAlign w:val="center"/>
            <w:shd w:fill="E8EEF5"/>
          </w:tcPr>
          <w:p>
            <w:pPr>
              <w:pStyle w:val="TableText"/>
              <w:keepNext/>
            </w:pPr>
            <w:r>
              <w:rPr>
                <w:b/>
                <w:color w:val="1F4D78"/>
              </w:rPr>
              <w:t>适配部分</w:t>
            </w:r>
          </w:p>
        </w:tc>
      </w:tr>
      <w:tr>
        <w:trPr>
          <w:cantSplit/>
        </w:trPr>
        <w:tc>
          <w:tcPr>
            <w:tcW w:type="dxa" w:w="2050"/>
            <w:vAlign w:val="center"/>
          </w:tcPr>
          <w:p>
            <w:pPr>
              <w:pStyle w:val="TableText"/>
              <w:keepNext/>
            </w:pPr>
            <w:r>
              <w:t>Encoder–decoder</w:t>
            </w:r>
          </w:p>
        </w:tc>
        <w:tc>
          <w:tcPr>
            <w:tcW w:type="dxa" w:w="3500"/>
            <w:vAlign w:val="center"/>
          </w:tcPr>
          <w:p>
            <w:pPr>
              <w:pStyle w:val="TableText"/>
              <w:keepNext/>
            </w:pPr>
            <w:r>
              <w:t>Informer、Autoformer、FEDformer、ETSformer、Crossformer</w:t>
            </w:r>
          </w:p>
        </w:tc>
        <w:tc>
          <w:tcPr>
            <w:tcW w:type="dxa" w:w="3810"/>
            <w:vAlign w:val="center"/>
          </w:tcPr>
          <w:p>
            <w:pPr>
              <w:pStyle w:val="TableText"/>
              <w:keepNext/>
            </w:pPr>
            <w:r>
              <w:t>解码器顶部线性预测投影；其余部分冻结。</w:t>
            </w:r>
          </w:p>
        </w:tc>
      </w:tr>
      <w:tr>
        <w:trPr>
          <w:cantSplit/>
        </w:trPr>
        <w:tc>
          <w:tcPr>
            <w:tcW w:type="dxa" w:w="2050"/>
            <w:vAlign w:val="center"/>
          </w:tcPr>
          <w:p>
            <w:pPr>
              <w:pStyle w:val="TableText"/>
              <w:keepNext/>
            </w:pPr>
            <w:r>
              <w:t>Encoder-only</w:t>
            </w:r>
          </w:p>
        </w:tc>
        <w:tc>
          <w:tcPr>
            <w:tcW w:type="dxa" w:w="3500"/>
            <w:vAlign w:val="center"/>
          </w:tcPr>
          <w:p>
            <w:pPr>
              <w:pStyle w:val="TableText"/>
              <w:keepNext/>
            </w:pPr>
            <w:r>
              <w:t>PatchTST</w:t>
            </w:r>
          </w:p>
        </w:tc>
        <w:tc>
          <w:tcPr>
            <w:tcW w:type="dxa" w:w="3810"/>
            <w:vAlign w:val="center"/>
          </w:tcPr>
          <w:p>
            <w:pPr>
              <w:pStyle w:val="TableText"/>
              <w:keepNext/>
            </w:pPr>
            <w:r>
              <w:t>顶部线性预测头；编码与注意力等冻结。</w:t>
            </w:r>
          </w:p>
        </w:tc>
      </w:tr>
      <w:tr>
        <w:trPr>
          <w:cantSplit/>
        </w:trPr>
        <w:tc>
          <w:tcPr>
            <w:tcW w:type="dxa" w:w="2050"/>
            <w:vAlign w:val="center"/>
          </w:tcPr>
          <w:p>
            <w:pPr>
              <w:pStyle w:val="TableText"/>
            </w:pPr>
            <w:r>
              <w:t>Linear-based</w:t>
            </w:r>
          </w:p>
        </w:tc>
        <w:tc>
          <w:tcPr>
            <w:tcW w:type="dxa" w:w="3500"/>
            <w:vAlign w:val="center"/>
          </w:tcPr>
          <w:p>
            <w:pPr>
              <w:pStyle w:val="TableText"/>
            </w:pPr>
            <w:r>
              <w:t>DLinear</w:t>
            </w:r>
          </w:p>
        </w:tc>
        <w:tc>
          <w:tcPr>
            <w:tcW w:type="dxa" w:w="3810"/>
            <w:vAlign w:val="center"/>
          </w:tcPr>
          <w:p>
            <w:pPr>
              <w:pStyle w:val="TableText"/>
            </w:pPr>
            <w:r>
              <w:t>线性预测层；论文将其视为没有待冻结的可学习特征提取器。</w:t>
            </w:r>
          </w:p>
        </w:tc>
      </w:tr>
    </w:tbl>
    <w:p>
      <w:pPr>
        <w:spacing w:after="0"/>
        <w:snapToGrid w:val="0"/>
      </w:pPr>
    </w:p>
    <w:p>
      <w:pPr>
        <w:pStyle w:val="Heading3"/>
        <w:snapToGrid w:val="0"/>
      </w:pPr>
      <w:r>
        <w:t>C．二维时间窗口例子</w:t>
      </w:r>
    </w:p>
    <w:p>
      <w:pPr>
        <w:snapToGrid w:val="0"/>
      </w:pPr>
      <w:r>
        <w:t>【教学例】两个传感器 M=2，过去 L=3，未来 T=2。输入依次是 (1,10)、(2,11)、(3,12)，即3×2矩阵；模型输出未来两个二维向量，例如 (4,13)、(5,14)。这里一个训练样本包含3个历史时刻和2个未来时刻，而不是5个独立样本。</w:t>
      </w:r>
    </w:p>
    <w:p>
      <w:pPr>
        <w:snapToGrid w:val="0"/>
      </w:pPr>
      <w:r>
        <w:t>若原始连续序列有 N 行，步长为1，且输入输出都需落在同一段内，窗口数是 N−L−T+1。相邻窗口大量重叠，不能当成相互独立的观测来估计置信区间。</w:t>
      </w:r>
    </w:p>
    <w:p>
      <w:pPr>
        <w:pStyle w:val="Heading3"/>
        <w:snapToGrid w:val="0"/>
      </w:pPr>
      <w:r>
        <w:t>D．与本研究的关系及本节结论</w:t>
      </w:r>
    </w:p>
    <w:p>
      <w:pPr>
        <w:pStyle w:val="ReportBullet"/>
        <w:keepNext/>
        <w:numPr>
          <w:ilvl w:val="0"/>
          <w:numId w:val="51"/>
        </w:numPr>
        <w:snapToGrid w:val="0"/>
      </w:pPr>
      <w:r>
        <w:t>多变量预测不自动等于所有模型都显式建模变量间关系；PatchTST 的通道独立设计就是需要区分的情况。</w:t>
      </w:r>
    </w:p>
    <w:p>
      <w:pPr>
        <w:pStyle w:val="ReportBullet"/>
        <w:keepNext/>
        <w:numPr>
          <w:ilvl w:val="0"/>
          <w:numId w:val="51"/>
        </w:numPr>
        <w:snapToGrid w:val="0"/>
      </w:pPr>
      <w:r>
        <w:t>“model-agnostic”在本文主要指可用于多种预测架构；SOLID 仍需访问并修改模型参数。</w:t>
      </w:r>
    </w:p>
    <w:p>
      <w:pPr>
        <w:pStyle w:val="ReportBullet"/>
        <w:numPr>
          <w:ilvl w:val="0"/>
          <w:numId w:val="51"/>
        </w:numPr>
        <w:snapToGrid w:val="0"/>
      </w:pPr>
      <w:r>
        <w:t>如果社内压力模型只用当前时刻输入、且不做未来预测，不能不加改造地套用本文窗口选择逻辑。</w:t>
      </w:r>
    </w:p>
    <w:p>
      <w:pPr>
        <w:pStyle w:val="Heading2"/>
        <w:snapToGrid w:val="0"/>
      </w:pPr>
      <w:r>
        <w:t>4　CDS 的定义：改变的是哪一种分布？</w:t>
      </w:r>
    </w:p>
    <w:p>
      <w:pPr>
        <w:pStyle w:val="Heading3"/>
        <w:snapToGrid w:val="0"/>
      </w:pPr>
      <w:r>
        <w:t>A．这一节在讲什么？</w:t>
      </w:r>
    </w:p>
    <w:p>
      <w:pPr>
        <w:snapToGrid w:val="0"/>
      </w:pPr>
      <w:r>
        <w:t>作者定义：若与时间有关的 C 对历史 X 到未来 Y 的生成过程有额外影响，即 P(Y｜X)≠P(Y｜X,C)，则存在 context-driven distribution shift（CDS）。直观上是“知道过去还不够，知道当前情境后，对未来的判断会改变”。【论文：§4，Definition 1】</w:t>
      </w:r>
    </w:p>
    <w:p>
      <w:pPr>
        <w:pStyle w:val="Heading3"/>
        <w:snapToGrid w:val="0"/>
      </w:pPr>
      <w:r>
        <w:t>B．为什么要单独定义？</w:t>
      </w:r>
    </w:p>
    <w:p>
      <w:pPr>
        <w:snapToGrid w:val="0"/>
      </w:pPr>
      <w:r>
        <w:t>普通输入 OOD 多问“这个 X 在训练分布中常不常见”；CDS 问的是“模型所用的预测关系，在不同情境下是否适用”。输入很常见，也可能对应不同的未来。反之，输入分布变化不一定导致残差明显依赖情境。</w:t>
      </w:r>
    </w:p>
    <w:p>
      <w:pPr>
        <w:pStyle w:val="Heading3"/>
        <w:snapToGrid w:val="0"/>
      </w:pPr>
      <w:r>
        <w:t>C．必须区分的三个概念</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概念</w:t>
            </w:r>
          </w:p>
        </w:tc>
        <w:tc>
          <w:tcPr>
            <w:tcW w:type="dxa" w:w="3500"/>
            <w:vAlign w:val="center"/>
            <w:shd w:fill="E8EEF5"/>
          </w:tcPr>
          <w:p>
            <w:pPr>
              <w:pStyle w:val="TableText"/>
              <w:keepNext/>
            </w:pPr>
            <w:r>
              <w:rPr>
                <w:b/>
                <w:color w:val="1F4D78"/>
              </w:rPr>
              <w:t>数学含义</w:t>
            </w:r>
          </w:p>
        </w:tc>
        <w:tc>
          <w:tcPr>
            <w:tcW w:type="dxa" w:w="3810"/>
            <w:vAlign w:val="center"/>
            <w:shd w:fill="E8EEF5"/>
          </w:tcPr>
          <w:p>
            <w:pPr>
              <w:pStyle w:val="TableText"/>
              <w:keepNext/>
            </w:pPr>
            <w:r>
              <w:rPr>
                <w:b/>
                <w:color w:val="1F4D78"/>
              </w:rPr>
              <w:t>直观含义与学習外关系</w:t>
            </w:r>
          </w:p>
        </w:tc>
      </w:tr>
      <w:tr>
        <w:trPr>
          <w:cantSplit/>
        </w:trPr>
        <w:tc>
          <w:tcPr>
            <w:tcW w:type="dxa" w:w="2050"/>
            <w:vAlign w:val="center"/>
          </w:tcPr>
          <w:p>
            <w:pPr>
              <w:pStyle w:val="TableText"/>
              <w:keepNext/>
            </w:pPr>
            <w:r>
              <w:t>输入分布变化</w:t>
            </w:r>
          </w:p>
        </w:tc>
        <w:tc>
          <w:tcPr>
            <w:tcW w:type="dxa" w:w="3500"/>
            <w:vAlign w:val="center"/>
          </w:tcPr>
          <w:p>
            <w:pPr>
              <w:pStyle w:val="TableText"/>
              <w:keepNext/>
            </w:pPr>
            <w:r>
              <w:t>P_train(X)≠P_test(X)</w:t>
            </w:r>
          </w:p>
        </w:tc>
        <w:tc>
          <w:tcPr>
            <w:tcW w:type="dxa" w:w="3810"/>
            <w:vAlign w:val="center"/>
          </w:tcPr>
          <w:p>
            <w:pPr>
              <w:pStyle w:val="TableText"/>
              <w:keepNext/>
            </w:pPr>
            <w:r>
              <w:t>输入整体统计规律变了；与①直接相关。</w:t>
            </w:r>
          </w:p>
        </w:tc>
      </w:tr>
      <w:tr>
        <w:trPr>
          <w:cantSplit/>
        </w:trPr>
        <w:tc>
          <w:tcPr>
            <w:tcW w:type="dxa" w:w="2050"/>
            <w:vAlign w:val="center"/>
          </w:tcPr>
          <w:p>
            <w:pPr>
              <w:pStyle w:val="TableText"/>
              <w:keepNext/>
            </w:pPr>
            <w:r>
              <w:t>条件关系变化</w:t>
            </w:r>
          </w:p>
        </w:tc>
        <w:tc>
          <w:tcPr>
            <w:tcW w:type="dxa" w:w="3500"/>
            <w:vAlign w:val="center"/>
          </w:tcPr>
          <w:p>
            <w:pPr>
              <w:pStyle w:val="TableText"/>
              <w:keepNext/>
            </w:pPr>
            <w:r>
              <w:t>P(Y｜X,C=c₁)≠P(Y｜X,C=c₂)</w:t>
            </w:r>
          </w:p>
        </w:tc>
        <w:tc>
          <w:tcPr>
            <w:tcW w:type="dxa" w:w="3810"/>
            <w:vAlign w:val="center"/>
          </w:tcPr>
          <w:p>
            <w:pPr>
              <w:pStyle w:val="TableText"/>
              <w:keepNext/>
            </w:pPr>
            <w:r>
              <w:t>同样输入在不同情境有不同未来；不等同于③“输入项之间”的相关变化。</w:t>
            </w:r>
          </w:p>
        </w:tc>
      </w:tr>
      <w:tr>
        <w:trPr>
          <w:cantSplit/>
        </w:trPr>
        <w:tc>
          <w:tcPr>
            <w:tcW w:type="dxa" w:w="2050"/>
            <w:vAlign w:val="center"/>
          </w:tcPr>
          <w:p>
            <w:pPr>
              <w:pStyle w:val="TableText"/>
            </w:pPr>
            <w:r>
              <w:t>模型残差依赖</w:t>
            </w:r>
          </w:p>
        </w:tc>
        <w:tc>
          <w:tcPr>
            <w:tcW w:type="dxa" w:w="3500"/>
            <w:vAlign w:val="center"/>
          </w:tcPr>
          <w:p>
            <w:pPr>
              <w:pStyle w:val="TableText"/>
            </w:pPr>
            <w:r>
              <w:t>P(r｜C)≠P(r)</w:t>
            </w:r>
          </w:p>
        </w:tc>
        <w:tc>
          <w:tcPr>
            <w:tcW w:type="dxa" w:w="3810"/>
            <w:vAlign w:val="center"/>
          </w:tcPr>
          <w:p>
            <w:pPr>
              <w:pStyle w:val="TableText"/>
            </w:pPr>
            <w:r>
              <w:t>误差随情境变化，是本文实际测量的量；不与前两者自动等价。</w:t>
            </w:r>
          </w:p>
        </w:tc>
      </w:tr>
    </w:tbl>
    <w:p>
      <w:pPr>
        <w:spacing w:after="0"/>
        <w:snapToGrid w:val="0"/>
      </w:pPr>
    </w:p>
    <w:p>
      <w:pPr>
        <w:snapToGrid w:val="0"/>
      </w:pPr>
      <w:r>
        <w:t>【分析：记号核对】正式版 §4 写 P(Y｜X)=Σ_c P(Y｜X,C=c)P(C=c)。一般条件概率分解应使用 P(C=c｜X)，而不是 P(C=c)；只有相应独立假设成立时才可替换。作者又讨论 C 影响 X，因此不能把这行直接当作一般恒等式。本文的核心 CDS 定义及后续残差算法可以独立理解，不需要照搬这处简写。</w:t>
      </w:r>
    </w:p>
    <w:p>
      <w:pPr>
        <w:pStyle w:val="Heading3"/>
        <w:snapToGrid w:val="0"/>
      </w:pPr>
      <w:r>
        <w:t>D．可帮助理解的反例</w:t>
      </w:r>
    </w:p>
    <w:p>
      <w:pPr>
        <w:snapToGrid w:val="0"/>
      </w:pPr>
      <w:r>
        <w:t>【教学例】训练与部署都出现 X=(1,1)，情境A的真实输出为2，情境B为4，模型一直预测2。只比较 X 的距离无法区分A/B；B的真实 Y 到达后，可观察到系统性残差−2。它说明残差有机会发现输入检测器看不到的预测机制变化，但不是即时发现，因为真实 Y 尚未到达时不能计算这次残差。</w:t>
      </w:r>
    </w:p>
    <w:p>
      <w:pPr>
        <w:snapToGrid w:val="0"/>
      </w:pPr>
      <w:r>
        <w:t>CDS 也不必是“新情境”：A/B 都可出现在训练集中。将训练内部情境拟合不足称为“学習外”是本研究的扩展解释，需要明说，不能伪装成论文的逐样本定义。</w:t>
      </w:r>
    </w:p>
    <w:p>
      <w:pPr>
        <w:pStyle w:val="Heading3"/>
        <w:snapToGrid w:val="0"/>
      </w:pPr>
      <w:r>
        <w:t>E．本节结论</w:t>
      </w:r>
    </w:p>
    <w:p>
      <w:pPr>
        <w:pStyle w:val="ReportBullet"/>
        <w:keepNext/>
        <w:numPr>
          <w:ilvl w:val="0"/>
          <w:numId w:val="51"/>
        </w:numPr>
        <w:snapToGrid w:val="0"/>
      </w:pPr>
      <w:r>
        <w:t>本文主要关注情境条件下的预测关系与误差变化。</w:t>
      </w:r>
    </w:p>
    <w:p>
      <w:pPr>
        <w:pStyle w:val="ReportBullet"/>
        <w:keepNext/>
        <w:numPr>
          <w:ilvl w:val="0"/>
          <w:numId w:val="51"/>
        </w:numPr>
        <w:snapToGrid w:val="0"/>
      </w:pPr>
      <w:r>
        <w:t>用户三类定义中，①可部分对应；②可能造成局部拟合不足；③可能伴随出现，但论文未单独验证输入间组合变化。</w:t>
      </w:r>
    </w:p>
    <w:p>
      <w:pPr>
        <w:pStyle w:val="ReportBullet"/>
        <w:numPr>
          <w:ilvl w:val="0"/>
          <w:numId w:val="51"/>
        </w:numPr>
        <w:snapToGrid w:val="0"/>
      </w:pPr>
      <w:r>
        <w:t>需要在总报告中另设“入力―出力関係／文脈依存の変化”这一轴。</w:t>
      </w:r>
    </w:p>
    <w:p>
      <w:pPr>
        <w:pStyle w:val="Heading2"/>
        <w:snapToGrid w:val="0"/>
      </w:pPr>
      <w:r>
        <w:t>5　Reconditionor：残差与情境的互信息</w:t>
      </w:r>
    </w:p>
    <w:p>
      <w:pPr>
        <w:pStyle w:val="Heading3"/>
        <w:snapToGrid w:val="0"/>
      </w:pPr>
      <w:r>
        <w:t>A．在讲什么？</w:t>
      </w:r>
    </w:p>
    <w:p>
      <w:pPr>
        <w:snapToGrid w:val="0"/>
      </w:pPr>
      <w:r>
        <w:t>作者先在有真实输出的历史数据上计算已训练模型的残差，把残差按情境分组，再比较各组与总体分布。如果知道情境就能更准确地猜测误差分布，说明模型误差具有情境依赖性。【论文：§5.1，Eq.(1)，Algorithm 1】</w:t>
      </w:r>
    </w:p>
    <w:p>
      <w:pPr>
        <w:pStyle w:val="Heading3"/>
        <w:snapToGrid w:val="0"/>
      </w:pPr>
      <w:r>
        <w:t>B．为什么这样做？</w:t>
      </w:r>
    </w:p>
    <w:p>
      <w:pPr>
        <w:snapToGrid w:val="0"/>
      </w:pPr>
      <w:r>
        <w:t>输入分布的变化未必损害预测。残差直接包含模型预测与真实值之间的偏离，因此可作为“这个模型是否受情境影响”的诊断依据。同一份数据换一个预测模型，残差与分数都会改变。</w:t>
      </w:r>
    </w:p>
    <w:p>
      <w:pPr>
        <w:pStyle w:val="Heading3"/>
        <w:snapToGrid w:val="0"/>
      </w:pPr>
      <w:r>
        <w:t>C．关键概念</w:t>
      </w:r>
    </w:p>
    <w:p>
      <w:pPr>
        <w:snapToGrid w:val="0"/>
      </w:pPr>
      <w:r>
        <w:t>残差 r=f(X)−Y：向量／矩阵形式对应所有预测时刻与输出变量；其正负表示高估或低估。KL散度 D_KL(P∥Q) 衡量用 Q 描述 P 的信息损失，非负、不对称，不是通常意义的距离。互信息 I(r;C) 是各情境残差分布相对总体分布的加权差异；理论上为0表示独立，但有限样本估计接近0不构成独立性证明。</w:t>
      </w:r>
    </w:p>
    <w:p>
      <w:pPr>
        <w:pStyle w:val="EquationText"/>
        <w:jc w:val="center"/>
        <w:snapToGrid w:val="0"/>
      </w:pPr>
      <w:r/>
      <m:oMath>
        <m:r>
          <m:t>δ = I(r;C) = Σ_c p_c D_KL(P(r｜C=c) ∥ P(r)),　p_c = n_c/n</m:t>
        </m:r>
      </m:oMath>
    </w:p>
    <w:p>
      <w:pPr>
        <w:snapToGrid w:val="0"/>
      </w:pPr>
      <w:r>
        <w:t>δ 是模型—数据集—情境划分层面的分数；n_c 为组内残差观测数，n 为总数。它不是某个新输入 x_t 的 OOD 概率。δ_P 使用周期相位分组，δ_T 使用训练时间上的五等分区间。</w:t>
      </w:r>
    </w:p>
    <w:p>
      <w:pPr>
        <w:pStyle w:val="Heading3"/>
        <w:snapToGrid w:val="0"/>
      </w:pPr>
      <w:r>
        <w:t>D．关键公式：高斯近似如何计算？</w:t>
      </w:r>
    </w:p>
    <w:p>
      <w:pPr>
        <w:snapToGrid w:val="0"/>
      </w:pPr>
      <w:r>
        <w:t>Algorithm 1 用总体和分组残差的均值、标准差拟合高斯分布。以下是一维残差的闭式表达式；多维残差怎样聚合必须另行明确。</w:t>
      </w:r>
    </w:p>
    <w:p>
      <w:pPr>
        <w:pStyle w:val="EquationText"/>
        <w:jc w:val="center"/>
        <w:snapToGrid w:val="0"/>
      </w:pPr>
      <w:r/>
      <m:oMath>
        <m:r>
          <m:t>KL_c = log(σ/σ_c) + [σ_c² + (μ_c−μ)²]/(2σ²) − 1/2</m:t>
        </m:r>
      </m:oMath>
    </w:p>
    <w:p>
      <w:pPr>
        <w:snapToGrid w:val="0"/>
      </w:pPr>
      <w:r>
        <w:t>μ、σ 是总体残差的均值与标准差；μ_c、σ_c 是情境c对应值。均值偏移和方差差异都会增加 KL。因此“δ高”可能意味着系统性偏差，也可能主要是异方差噪声，未必都能通过预测头修正。</w:t>
      </w:r>
    </w:p>
    <w:p>
      <w:pPr>
        <w:snapToGrid w:val="0"/>
      </w:pPr>
      <w:r>
        <w:t>MSE 与高斯噪声似然存在联系，但使用 MSE 并不能保证真实残差服从高斯分布。多峰、偏态、重尾残差会影响该近似；方差接近0时还需数值稳定处理。</w:t>
      </w:r>
    </w:p>
    <w:p>
      <w:pPr>
        <w:pStyle w:val="Heading3"/>
        <w:snapToGrid w:val="0"/>
      </w:pPr>
      <w:r>
        <w:t>E．二维数值例：整体无偏为何仍有分数？</w:t>
      </w:r>
    </w:p>
    <w:p>
      <w:pPr>
        <w:snapToGrid w:val="0"/>
      </w:pPr>
      <w:r>
        <w:t>【教学例】两个输出通道，白天残差均值 μ_A=(1,−1)，夜间 μ_B=(−1,1)，两组等权、组内协方差均为 I₂。总体均值为0，总体协方差为 [[2,−1],[−1,2]]。用多元高斯近似时，每组到总体的 KL 均为(1/2)log3≈0.5493，因此δ≈0.5493。实际总体分布是两个高斯的混合，使用单高斯只是近似。</w:t>
      </w:r>
    </w:p>
    <w:p>
      <w:pPr>
        <w:snapToGrid w:val="0"/>
      </w:pPr>
      <w:r>
        <w:t>为了手算一维版本，只看第一通道：μ_A=1，μ_B=−1，σ_A²=σ_B²=1，μ=0，σ²=2。代入上一式，每组 KL=(1/2)log2≈0.3466，δ也是0.3466。整体均值0并没有抹去分情境误差。</w:t>
      </w:r>
    </w:p>
    <w:p>
      <w:pPr>
        <w:snapToGrid w:val="0"/>
      </w:pPr>
      <w:r>
        <w:t>【分析：聚合风险】如果直接把两通道混在一起，A、B 两组都会成为同样的“均值为±1的等权混合”，分组分布可能完全相同。此时按通道分别检测能看到的变化，被整体 flatten 隐藏了。公开代码确实进行了 flatten，因而这是本研究涉及多变量关系时需要测试的限制。</w:t>
      </w:r>
    </w:p>
    <w:p>
      <w:pPr>
        <w:pStyle w:val="Heading3"/>
        <w:snapToGrid w:val="0"/>
      </w:pPr>
      <w:r>
        <w:t>F．分数范围、阈值与解释边界</w:t>
      </w:r>
    </w:p>
    <w:p>
      <w:pPr>
        <w:snapToGrid w:val="0"/>
      </w:pPr>
      <w:r>
        <w:t>Algorithm 1 把输出写为δ∈[0,1]，但 Eq.(1) 未提供归一化。离散 C 的理论互信息上界是 H(C)，不普遍等于1；使用自然对数时单位为 nat。高斯近似也不能直接当作归一化的概率。因此报告不把δ解释为0～100%的异常概率。</w:t>
      </w:r>
    </w:p>
    <w:p>
      <w:pPr>
        <w:snapToGrid w:val="0"/>
      </w:pPr>
      <w:r>
        <w:t>本文用 log10δ_P=−3.2 区分强／弱情境影响，换成原尺度约6.31×10⁻⁴。这是实验分析用的经验分界，不是给定误报率的显著性阈值，更不是逐样本 OOD 阈值。没有给出独立外部数据上阈值通用性的保证。</w:t>
      </w:r>
    </w:p>
    <w:p>
      <w:pPr>
        <w:pStyle w:val="Heading3"/>
        <w:snapToGrid w:val="0"/>
      </w:pPr>
      <w:r>
        <w:t>G．本节结论</w:t>
      </w:r>
    </w:p>
    <w:p>
      <w:pPr>
        <w:pStyle w:val="ReportBullet"/>
        <w:keepNext/>
        <w:numPr>
          <w:ilvl w:val="0"/>
          <w:numId w:val="51"/>
        </w:numPr>
        <w:snapToGrid w:val="0"/>
      </w:pPr>
      <w:r>
        <w:t>Reconditionor 需要历史 X、真实 Y、模型预测和情境分组；仅有 X 不够。</w:t>
      </w:r>
    </w:p>
    <w:p>
      <w:pPr>
        <w:pStyle w:val="ReportBullet"/>
        <w:keepNext/>
        <w:numPr>
          <w:ilvl w:val="0"/>
          <w:numId w:val="51"/>
        </w:numPr>
        <w:snapToGrid w:val="0"/>
      </w:pPr>
      <w:r>
        <w:t>δ高说明残差依赖情境，不能单独证明存在全新输入或可修复偏差。</w:t>
      </w:r>
    </w:p>
    <w:p>
      <w:pPr>
        <w:pStyle w:val="ReportBullet"/>
        <w:numPr>
          <w:ilvl w:val="0"/>
          <w:numId w:val="51"/>
        </w:numPr>
        <w:snapToGrid w:val="0"/>
      </w:pPr>
      <w:r>
        <w:t>δ_P、δ_T 分别测不同分组方式；阈值随估计器、分组和聚合方式可能改变。</w:t>
      </w:r>
    </w:p>
    <w:p>
      <w:pPr>
        <w:pStyle w:val="Heading2"/>
        <w:snapToGrid w:val="0"/>
      </w:pPr>
      <w:r>
        <w:t>6　SOLID：如何在预测前做一次局部适配？</w:t>
      </w:r>
    </w:p>
    <w:p>
      <w:pPr>
        <w:pStyle w:val="Heading3"/>
        <w:snapToGrid w:val="0"/>
      </w:pPr>
      <w:r>
        <w:t>A．在讲什么，为什么这样做？</w:t>
      </w:r>
    </w:p>
    <w:p>
      <w:pPr>
        <w:snapToGrid w:val="0"/>
      </w:pPr>
      <w:r>
        <w:t>对当前预测起点 t，作者选出情境相近、且未来标签已经完整观测到的历史窗口，构成 D_ctx。然后从已训练模型出发，只调整预测层，最后预测当前未来窗口。它借助的是历史已实现的输出，不是当前尚未知的未来。【论文：§5.2，Eq.(2)，Algorithm 2】</w:t>
      </w:r>
    </w:p>
    <w:p>
      <w:pPr>
        <w:pStyle w:val="EquationText"/>
        <w:jc w:val="center"/>
        <w:snapToGrid w:val="0"/>
      </w:pPr>
      <w:r/>
      <m:oMath>
        <m:r>
          <m:t>D_ctx(t) = Select{(X_(t′),Y_(t′)) : t′+T ≤ t}</m:t>
        </m:r>
      </m:oMath>
    </w:p>
    <w:p>
      <w:pPr>
        <w:snapToGrid w:val="0"/>
      </w:pPr>
      <w:r>
        <w:t>t′ 是历史预测起点，T 是预测长度。t′+T≤t 表示该历史样本的最后一个标签时刻 t′+T−1 不晚于 t−1。若外部标签另有发布延迟 D，实际应用还需 t′+T+D≤t；后者是部署扩展，不是论文原式。</w:t>
      </w:r>
    </w:p>
    <w:p>
      <w:pPr>
        <w:pStyle w:val="Heading3"/>
        <w:snapToGrid w:val="0"/>
      </w:pPr>
      <w:r>
        <w:t>B．关键公式与算法作用</w:t>
      </w:r>
    </w:p>
    <w:p>
      <w:pPr>
        <w:pStyle w:val="EquationText"/>
        <w:jc w:val="center"/>
        <w:snapToGrid w:val="0"/>
      </w:pPr>
      <w:r/>
      <m:oMath>
        <m:r>
          <m:t>θ′ = θ − η ∇_θ L_ctx(θ)</m:t>
        </m:r>
      </m:oMath>
    </w:p>
    <w:p>
      <w:pPr>
        <w:pStyle w:val="EquationText"/>
        <w:jc w:val="center"/>
        <w:snapToGrid w:val="0"/>
      </w:pPr>
      <w:r/>
      <m:oMath>
        <m:r>
          <m:t>L_ctx(θ) = mean_(X,Y∈D_ctx) MSE(h_θ(g_Φ(X)),Y)</m:t>
        </m:r>
      </m:oMath>
    </w:p>
    <w:p>
      <w:pPr>
        <w:snapToGrid w:val="0"/>
      </w:pPr>
      <w:r>
        <w:t>η 是适配学习率。这个式子是便于理解的标准平均损失写法；公开非AMP实现累加样本梯度后作一步更新，因而学习率与样本数的缩放需要核对，不能直接视为完全相同的实现。</w:t>
      </w:r>
    </w:p>
    <w:p>
      <w:pPr>
        <w:snapToGrid w:val="0"/>
      </w:pPr>
      <w:r>
        <w:t>Φ 不更新，θ′ 用于当前样本。公开主路径对每个新样本重新复制基础模型，所以不是把前一个样本的适配参数一直累积下去；这可以避免把局部修正直接传播到所有未来样本。</w:t>
      </w:r>
    </w:p>
    <w:p>
      <w:pPr>
        <w:pStyle w:val="Heading3"/>
        <w:snapToGrid w:val="0"/>
      </w:pPr>
      <w:r>
        <w:t>C．二维手算：预测头怎么被纠正？</w:t>
      </w:r>
    </w:p>
    <w:p>
      <w:pPr>
        <w:snapToGrid w:val="0"/>
      </w:pPr>
      <w:r>
        <w:t>【教学例】冻结后的特征 z=(z₁,z₂)，线性预测 ŷ=wᵀz，无截距。基础 w=(1,1)。选择两个同情境历史样本：(z=(1,0),y=2) 和 (z=(0,1),y=0)。令损失为(1/2)Σ_j(wᵀz_j−y_j)²，则在 w=(1,1) 处梯度为(−1,1)。</w:t>
      </w:r>
    </w:p>
    <w:p>
      <w:pPr>
        <w:snapToGrid w:val="0"/>
      </w:pPr>
      <w:r>
        <w:t>取η=0.5，更新后 w′=(1.5,0.5)。当前 z=(2,1)，原预测3，适配后预测3.5；假定当前真实机制为 w*=(2,0)，真实值是4，绝对误差从1降到0.5。这里使用的真值假定仅用于教学评价，适配本身没有读取当前真实值4。</w:t>
      </w:r>
    </w:p>
    <w:p>
      <w:pPr>
        <w:snapToGrid w:val="0"/>
      </w:pPr>
      <w:r>
        <w:t>如果选错情境，更新方向会反过来损害预测；如果η太大，会过度纠正。这就是需要样本筛选和限制更新幅度的原因。</w:t>
      </w:r>
    </w:p>
    <w:p>
      <w:pPr>
        <w:pStyle w:val="Heading3"/>
        <w:snapToGrid w:val="0"/>
      </w:pPr>
      <w:r>
        <w:t>D．本节结论</w:t>
      </w:r>
    </w:p>
    <w:p>
      <w:pPr>
        <w:pStyle w:val="ReportBullet"/>
        <w:keepNext/>
        <w:numPr>
          <w:ilvl w:val="0"/>
          <w:numId w:val="51"/>
        </w:numPr>
        <w:snapToGrid w:val="0"/>
      </w:pPr>
      <w:r>
        <w:t>SOLID 属于利用已到达历史标签的测试时适配，不是完全无标签的 test-time adaptation。</w:t>
      </w:r>
    </w:p>
    <w:p>
      <w:pPr>
        <w:pStyle w:val="ReportBullet"/>
        <w:keepNext/>
        <w:numPr>
          <w:ilvl w:val="0"/>
          <w:numId w:val="51"/>
        </w:numPr>
        <w:snapToGrid w:val="0"/>
      </w:pPr>
      <w:r>
        <w:t>当前真实输出未知不阻止适配，但必须有可用的历史输入—输出对。</w:t>
      </w:r>
    </w:p>
    <w:p>
      <w:pPr>
        <w:pStyle w:val="ReportBullet"/>
        <w:numPr>
          <w:ilvl w:val="0"/>
          <w:numId w:val="51"/>
        </w:numPr>
        <w:snapToGrid w:val="0"/>
      </w:pPr>
      <w:r>
        <w:t>单步／少步更新降低成本，也限制因样本少导致的过拟合；并非更新越多越好。</w:t>
      </w:r>
    </w:p>
    <w:p>
      <w:pPr>
        <w:pStyle w:val="Heading2"/>
        <w:snapToGrid w:val="0"/>
      </w:pPr>
      <w:r>
        <w:t>7　Select：三种情境怎样落实到历史样本？</w:t>
      </w:r>
    </w:p>
    <w:p>
      <w:pPr>
        <w:pStyle w:val="Heading3"/>
        <w:snapToGrid w:val="0"/>
      </w:pPr>
      <w:r>
        <w:t>A．这一节在讲什么？</w:t>
      </w:r>
    </w:p>
    <w:p>
      <w:pPr>
        <w:snapToGrid w:val="0"/>
      </w:pPr>
      <w:r>
        <w:t>首先选最近的历史时间段，再筛选相近周期相位，最后在候选中挑输入最相似的少量窗口。前两项对应观测情境，最后一项作为未观测情境的代理。【论文：§5.3.1–5.3.4】</w:t>
      </w:r>
    </w:p>
    <w:p>
      <w:pPr>
        <w:pStyle w:val="Heading3"/>
        <w:snapToGrid w:val="0"/>
      </w:pPr>
      <w:r>
        <w:t>B．时间段：最近且标签完整</w:t>
      </w:r>
    </w:p>
    <w:p>
      <w:pPr>
        <w:pStyle w:val="EquationText"/>
        <w:jc w:val="center"/>
        <w:snapToGrid w:val="0"/>
      </w:pPr>
      <w:r/>
      <m:oMath>
        <m:r>
          <m:t>t−λ_T ≤ t′ ≤ t−T</m:t>
        </m:r>
      </m:oMath>
    </w:p>
    <w:p>
      <w:pPr>
        <w:snapToGrid w:val="0"/>
      </w:pPr>
      <w:r>
        <w:t>λ_T 控制向过去回看的范围。候选距离当前不能太远，同时标签要完整。按此原式，候选起点数最多为λ_T−T+1；λ_T&lt;T 时集合为空。作者的参数表包含500等值，而T可能为720，所以“参数含义”必须和代码核对。</w:t>
      </w:r>
    </w:p>
    <w:p>
      <w:pPr>
        <w:snapToGrid w:val="0"/>
      </w:pPr>
      <w:r>
        <w:t>【代码】test_train_num 表示候选窗口数量 K，主加载器准备长度 L+T+K−1 的历史块。它实际覆盖的最早候选起点约为 t−T−K+1，与论文原式中λ_T作为“到当前t的最大距离”并不相同。这是复现配置差异，不应以空集合推断全部实验无效。</w:t>
      </w:r>
    </w:p>
    <w:p>
      <w:pPr>
        <w:pStyle w:val="Heading3"/>
        <w:snapToGrid w:val="0"/>
      </w:pPr>
      <w:r>
        <w:t>C．周期：先FFT找主周期，再比较相位</w:t>
      </w:r>
    </w:p>
    <w:p>
      <w:pPr>
        <w:pStyle w:val="EquationText"/>
        <w:jc w:val="center"/>
        <w:snapToGrid w:val="0"/>
      </w:pPr>
      <w:r/>
      <m:oMath>
        <m:r>
          <m:t>k* = argmax_(k=2,…,floor(n_train/2)) Σ_m Ampl(FFT(X^m))_k</m:t>
        </m:r>
      </m:oMath>
    </w:p>
    <w:p>
      <w:pPr>
        <w:pStyle w:val="EquationText"/>
        <w:jc w:val="center"/>
        <w:snapToGrid w:val="0"/>
      </w:pPr>
      <w:r/>
      <m:oMath>
        <m:r>
          <m:t>T* = floor(n_train/k*)</m:t>
        </m:r>
      </m:oMath>
    </w:p>
    <w:p>
      <w:pPr>
        <w:snapToGrid w:val="0"/>
      </w:pPr>
      <w:r>
        <w:t>X^m 为训练集第m通道；Ampl是频谱幅值；k* 是最强频率索引；T* 是换算的主周期。多通道幅值相加意味着尺度较大的通道可能影响主周期估计，训练标准化有助于减轻该影响。选择单个主周期不保证覆盖每日、每周、每年等多周期。</w:t>
      </w:r>
    </w:p>
    <w:p>
      <w:pPr>
        <w:pStyle w:val="EquationText"/>
        <w:jc w:val="center"/>
        <w:snapToGrid w:val="0"/>
      </w:pPr>
      <w:r/>
      <m:oMath>
        <m:r>
          <m:t>Δ_P = abs((t mod T*) − (t′ mod T*))/T* &lt; λ_P</m:t>
        </m:r>
      </m:oMath>
    </w:p>
    <w:p>
      <w:pPr>
        <w:snapToGrid w:val="0"/>
      </w:pPr>
      <w:r>
        <w:t>λ_P 是允许的归一化相位差。【教学例】T*=24，当前相位8，过去相位9，则Δ_P=1/24≈0.0417，在λ_P=0.1时通过；过去相位18则不通过。</w:t>
      </w:r>
    </w:p>
    <w:p>
      <w:pPr>
        <w:snapToGrid w:val="0"/>
      </w:pPr>
      <w:r>
        <w:t>注意论文此式是直接相位差，不是环形最短距离：23时与0时的差按原式为23/24。若为周期边界改用 min(abs(a−b),T*−abs(a−b))/T*，属于改造，应单独比较。</w:t>
      </w:r>
    </w:p>
    <w:p>
      <w:pPr>
        <w:snapToGrid w:val="0"/>
      </w:pPr>
      <w:r>
        <w:t>【代码】公开主路径用“正时间差 mod T*”与阈值比较，与论文绝对相位差也不完全相同，并非上述环形最短距离。周期在代码中按数据名预设，Illness 适配使用约52.142857，检测使用52；没有在这一入口直接执行 Eq.(3)。</w:t>
      </w:r>
    </w:p>
    <w:p>
      <w:pPr>
        <w:pStyle w:val="Heading3"/>
        <w:snapToGrid w:val="0"/>
      </w:pPr>
      <w:r>
        <w:t>D．相似性：选择最接近的历史输入</w:t>
      </w:r>
    </w:p>
    <w:p>
      <w:pPr>
        <w:pStyle w:val="EquationText"/>
        <w:jc w:val="center"/>
        <w:snapToGrid w:val="0"/>
      </w:pPr>
      <w:r/>
      <m:oMath>
        <m:r>
          <m:t>D(X_t,X_(t′)) = sqrt(Σ_(ℓ,m)(X_t[ℓ,m]−X_(t′)[ℓ,m])²)</m:t>
        </m:r>
      </m:oMath>
    </w:p>
    <w:p>
      <w:pPr>
        <w:snapToGrid w:val="0"/>
      </w:pPr>
      <w:r>
        <w:t>这是窗口展开后的欧氏距离，ℓ为历史位置、m为变量。距离小的前λ_N个历史样本用于适配；它是“适配数据的选择标准”，不是本文直接用来判定OOD的分数。</w:t>
      </w:r>
    </w:p>
    <w:p>
      <w:pPr>
        <w:snapToGrid w:val="0"/>
      </w:pPr>
      <w:r>
        <w:t>【教学例】当前展开为(1,2)，候选A=(1.1,2)，B=(2,2)，C=(1,2.2)，距离分别0.1、1、0.2。选2个则为A、C；但前提是它们均先通过时间和相位筛选。</w:t>
      </w:r>
    </w:p>
    <w:p>
      <w:pPr>
        <w:snapToGrid w:val="0"/>
      </w:pPr>
      <w:r>
        <w:t>输入相似不保证输出机制相同。若设备阀门内部状态改变而历史输入仍相似，近邻可能来自旧机制。作者承认真正未观测情境无法完全识别，相似性只是一种代理。</w:t>
      </w:r>
    </w:p>
    <w:p>
      <w:pPr>
        <w:pStyle w:val="Heading3"/>
        <w:snapToGrid w:val="0"/>
      </w:pPr>
      <w:r>
        <w:t>E．一个贯穿时间索引的例子</w:t>
      </w:r>
    </w:p>
    <w:p>
      <w:pPr>
        <w:snapToGrid w:val="0"/>
      </w:pPr>
      <w:r>
        <w:t>【教学例】L=3、T=2、当前t=10，已知数据到9。当前输入为7、8、9时刻，预测10、11时刻。历史起点t′=8的标签为8、9，可以用；t′=9的标签为9、10，其中10未知，不能用。选择候选时检查的是“标签末端是否已到达”，不能只看输入窗口是不是过去的。</w:t>
      </w:r>
    </w:p>
    <w:p>
      <w:pPr>
        <w:snapToGrid w:val="0"/>
      </w:pPr>
      <w:r>
        <w:t>若λ_T=6，则起点可在4～8中选，再执行周期筛选、近邻排序。这一例子直接回答“複数時刻の値が一度に入力されるか”：是，而且历史样本包含完整的多步未来标签。</w:t>
      </w:r>
    </w:p>
    <w:p>
      <w:pPr>
        <w:pStyle w:val="Heading3"/>
        <w:snapToGrid w:val="0"/>
      </w:pPr>
      <w:r>
        <w:t>F．本节结论</w:t>
      </w:r>
    </w:p>
    <w:p>
      <w:pPr>
        <w:pStyle w:val="ReportBullet"/>
        <w:keepNext/>
        <w:numPr>
          <w:ilvl w:val="0"/>
          <w:numId w:val="51"/>
        </w:numPr>
        <w:snapToGrid w:val="0"/>
      </w:pPr>
      <w:r>
        <w:t>三步筛选分别控制数据的时效性、周期位置和输入相似度。</w:t>
      </w:r>
    </w:p>
    <w:p>
      <w:pPr>
        <w:pStyle w:val="ReportBullet"/>
        <w:keepNext/>
        <w:numPr>
          <w:ilvl w:val="0"/>
          <w:numId w:val="51"/>
        </w:numPr>
        <w:snapToGrid w:val="0"/>
      </w:pPr>
      <w:r>
        <w:t>λ_N太小增加估计方差，太大可能混入不相关情境。</w:t>
      </w:r>
    </w:p>
    <w:p>
      <w:pPr>
        <w:pStyle w:val="ReportBullet"/>
        <w:numPr>
          <w:ilvl w:val="0"/>
          <w:numId w:val="51"/>
        </w:numPr>
        <w:snapToGrid w:val="0"/>
      </w:pPr>
      <w:r>
        <w:t>无合适候选、全新机制、周期不稳定时，方法可能无法有效适配；工程上需定义回退策略。</w:t>
      </w:r>
    </w:p>
    <w:p>
      <w:pPr>
        <w:pStyle w:val="Heading2"/>
        <w:snapToGrid w:val="0"/>
      </w:pPr>
      <w:r>
        <w:t>8　Theory：偏差和方差为什么需要折中？</w:t>
      </w:r>
    </w:p>
    <w:p>
      <w:pPr>
        <w:pStyle w:val="Heading3"/>
        <w:snapToGrid w:val="0"/>
      </w:pPr>
      <w:r>
        <w:t>A．在讲什么，为什么需要？</w:t>
      </w:r>
    </w:p>
    <w:p>
      <w:pPr>
        <w:snapToGrid w:val="0"/>
      </w:pPr>
      <w:r>
        <w:t>作者用固定设计的线性回归解释：一个参数适用于所有情境时，数据多、方差小，但可能长期偏离某些情境；每个情境单独训练时偏差减小，却更容易受少量样本噪声影响。这为“保留预训练模型，只做有限调整”提供动机。【论文：§6；补充：Appendix A】</w:t>
      </w:r>
    </w:p>
    <w:p>
      <w:pPr>
        <w:pStyle w:val="Heading3"/>
        <w:snapToGrid w:val="0"/>
      </w:pPr>
      <w:r>
        <w:t>B．关键假设与变量</w:t>
      </w:r>
    </w:p>
    <w:p>
      <w:pPr>
        <w:pStyle w:val="EquationText"/>
        <w:jc w:val="center"/>
        <w:snapToGrid w:val="0"/>
      </w:pPr>
      <w:r/>
      <m:oMath>
        <m:r>
          <m:t>Y_i = X_iθ_i + ε_i,　Ψ_i = X_iᵀX_i</m:t>
        </m:r>
      </m:oMath>
    </w:p>
    <w:p>
      <w:pPr>
        <w:snapToGrid w:val="0"/>
      </w:pPr>
      <w:r>
        <w:t>i=1,…,K为情境组，X_i为n_i×d的冻结特征矩阵，θ_i为该组真实参数，ε_i为零均值同方差噪声。证明使用独立噪声和相应可逆的Gram矩阵；每组若秩不足、强相关时序噪声未满足假设，结论不能原样移植。</w:t>
      </w:r>
    </w:p>
    <w:p>
      <w:pPr>
        <w:snapToGrid w:val="0"/>
      </w:pPr>
      <w:r>
        <w:t>全局回归 GLR 用一个θ̂拟合所有组；局部回归 CLR 每组单独估计θ̂_i。风险是在给定设计矩阵上的平方预测误差求和，不是任意未来分布上的逐样本OOD检出率。</w:t>
      </w:r>
    </w:p>
    <w:p>
      <w:pPr>
        <w:pStyle w:val="Heading3"/>
        <w:snapToGrid w:val="0"/>
      </w:pPr>
      <w:r>
        <w:t>C．两条核心结论</w:t>
      </w:r>
    </w:p>
    <w:p>
      <w:pPr>
        <w:pStyle w:val="EquationText"/>
        <w:jc w:val="center"/>
        <w:snapToGrid w:val="0"/>
      </w:pPr>
      <w:r/>
      <m:oMath>
        <m:r>
          <m:t>R_GLR−R* = Σ_i norm(θ̄−θ_i)²_(Ψ_i) + σ²d</m:t>
        </m:r>
      </m:oMath>
    </w:p>
    <w:p>
      <w:pPr>
        <w:pStyle w:val="EquationText"/>
        <w:jc w:val="center"/>
        <w:snapToGrid w:val="0"/>
      </w:pPr>
      <w:r/>
      <m:oMath>
        <m:r>
          <m:t>θ̄ = (Σ_i Ψ_i)⁻¹Σ_i Ψ_iθ_i,　norm(v)²_Ψ = vᵀΨv</m:t>
        </m:r>
      </m:oMath>
    </w:p>
    <w:p>
      <w:pPr>
        <w:snapToGrid w:val="0"/>
      </w:pPr>
      <w:r>
        <w:t>第一项是情境间参数不一致带来的偏差，第二项是估计方差。数据增多不自动解决“强行共享一个错误关系”的模型偏差。</w:t>
      </w:r>
    </w:p>
    <w:p>
      <w:pPr>
        <w:pStyle w:val="EquationText"/>
        <w:jc w:val="center"/>
        <w:snapToGrid w:val="0"/>
      </w:pPr>
      <w:r/>
      <m:oMath>
        <m:r>
          <m:t>R_CLR−R* = 0 + Kσ²d</m:t>
        </m:r>
      </m:oMath>
    </w:p>
    <w:p>
      <w:pPr>
        <w:snapToGrid w:val="0"/>
      </w:pPr>
      <w:r>
        <w:t>每组单独拟合在假设下无偏，但求和方差是K倍。不能把它解释成“无论每组样本量多少，单个未来样本的误差都固定K倍”，因为风险定义和设计矩阵权重很关键。</w:t>
      </w:r>
    </w:p>
    <w:p>
      <w:pPr>
        <w:pStyle w:val="Heading3"/>
        <w:snapToGrid w:val="0"/>
      </w:pPr>
      <w:r>
        <w:t>D．二维数值例与证明直觉</w:t>
      </w:r>
    </w:p>
    <w:p>
      <w:pPr>
        <w:snapToGrid w:val="0"/>
      </w:pPr>
      <w:r>
        <w:t>【教学例】两组 K=2，每组 X_i=I₂，θ₁=(1,0)，θ₂=(0,1)，σ²=0.1。全局平均θ̄=(0.5,0.5)，两组偏差平方和为0.5+0.5=1，方差为0.2，所以超额风险1.2。局部回归超额风险为2×0.1×2=0.4。这时分情境有利。</w:t>
      </w:r>
    </w:p>
    <w:p>
      <w:pPr>
        <w:snapToGrid w:val="0"/>
      </w:pPr>
      <w:r>
        <w:t>若θ₁=θ₂，则全局偏差为0，全局超额风险仅0.2，局部仍0.4。这时过度分组反而不利。</w:t>
      </w:r>
    </w:p>
    <w:p>
      <w:pPr>
        <w:snapToGrid w:val="0"/>
      </w:pPr>
      <w:r>
        <w:t>完整证明的主线是：把估计参数减去真实参数拆成“均值偏离”和“围绕均值的随机波动”；交叉项期望为0；再用 OLS 的期望与协方差，得到全局方差σ²d，每个局部组各贡献σ²d。无需逐行背矩阵迹运算，但必须记住它依赖线性、固定设计、噪声与可逆性假设。</w:t>
      </w:r>
    </w:p>
    <w:p>
      <w:pPr>
        <w:pStyle w:val="Heading3"/>
        <w:snapToGrid w:val="0"/>
      </w:pPr>
      <w:r>
        <w:t>E．理论真正支持到哪里？</w:t>
      </w:r>
    </w:p>
    <w:p>
      <w:pPr>
        <w:snapToGrid w:val="0"/>
      </w:pPr>
      <w:r>
        <w:t>论文给出了 GLR 与 CLR 两个端点的风险表达式，并据此建议限制微调幅度。它没有给出对实际深度网络、近邻情境选择、具体一步学习率η的统一最优性定理；“有限微调可取得好的折中”主要通过实验和超参数选择支持。</w:t>
      </w:r>
    </w:p>
    <w:p>
      <w:pPr>
        <w:pStyle w:val="ReportBullet"/>
        <w:keepNext/>
        <w:numPr>
          <w:ilvl w:val="0"/>
          <w:numId w:val="51"/>
        </w:numPr>
        <w:snapToGrid w:val="0"/>
      </w:pPr>
      <w:r>
        <w:t>理论解释为何上下文适配可能有效，也解释为何可能过拟合。</w:t>
      </w:r>
    </w:p>
    <w:p>
      <w:pPr>
        <w:pStyle w:val="ReportBullet"/>
        <w:keepNext/>
        <w:numPr>
          <w:ilvl w:val="0"/>
          <w:numId w:val="51"/>
        </w:numPr>
        <w:snapToGrid w:val="0"/>
      </w:pPr>
      <w:r>
        <w:t>不能据此承诺所有模型、全部情境都改善。</w:t>
      </w:r>
    </w:p>
    <w:p>
      <w:pPr>
        <w:pStyle w:val="ReportBullet"/>
        <w:numPr>
          <w:ilvl w:val="0"/>
          <w:numId w:val="51"/>
        </w:numPr>
        <w:snapToGrid w:val="0"/>
      </w:pPr>
      <w:r>
        <w:t>论文没有针对用户①②③三种输入异常给出检出保证。</w:t>
      </w:r>
    </w:p>
    <w:p>
      <w:pPr>
        <w:pStyle w:val="Heading2"/>
        <w:snapToGrid w:val="0"/>
      </w:pPr>
      <w:r>
        <w:t>9　Experiments：如何读懂结果，而不夸大检测能力？</w:t>
      </w:r>
    </w:p>
    <w:p>
      <w:pPr>
        <w:pStyle w:val="Heading3"/>
        <w:snapToGrid w:val="0"/>
      </w:pPr>
      <w:r>
        <w:t>A．实验在回答什么问题？</w:t>
      </w:r>
    </w:p>
    <w:p>
      <w:pPr>
        <w:snapToGrid w:val="0"/>
      </w:pPr>
      <w:r>
        <w:t>作者在8个真实时间序列数据集上比较7种预测模型的原始结果与加SOLID后的结果，预测长度为Illness的24、36、48、60周，其他数据的96、192、336、720个采样步。主要指标是MSE和MAE，越低越好。【论文：§7.1，Table 1、Table 3】</w:t>
      </w:r>
    </w:p>
    <w:p>
      <w:pPr>
        <w:snapToGrid w:val="0"/>
      </w:pPr>
      <w:r>
        <w:t>训练／验证／测试按时间顺序划分；ETT采用6:2:2的约定，其他7:1:2。适配超参数在验证集选择。测试过程中可用已经到达的历史观测适配，因此结果应理解为有历史标签反馈的逐样本适配协议，而不只是固定模型一次性批量预测。</w:t>
      </w:r>
    </w:p>
    <w:p>
      <w:pPr>
        <w:pStyle w:val="Heading3"/>
        <w:snapToGrid w:val="0"/>
      </w:pPr>
      <w:r>
        <w:t>B．指标与关键公式</w:t>
      </w:r>
    </w:p>
    <w:p>
      <w:pPr>
        <w:pStyle w:val="EquationText"/>
        <w:jc w:val="center"/>
        <w:snapToGrid w:val="0"/>
      </w:pPr>
      <w:r/>
      <m:oMath>
        <m:r>
          <m:t>MSE = mean((ŷ−y)²),　MAE = mean(abs(ŷ−y))</m:t>
        </m:r>
      </m:oMath>
    </w:p>
    <w:p>
      <w:pPr>
        <w:snapToGrid w:val="0"/>
      </w:pPr>
      <w:r>
        <w:t>平均包括被评价的测试窗口、预测步和输出通道。MSE更强调大误差，MAE较容易解释平均绝对偏离。标准化空间中的MSE不能直接当作真实压力单位的误差。</w:t>
      </w:r>
    </w:p>
    <w:p>
      <w:pPr>
        <w:pStyle w:val="EquationText"/>
        <w:jc w:val="center"/>
        <w:snapToGrid w:val="0"/>
      </w:pPr>
      <w:r/>
      <m:oMath>
        <m:r>
          <m:t>改善率 = 100 × (原指标−适配后指标)/原指标</m:t>
        </m:r>
      </m:oMath>
    </w:p>
    <w:p>
      <w:pPr>
        <w:snapToGrid w:val="0"/>
      </w:pPr>
      <w:r>
        <w:t>报告以下单项改善率由表中已四舍五入数值计算，因此与作者用更高精度或跨预测长度平均的改善率可能略有差别。不能混用“一个T的改善”和“四个T的平均改善”。</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300"/>
        <w:gridCol w:w="2200"/>
        <w:gridCol w:w="2200"/>
        <w:gridCol w:w="2660"/>
      </w:tblGrid>
      <w:tr>
        <w:trPr>
          <w:cantSplit/>
          <w:tblHeader/>
        </w:trPr>
        <w:tc>
          <w:tcPr>
            <w:tcW w:type="dxa" w:w="2300"/>
            <w:vAlign w:val="center"/>
            <w:shd w:fill="E8EEF5"/>
          </w:tcPr>
          <w:p>
            <w:pPr>
              <w:pStyle w:val="TableText"/>
              <w:keepNext/>
            </w:pPr>
            <w:r>
              <w:rPr>
                <w:b/>
                <w:color w:val="1F4D78"/>
              </w:rPr>
              <w:t>数据／模型／T</w:t>
            </w:r>
          </w:p>
        </w:tc>
        <w:tc>
          <w:tcPr>
            <w:tcW w:type="dxa" w:w="2200"/>
            <w:vAlign w:val="center"/>
            <w:shd w:fill="E8EEF5"/>
          </w:tcPr>
          <w:p>
            <w:pPr>
              <w:pStyle w:val="TableText"/>
              <w:keepNext/>
            </w:pPr>
            <w:r>
              <w:rPr>
                <w:b/>
                <w:color w:val="1F4D78"/>
              </w:rPr>
              <w:t>MSE 原→适配</w:t>
            </w:r>
          </w:p>
        </w:tc>
        <w:tc>
          <w:tcPr>
            <w:tcW w:type="dxa" w:w="2200"/>
            <w:vAlign w:val="center"/>
            <w:shd w:fill="E8EEF5"/>
          </w:tcPr>
          <w:p>
            <w:pPr>
              <w:pStyle w:val="TableText"/>
              <w:keepNext/>
            </w:pPr>
            <w:r>
              <w:rPr>
                <w:b/>
                <w:color w:val="1F4D78"/>
              </w:rPr>
              <w:t>MAE 原→适配</w:t>
            </w:r>
          </w:p>
        </w:tc>
        <w:tc>
          <w:tcPr>
            <w:tcW w:type="dxa" w:w="2660"/>
            <w:vAlign w:val="center"/>
            <w:shd w:fill="E8EEF5"/>
          </w:tcPr>
          <w:p>
            <w:pPr>
              <w:pStyle w:val="TableText"/>
              <w:keepNext/>
            </w:pPr>
            <w:r>
              <w:rPr>
                <w:b/>
                <w:color w:val="1F4D78"/>
              </w:rPr>
              <w:t>解读</w:t>
            </w:r>
          </w:p>
        </w:tc>
      </w:tr>
      <w:tr>
        <w:trPr>
          <w:cantSplit/>
        </w:trPr>
        <w:tc>
          <w:tcPr>
            <w:tcW w:type="dxa" w:w="2300"/>
            <w:vAlign w:val="center"/>
          </w:tcPr>
          <w:p>
            <w:pPr>
              <w:pStyle w:val="TableText"/>
              <w:keepNext/>
            </w:pPr>
            <w:r>
              <w:t>Illness／Informer／24</w:t>
            </w:r>
          </w:p>
        </w:tc>
        <w:tc>
          <w:tcPr>
            <w:tcW w:type="dxa" w:w="2200"/>
            <w:vAlign w:val="center"/>
          </w:tcPr>
          <w:p>
            <w:pPr>
              <w:pStyle w:val="TableText"/>
              <w:keepNext/>
            </w:pPr>
            <w:r>
              <w:t>5.096→2.874</w:t>
            </w:r>
          </w:p>
        </w:tc>
        <w:tc>
          <w:tcPr>
            <w:tcW w:type="dxa" w:w="2200"/>
            <w:vAlign w:val="center"/>
          </w:tcPr>
          <w:p>
            <w:pPr>
              <w:pStyle w:val="TableText"/>
              <w:keepNext/>
            </w:pPr>
            <w:r>
              <w:t>1.533→1.150</w:t>
            </w:r>
          </w:p>
        </w:tc>
        <w:tc>
          <w:tcPr>
            <w:tcW w:type="dxa" w:w="2660"/>
            <w:vAlign w:val="center"/>
          </w:tcPr>
          <w:p>
            <w:pPr>
              <w:pStyle w:val="TableText"/>
              <w:keepNext/>
            </w:pPr>
            <w:r>
              <w:t>单项MSE约改善43.6%，较弱基线收益较大。</w:t>
            </w:r>
          </w:p>
        </w:tc>
      </w:tr>
      <w:tr>
        <w:trPr>
          <w:cantSplit/>
        </w:trPr>
        <w:tc>
          <w:tcPr>
            <w:tcW w:type="dxa" w:w="2300"/>
            <w:vAlign w:val="center"/>
          </w:tcPr>
          <w:p>
            <w:pPr>
              <w:pStyle w:val="TableText"/>
              <w:keepNext/>
            </w:pPr>
            <w:r>
              <w:t>Traffic／Autoformer／96</w:t>
            </w:r>
          </w:p>
        </w:tc>
        <w:tc>
          <w:tcPr>
            <w:tcW w:type="dxa" w:w="2200"/>
            <w:vAlign w:val="center"/>
          </w:tcPr>
          <w:p>
            <w:pPr>
              <w:pStyle w:val="TableText"/>
              <w:keepNext/>
            </w:pPr>
            <w:r>
              <w:t>0.621→0.565</w:t>
            </w:r>
          </w:p>
        </w:tc>
        <w:tc>
          <w:tcPr>
            <w:tcW w:type="dxa" w:w="2200"/>
            <w:vAlign w:val="center"/>
          </w:tcPr>
          <w:p>
            <w:pPr>
              <w:pStyle w:val="TableText"/>
              <w:keepNext/>
            </w:pPr>
            <w:r>
              <w:t>0.391→0.376</w:t>
            </w:r>
          </w:p>
        </w:tc>
        <w:tc>
          <w:tcPr>
            <w:tcW w:type="dxa" w:w="2660"/>
            <w:vAlign w:val="center"/>
          </w:tcPr>
          <w:p>
            <w:pPr>
              <w:pStyle w:val="TableText"/>
              <w:keepNext/>
            </w:pPr>
            <w:r>
              <w:t>单项MSE约改善9.0%。</w:t>
            </w:r>
          </w:p>
        </w:tc>
      </w:tr>
      <w:tr>
        <w:trPr>
          <w:cantSplit/>
        </w:trPr>
        <w:tc>
          <w:tcPr>
            <w:tcW w:type="dxa" w:w="2300"/>
            <w:vAlign w:val="center"/>
          </w:tcPr>
          <w:p>
            <w:pPr>
              <w:pStyle w:val="TableText"/>
              <w:keepNext/>
            </w:pPr>
            <w:r>
              <w:t>Electricity／PatchTST／96</w:t>
            </w:r>
          </w:p>
        </w:tc>
        <w:tc>
          <w:tcPr>
            <w:tcW w:type="dxa" w:w="2200"/>
            <w:vAlign w:val="center"/>
          </w:tcPr>
          <w:p>
            <w:pPr>
              <w:pStyle w:val="TableText"/>
              <w:keepNext/>
            </w:pPr>
            <w:r>
              <w:t>0.134→0.132</w:t>
            </w:r>
          </w:p>
        </w:tc>
        <w:tc>
          <w:tcPr>
            <w:tcW w:type="dxa" w:w="2200"/>
            <w:vAlign w:val="center"/>
          </w:tcPr>
          <w:p>
            <w:pPr>
              <w:pStyle w:val="TableText"/>
              <w:keepNext/>
            </w:pPr>
            <w:r>
              <w:t>0.227→0.226</w:t>
            </w:r>
          </w:p>
        </w:tc>
        <w:tc>
          <w:tcPr>
            <w:tcW w:type="dxa" w:w="2660"/>
            <w:vAlign w:val="center"/>
          </w:tcPr>
          <w:p>
            <w:pPr>
              <w:pStyle w:val="TableText"/>
              <w:keepNext/>
            </w:pPr>
            <w:r>
              <w:t>单项MSE约改善1.5%，绝对差较小。</w:t>
            </w:r>
          </w:p>
        </w:tc>
      </w:tr>
      <w:tr>
        <w:trPr>
          <w:cantSplit/>
        </w:trPr>
        <w:tc>
          <w:tcPr>
            <w:tcW w:type="dxa" w:w="2300"/>
            <w:vAlign w:val="center"/>
          </w:tcPr>
          <w:p>
            <w:pPr>
              <w:pStyle w:val="TableText"/>
              <w:keepNext/>
            </w:pPr>
            <w:r>
              <w:t>ETTh2／DLinear／720</w:t>
            </w:r>
          </w:p>
        </w:tc>
        <w:tc>
          <w:tcPr>
            <w:tcW w:type="dxa" w:w="2200"/>
            <w:vAlign w:val="center"/>
          </w:tcPr>
          <w:p>
            <w:pPr>
              <w:pStyle w:val="TableText"/>
              <w:keepNext/>
            </w:pPr>
            <w:r>
              <w:t>0.698→0.415</w:t>
            </w:r>
          </w:p>
        </w:tc>
        <w:tc>
          <w:tcPr>
            <w:tcW w:type="dxa" w:w="2200"/>
            <w:vAlign w:val="center"/>
          </w:tcPr>
          <w:p>
            <w:pPr>
              <w:pStyle w:val="TableText"/>
              <w:keepNext/>
            </w:pPr>
            <w:r>
              <w:t>0.594→0.451</w:t>
            </w:r>
          </w:p>
        </w:tc>
        <w:tc>
          <w:tcPr>
            <w:tcW w:type="dxa" w:w="2660"/>
            <w:vAlign w:val="center"/>
          </w:tcPr>
          <w:p>
            <w:pPr>
              <w:pStyle w:val="TableText"/>
              <w:keepNext/>
            </w:pPr>
            <w:r>
              <w:t>单项MSE约改善40.5%，不能代表所有数据。</w:t>
            </w:r>
          </w:p>
        </w:tc>
      </w:tr>
      <w:tr>
        <w:trPr>
          <w:cantSplit/>
        </w:trPr>
        <w:tc>
          <w:tcPr>
            <w:tcW w:type="dxa" w:w="2300"/>
            <w:vAlign w:val="center"/>
          </w:tcPr>
          <w:p>
            <w:pPr>
              <w:pStyle w:val="TableText"/>
            </w:pPr>
            <w:r>
              <w:t>Weather／PatchTST／720</w:t>
            </w:r>
          </w:p>
        </w:tc>
        <w:tc>
          <w:tcPr>
            <w:tcW w:type="dxa" w:w="2200"/>
            <w:vAlign w:val="center"/>
          </w:tcPr>
          <w:p>
            <w:pPr>
              <w:pStyle w:val="TableText"/>
            </w:pPr>
            <w:r>
              <w:t>0.316→0.316</w:t>
            </w:r>
          </w:p>
        </w:tc>
        <w:tc>
          <w:tcPr>
            <w:tcW w:type="dxa" w:w="2200"/>
            <w:vAlign w:val="center"/>
          </w:tcPr>
          <w:p>
            <w:pPr>
              <w:pStyle w:val="TableText"/>
            </w:pPr>
            <w:r>
              <w:t>0.334→0.334</w:t>
            </w:r>
          </w:p>
        </w:tc>
        <w:tc>
          <w:tcPr>
            <w:tcW w:type="dxa" w:w="2660"/>
            <w:vAlign w:val="center"/>
          </w:tcPr>
          <w:p>
            <w:pPr>
              <w:pStyle w:val="TableText"/>
            </w:pPr>
            <w:r>
              <w:t>公布精度下相同，不能声称每个单元格严格改善。</w:t>
            </w:r>
          </w:p>
        </w:tc>
      </w:tr>
    </w:tbl>
    <w:p>
      <w:pPr>
        <w:spacing w:after="0"/>
        <w:snapToGrid w:val="0"/>
      </w:pPr>
    </w:p>
    <w:p>
      <w:pPr>
        <w:snapToGrid w:val="0"/>
      </w:pPr>
      <w:r>
        <w:t>作者按强周期情境影响的情况汇总，报告Illness、Traffic、Electricity的平均MSE改善约15.1%、9.9%、8.7%。这是所选情况的平均收益，不是全部模型、全部数据的统一改善率。【论文：§7.2.1】</w:t>
      </w:r>
    </w:p>
    <w:p>
      <w:pPr>
        <w:pStyle w:val="Heading3"/>
        <w:snapToGrid w:val="0"/>
      </w:pPr>
      <w:r>
        <w:t>C．89.3%到底是哪一种“准确率”？</w:t>
      </w:r>
    </w:p>
    <w:p>
      <w:pPr>
        <w:snapToGrid w:val="0"/>
      </w:pPr>
      <w:r>
        <w:t>作者把“SOLID后MAE改善是否超过1%”作为模型—数据集组合层面的二分类目标，用log10δ_P≥−3.2预测其是否值得适配。56个组合中预测正确50个，准确率89.3%；排除Informer后48个组合中正确45个，为93.8%。56=8个数据集×7个模型，而不是56条时序样本。【论文：§7.2.2】</w:t>
      </w:r>
    </w:p>
    <w:p>
      <w:pPr>
        <w:snapToGrid w:val="0"/>
      </w:pPr>
      <w:r>
        <w:t>该结果没有提供逐输入的异常真值，没有给出异常召回率、正常误报率或ROC曲线。经验阈值如何通过独立数据确定与验证没有完整说明。因此“作者证明89.3%的OOD都能检测”是错误表述。</w:t>
      </w:r>
    </w:p>
    <w:p>
      <w:pPr>
        <w:pStyle w:val="Heading3"/>
        <w:snapToGrid w:val="0"/>
      </w:pPr>
      <w:r>
        <w:t>D．相关性：诊断分数能否预示适配收益？</w:t>
      </w:r>
    </w:p>
    <w:p>
      <w:pPr>
        <w:snapToGrid w:val="0"/>
      </w:pPr>
      <w:r>
        <w:t>排除Informer后，δ_P与MAE改善的Spearman秩相关系数为0.7998；δ_T对应值仅0.2129。Spearman关注排序是否一致，不说明因果，也不意味着每增加一个单位分数就改善固定比例。【论文：Fig.4，Appendix C.3／Fig.7】</w:t>
      </w:r>
    </w:p>
    <w:p>
      <w:pPr>
        <w:snapToGrid w:val="0"/>
      </w:pPr>
      <w:r>
        <w:t>作者猜测周期模式更容易找到可迁移的同情境样本，时间段内则更复杂。这是解释性假说，尚未完整验证。高δ_T却收益不明显，是本方法的实际限制，而不是应删除的反例。</w:t>
      </w:r>
    </w:p>
    <w:p>
      <w:pPr>
        <w:pStyle w:val="Heading3"/>
        <w:snapToGrid w:val="0"/>
      </w:pPr>
      <w:r>
        <w:t>E．本节结论</w:t>
      </w:r>
    </w:p>
    <w:p>
      <w:pPr>
        <w:pStyle w:val="ReportBullet"/>
        <w:keepNext/>
        <w:numPr>
          <w:ilvl w:val="0"/>
          <w:numId w:val="51"/>
        </w:numPr>
        <w:snapToGrid w:val="0"/>
      </w:pPr>
      <w:r>
        <w:t>主结果评价的是预测改善；检测评价是“适配是否有收益”的间接评价。</w:t>
      </w:r>
    </w:p>
    <w:p>
      <w:pPr>
        <w:pStyle w:val="ReportBullet"/>
        <w:keepNext/>
        <w:numPr>
          <w:ilvl w:val="0"/>
          <w:numId w:val="51"/>
        </w:numPr>
        <w:snapToGrid w:val="0"/>
      </w:pPr>
      <w:r>
        <w:t>强基线在部分数据上的提升很小；需要关注绝对误差、代价和实际容忍度。</w:t>
      </w:r>
    </w:p>
    <w:p>
      <w:pPr>
        <w:pStyle w:val="ReportBullet"/>
        <w:numPr>
          <w:ilvl w:val="0"/>
          <w:numId w:val="51"/>
        </w:numPr>
        <w:snapToGrid w:val="0"/>
      </w:pPr>
      <w:r>
        <w:t>论文未提供足够的随机重复、误差条与显著性分析来判断所有微小改进是否稳定。</w:t>
      </w:r>
    </w:p>
    <w:p>
      <w:pPr>
        <w:pStyle w:val="Heading2"/>
        <w:snapToGrid w:val="0"/>
      </w:pPr>
      <w:r>
        <w:t>10　消融、速度与附录：哪些组件确实有用？</w:t>
      </w:r>
    </w:p>
    <w:p>
      <w:pPr>
        <w:pStyle w:val="Heading3"/>
        <w:snapToGrid w:val="0"/>
      </w:pPr>
      <w:r>
        <w:t>A．作者为什么做这些实验？</w:t>
      </w:r>
    </w:p>
    <w:p>
      <w:pPr>
        <w:snapToGrid w:val="0"/>
      </w:pPr>
      <w:r>
        <w:t>仅看到SOLID整体有效，还不能知道来自最近历史、周期筛选、相似性，还是单纯增加更新。消融逐项加入T（时间段）、P（周期）、S（相似性），并比较预测层适配和全模型适配。【论文：§7.3，Fig.5；补充：Table 4、Table 7】</w:t>
      </w:r>
    </w:p>
    <w:p>
      <w:pPr>
        <w:pStyle w:val="Heading3"/>
        <w:snapToGrid w:val="0"/>
      </w:pPr>
      <w:r>
        <w:t>B．可以直接核对的例子</w:t>
      </w:r>
    </w:p>
    <w:p>
      <w:pPr>
        <w:snapToGrid w:val="0"/>
      </w:pPr>
      <w:r>
        <w:t>Autoformer／Illness的MSE：基础3.314，T为3.333，T+P为2.981，T+P+S为2.737。只取最近样本并不一定改善，周期筛选与相似性帮助避开不合适历史。作者总体强调组件有效，但不能把它改写为“任何步骤对任何模型都严格改善”。</w:t>
      </w:r>
    </w:p>
    <w:p>
      <w:pPr>
        <w:snapToGrid w:val="0"/>
      </w:pPr>
      <w:r>
        <w:t>Autoformer／Illness预测层适配MSE为2.737，全模型适配为2.891；Traffic分别为0.565与0.597。有限历史样本下调整较少参数可能更稳定，且减少反向传播成本。具体结果不证明所有架构都必须只调最后一层。</w:t>
      </w:r>
    </w:p>
    <w:p>
      <w:pPr>
        <w:snapToGrid w:val="0"/>
      </w:pPr>
      <w:r>
        <w:t>RevIN／Dish-TS与SOLID可组合。例如Autoformer／Electricity，SOLID单独MSE为0.189，SOLID+RevIN为0.176，SOLID+Dish-TS为0.162（对应该比较设置）。比较时需保留训练配置；这不是三个直接OOD检测器的公平检出率排名。【论文：Fig.5(d)(e)；补充：Table 5、Table 6】</w:t>
      </w:r>
    </w:p>
    <w:p>
      <w:pPr>
        <w:pStyle w:val="Heading3"/>
        <w:snapToGrid w:val="0"/>
      </w:pPr>
      <w:r>
        <w:t>C．速度：吞吐量下降不等于相同比例的耗时增加</w:t>
      </w:r>
    </w:p>
    <w:p>
      <w:pPr>
        <w:snapToGrid w:val="0"/>
      </w:pPr>
      <w:r>
        <w:t>Fig.5(f)中FEDformer／ETTh1的吞吐量从185降到146 samples/s，保留约78.9%的速度；按倒数换算，单位样本平均耗时约增加26.7%。Traffic从52降到40，单位样本耗时约增加30%。作者概括约20%的额外开销，但图中速度约0.77～0.79倍对应时间约1.27～1.30倍，需要区分分母。</w:t>
      </w:r>
    </w:p>
    <w:p>
      <w:pPr>
        <w:snapToGrid w:val="0"/>
      </w:pPr>
      <w:r>
        <w:t>这些是特定实验的吞吐量结果，不是P95/P99延迟或社内CPU实时性保证。论文未给出足够完整的硬件、缓存配置和端到端计时边界，不能仅凭samples/s断言适用于毫秒级控制闭环。</w:t>
      </w:r>
    </w:p>
    <w:p>
      <w:pPr>
        <w:snapToGrid w:val="0"/>
      </w:pPr>
      <w:r>
        <w:t>Reconditionor按论文在训练后做一次离线诊断，部署不必每次重算。SOLID则每条输入都要选样本和更新预测头，可缓存冻结特征降低成本。</w:t>
      </w:r>
    </w:p>
    <w:p>
      <w:pPr>
        <w:pStyle w:val="Heading3"/>
        <w:snapToGrid w:val="0"/>
      </w:pPr>
      <w:r>
        <w:t>D．参数敏感度与可视化</w:t>
      </w:r>
    </w:p>
    <w:p>
      <w:pPr>
        <w:snapToGrid w:val="0"/>
      </w:pPr>
      <w:r>
        <w:t>正式版Table 2：除Illness外λ_T搜索500、1000、2000；Illness为100、200、300。λ_P统一搜索0.02、0.05、0.1。λ_N一般5、10、20，Illness为2、3、5。适配学习率以训练学习率的倍数搜索，Electricity、Traffic的倍数尤其大，不能将“1000倍”误读成绝对学习率1000。</w:t>
      </w:r>
    </w:p>
    <w:p>
      <w:pPr>
        <w:snapToGrid w:val="0"/>
      </w:pPr>
      <w:r>
        <w:t>Fig.8在Illness与Traffic展示参数敏感度：作者认为λ_T、λ_P在测试范围内相对稳定；λ_N过少或过多均可能变差，学习率过小纠偏不足、过大易过拟合。这只是已测数据上的经验，不能推广为无需调参。</w:t>
      </w:r>
    </w:p>
    <w:p>
      <w:pPr>
        <w:snapToGrid w:val="0"/>
      </w:pPr>
      <w:r>
        <w:t>Fig.6用PCA展示不同时间／相位的表示分布。PCA投影能展示某些差异，不能保证完整保留原始几何，也不能仅从不同颜色分开就证明P(Y｜X,C)不同。Fig.9是选取案例的预测曲线，不代表随机测试样本的全部分布。</w:t>
      </w:r>
    </w:p>
    <w:p>
      <w:pPr>
        <w:pStyle w:val="Heading3"/>
        <w:snapToGrid w:val="0"/>
      </w:pPr>
      <w:r>
        <w:t>E．本节结论</w:t>
      </w:r>
    </w:p>
    <w:p>
      <w:pPr>
        <w:pStyle w:val="ReportBullet"/>
        <w:keepNext/>
        <w:numPr>
          <w:ilvl w:val="0"/>
          <w:numId w:val="51"/>
        </w:numPr>
        <w:snapToGrid w:val="0"/>
      </w:pPr>
      <w:r>
        <w:t>T+P+S的效果需要共同理解；仅“最近的过去”可能有害。</w:t>
      </w:r>
    </w:p>
    <w:p>
      <w:pPr>
        <w:pStyle w:val="ReportBullet"/>
        <w:keepNext/>
        <w:numPr>
          <w:ilvl w:val="0"/>
          <w:numId w:val="51"/>
        </w:numPr>
        <w:snapToGrid w:val="0"/>
      </w:pPr>
      <w:r>
        <w:t>预测层适配在展示的比较中有优势，但需要验证实际模型接口。</w:t>
      </w:r>
    </w:p>
    <w:p>
      <w:pPr>
        <w:pStyle w:val="ReportBullet"/>
        <w:numPr>
          <w:ilvl w:val="0"/>
          <w:numId w:val="51"/>
        </w:numPr>
        <w:snapToGrid w:val="0"/>
      </w:pPr>
      <w:r>
        <w:t>速度代价必须与预测改善一起评价，尤其是收益很小的数据集。</w:t>
      </w:r>
    </w:p>
    <w:p>
      <w:pPr>
        <w:pStyle w:val="Heading2"/>
        <w:snapToGrid w:val="0"/>
      </w:pPr>
      <w:r>
        <w:t>11　公开实现核对：哪些细节影响复现？</w:t>
      </w:r>
    </w:p>
    <w:p>
      <w:pPr>
        <w:snapToGrid w:val="0"/>
      </w:pPr>
      <w:r>
        <w:t>本次阅读作者仓库提交3c74e5f8b3c921a2e7cda30f36117c295bf8c112，重点为reconditionor/calc_distribution.py、exp/exp_main.py、data_provider/data_loader.py、data_factory.py与PatchTST脚本。以下是代码阅读结论，不是完整执行审计；没有复现论文数值。【代码：C1–C5】</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项目</w:t>
            </w:r>
          </w:p>
        </w:tc>
        <w:tc>
          <w:tcPr>
            <w:tcW w:type="dxa" w:w="3500"/>
            <w:vAlign w:val="center"/>
            <w:shd w:fill="E8EEF5"/>
          </w:tcPr>
          <w:p>
            <w:pPr>
              <w:pStyle w:val="TableText"/>
            </w:pPr>
            <w:r>
              <w:rPr>
                <w:b/>
                <w:color w:val="1F4D78"/>
              </w:rPr>
              <w:t>论文描述</w:t>
            </w:r>
          </w:p>
        </w:tc>
        <w:tc>
          <w:tcPr>
            <w:tcW w:type="dxa" w:w="3810"/>
            <w:vAlign w:val="center"/>
            <w:shd w:fill="E8EEF5"/>
          </w:tcPr>
          <w:p>
            <w:pPr>
              <w:pStyle w:val="TableText"/>
            </w:pPr>
            <w:r>
              <w:rPr>
                <w:b/>
                <w:color w:val="1F4D78"/>
              </w:rPr>
              <w:t>公开实现与影响</w:t>
            </w:r>
          </w:p>
        </w:tc>
      </w:tr>
      <w:tr>
        <w:trPr>
          <w:cantSplit/>
        </w:trPr>
        <w:tc>
          <w:tcPr>
            <w:tcW w:type="dxa" w:w="2050"/>
            <w:vAlign w:val="center"/>
          </w:tcPr>
          <w:p>
            <w:pPr>
              <w:pStyle w:val="TableText"/>
            </w:pPr>
            <w:r>
              <w:t>残差分布估计</w:t>
            </w:r>
          </w:p>
        </w:tc>
        <w:tc>
          <w:tcPr>
            <w:tcW w:type="dxa" w:w="3500"/>
            <w:vAlign w:val="center"/>
          </w:tcPr>
          <w:p>
            <w:pPr>
              <w:pStyle w:val="TableText"/>
            </w:pPr>
            <w:r>
              <w:t>Algorithm 1：高斯均值／方差的KL。</w:t>
            </w:r>
          </w:p>
        </w:tc>
        <w:tc>
          <w:tcPr>
            <w:tcW w:type="dxa" w:w="3810"/>
            <w:vAlign w:val="center"/>
          </w:tcPr>
          <w:p>
            <w:pPr>
              <w:pStyle w:val="TableText"/>
            </w:pPr>
            <w:r>
              <w:t>calc_distribution.py使用约50箱直方图与scipy.stats.entropy；分数与高斯估计器可能不同。</w:t>
            </w:r>
          </w:p>
        </w:tc>
      </w:tr>
      <w:tr>
        <w:trPr>
          <w:cantSplit/>
        </w:trPr>
        <w:tc>
          <w:tcPr>
            <w:tcW w:type="dxa" w:w="2050"/>
            <w:vAlign w:val="center"/>
          </w:tcPr>
          <w:p>
            <w:pPr>
              <w:pStyle w:val="TableText"/>
            </w:pPr>
            <w:r>
              <w:t>多变量／多步聚合</w:t>
            </w:r>
          </w:p>
        </w:tc>
        <w:tc>
          <w:tcPr>
            <w:tcW w:type="dxa" w:w="3500"/>
            <w:vAlign w:val="center"/>
          </w:tcPr>
          <w:p>
            <w:pPr>
              <w:pStyle w:val="TableText"/>
            </w:pPr>
            <w:r>
              <w:t>残差是预测矩阵；算法以分布记号表示。</w:t>
            </w:r>
          </w:p>
        </w:tc>
        <w:tc>
          <w:tcPr>
            <w:tcW w:type="dxa" w:w="3810"/>
            <w:vAlign w:val="center"/>
          </w:tcPr>
          <w:p>
            <w:pPr>
              <w:pStyle w:val="TableText"/>
            </w:pPr>
            <w:r>
              <w:t>脚本将预测步、通道、样本flatten后估计一维分布，可能掩盖通道间差异。</w:t>
            </w:r>
          </w:p>
        </w:tc>
      </w:tr>
      <w:tr>
        <w:trPr>
          <w:cantSplit/>
        </w:trPr>
        <w:tc>
          <w:tcPr>
            <w:tcW w:type="dxa" w:w="2050"/>
            <w:vAlign w:val="center"/>
          </w:tcPr>
          <w:p>
            <w:pPr>
              <w:pStyle w:val="TableText"/>
            </w:pPr>
            <w:r>
              <w:t>情境分组</w:t>
            </w:r>
          </w:p>
        </w:tc>
        <w:tc>
          <w:tcPr>
            <w:tcW w:type="dxa" w:w="3500"/>
            <w:vAlign w:val="center"/>
          </w:tcPr>
          <w:p>
            <w:pPr>
              <w:pStyle w:val="TableText"/>
            </w:pPr>
            <w:r>
              <w:t>δ_P为周期，δ_T为五时间段。</w:t>
            </w:r>
          </w:p>
        </w:tc>
        <w:tc>
          <w:tcPr>
            <w:tcW w:type="dxa" w:w="3810"/>
            <w:vAlign w:val="center"/>
          </w:tcPr>
          <w:p>
            <w:pPr>
              <w:pStyle w:val="TableText"/>
            </w:pPr>
            <w:r>
              <w:t>所读脚本直接实现周期分组；默认仅Illness／PatchTST，需修改配置；未定位完整δ_T计算入口。</w:t>
            </w:r>
          </w:p>
        </w:tc>
      </w:tr>
      <w:tr>
        <w:trPr>
          <w:cantSplit/>
        </w:trPr>
        <w:tc>
          <w:tcPr>
            <w:tcW w:type="dxa" w:w="2050"/>
            <w:vAlign w:val="center"/>
          </w:tcPr>
          <w:p>
            <w:pPr>
              <w:pStyle w:val="TableText"/>
            </w:pPr>
            <w:r>
              <w:t>周期估计</w:t>
            </w:r>
          </w:p>
        </w:tc>
        <w:tc>
          <w:tcPr>
            <w:tcW w:type="dxa" w:w="3500"/>
            <w:vAlign w:val="center"/>
          </w:tcPr>
          <w:p>
            <w:pPr>
              <w:pStyle w:val="TableText"/>
            </w:pPr>
            <w:r>
              <w:t>Eq.(3)通过FFT选主周期。</w:t>
            </w:r>
          </w:p>
        </w:tc>
        <w:tc>
          <w:tcPr>
            <w:tcW w:type="dxa" w:w="3810"/>
            <w:vAlign w:val="center"/>
          </w:tcPr>
          <w:p>
            <w:pPr>
              <w:pStyle w:val="TableText"/>
            </w:pPr>
            <w:r>
              <w:t>按数据名称预设24／96／144／52等；适配Illness与检测周期值略有不同。</w:t>
            </w:r>
          </w:p>
        </w:tc>
      </w:tr>
      <w:tr>
        <w:trPr>
          <w:cantSplit/>
        </w:trPr>
        <w:tc>
          <w:tcPr>
            <w:tcW w:type="dxa" w:w="2050"/>
            <w:vAlign w:val="center"/>
          </w:tcPr>
          <w:p>
            <w:pPr>
              <w:pStyle w:val="TableText"/>
            </w:pPr>
            <w:r>
              <w:t>相位相近</w:t>
            </w:r>
          </w:p>
        </w:tc>
        <w:tc>
          <w:tcPr>
            <w:tcW w:type="dxa" w:w="3500"/>
            <w:vAlign w:val="center"/>
          </w:tcPr>
          <w:p>
            <w:pPr>
              <w:pStyle w:val="TableText"/>
            </w:pPr>
            <w:r>
              <w:t>绝对相位差／周期。</w:t>
            </w:r>
          </w:p>
        </w:tc>
        <w:tc>
          <w:tcPr>
            <w:tcW w:type="dxa" w:w="3810"/>
            <w:vAlign w:val="center"/>
          </w:tcPr>
          <w:p>
            <w:pPr>
              <w:pStyle w:val="TableText"/>
            </w:pPr>
            <w:r>
              <w:t>主路径使用时间差取模，非同一表达式；边界候选会不同。</w:t>
            </w:r>
          </w:p>
        </w:tc>
      </w:tr>
      <w:tr>
        <w:trPr>
          <w:cantSplit/>
        </w:trPr>
        <w:tc>
          <w:tcPr>
            <w:tcW w:type="dxa" w:w="2050"/>
            <w:vAlign w:val="center"/>
          </w:tcPr>
          <w:p>
            <w:pPr>
              <w:pStyle w:val="TableText"/>
            </w:pPr>
            <w:r>
              <w:t>历史范围</w:t>
            </w:r>
          </w:p>
        </w:tc>
        <w:tc>
          <w:tcPr>
            <w:tcW w:type="dxa" w:w="3500"/>
            <w:vAlign w:val="center"/>
          </w:tcPr>
          <w:p>
            <w:pPr>
              <w:pStyle w:val="TableText"/>
            </w:pPr>
            <w:r>
              <w:t>t−λ_T到t−T。</w:t>
            </w:r>
          </w:p>
        </w:tc>
        <w:tc>
          <w:tcPr>
            <w:tcW w:type="dxa" w:w="3810"/>
            <w:vAlign w:val="center"/>
          </w:tcPr>
          <w:p>
            <w:pPr>
              <w:pStyle w:val="TableText"/>
            </w:pPr>
            <w:r>
              <w:t>test_train_num是候选数，最早起点约t−T−K+1；不是同一参数语义。</w:t>
            </w:r>
          </w:p>
        </w:tc>
      </w:tr>
      <w:tr>
        <w:trPr>
          <w:cantSplit/>
        </w:trPr>
        <w:tc>
          <w:tcPr>
            <w:tcW w:type="dxa" w:w="2050"/>
            <w:vAlign w:val="center"/>
          </w:tcPr>
          <w:p>
            <w:pPr>
              <w:pStyle w:val="TableText"/>
            </w:pPr>
            <w:r>
              <w:t>样本适配状态</w:t>
            </w:r>
          </w:p>
        </w:tc>
        <w:tc>
          <w:tcPr>
            <w:tcW w:type="dxa" w:w="3500"/>
            <w:vAlign w:val="center"/>
          </w:tcPr>
          <w:p>
            <w:pPr>
              <w:pStyle w:val="TableText"/>
            </w:pPr>
            <w:r>
              <w:t>每条样本适配。</w:t>
            </w:r>
          </w:p>
        </w:tc>
        <w:tc>
          <w:tcPr>
            <w:tcW w:type="dxa" w:w="3810"/>
            <w:vAlign w:val="center"/>
          </w:tcPr>
          <w:p>
            <w:pPr>
              <w:pStyle w:val="TableText"/>
            </w:pPr>
            <w:r>
              <w:t>每次复制基础模型，冻结其余层，不累积上次局部参数。</w:t>
            </w:r>
          </w:p>
        </w:tc>
      </w:tr>
      <w:tr>
        <w:trPr>
          <w:cantSplit/>
        </w:trPr>
        <w:tc>
          <w:tcPr>
            <w:tcW w:type="dxa" w:w="2050"/>
            <w:vAlign w:val="center"/>
          </w:tcPr>
          <w:p>
            <w:pPr>
              <w:pStyle w:val="TableText"/>
            </w:pPr>
            <w:r>
              <w:t>更新强度</w:t>
            </w:r>
          </w:p>
        </w:tc>
        <w:tc>
          <w:tcPr>
            <w:tcW w:type="dxa" w:w="3500"/>
            <w:vAlign w:val="center"/>
          </w:tcPr>
          <w:p>
            <w:pPr>
              <w:pStyle w:val="TableText"/>
            </w:pPr>
            <w:r>
              <w:t>少步梯度下降、一个epoch。</w:t>
            </w:r>
          </w:p>
        </w:tc>
        <w:tc>
          <w:tcPr>
            <w:tcW w:type="dxa" w:w="3810"/>
            <w:vAlign w:val="center"/>
          </w:tcPr>
          <w:p>
            <w:pPr>
              <w:pStyle w:val="TableText"/>
            </w:pPr>
            <w:r>
              <w:t>主非AMP路径累加选中样本梯度后手动更新预测层；学习率依赖梯度求和约定。</w:t>
            </w:r>
          </w:p>
        </w:tc>
      </w:tr>
      <w:tr>
        <w:trPr>
          <w:cantSplit/>
        </w:trPr>
        <w:tc>
          <w:tcPr>
            <w:tcW w:type="dxa" w:w="2050"/>
            <w:vAlign w:val="center"/>
          </w:tcPr>
          <w:p>
            <w:pPr>
              <w:pStyle w:val="TableText"/>
            </w:pPr>
            <w:r>
              <w:t>演示配置</w:t>
            </w:r>
          </w:p>
        </w:tc>
        <w:tc>
          <w:tcPr>
            <w:tcW w:type="dxa" w:w="3500"/>
            <w:vAlign w:val="center"/>
          </w:tcPr>
          <w:p>
            <w:pPr>
              <w:pStyle w:val="TableText"/>
            </w:pPr>
            <w:r>
              <w:t>README建议参数。</w:t>
            </w:r>
          </w:p>
        </w:tc>
        <w:tc>
          <w:tcPr>
            <w:tcW w:type="dxa" w:w="3810"/>
            <w:vAlign w:val="center"/>
          </w:tcPr>
          <w:p>
            <w:pPr>
              <w:pStyle w:val="TableText"/>
            </w:pPr>
            <w:r>
              <w:t>README示例倍率10；etth1.sh当前为100，仅T=96启用。不可直接当作Table 1全部设置。</w:t>
            </w:r>
          </w:p>
        </w:tc>
      </w:tr>
      <w:tr>
        <w:trPr>
          <w:cantSplit/>
        </w:trPr>
        <w:tc>
          <w:tcPr>
            <w:tcW w:type="dxa" w:w="2050"/>
            <w:vAlign w:val="center"/>
          </w:tcPr>
          <w:p>
            <w:pPr>
              <w:pStyle w:val="TableText"/>
            </w:pPr>
            <w:r>
              <w:t>脚本路径</w:t>
            </w:r>
          </w:p>
        </w:tc>
        <w:tc>
          <w:tcPr>
            <w:tcW w:type="dxa" w:w="3500"/>
            <w:vAlign w:val="center"/>
          </w:tcPr>
          <w:p>
            <w:pPr>
              <w:pStyle w:val="TableText"/>
            </w:pPr>
            <w:r>
              <w:t>README示例ETTh1.sh。</w:t>
            </w:r>
          </w:p>
        </w:tc>
        <w:tc>
          <w:tcPr>
            <w:tcW w:type="dxa" w:w="3810"/>
            <w:vAlign w:val="center"/>
          </w:tcPr>
          <w:p>
            <w:pPr>
              <w:pStyle w:val="TableText"/>
            </w:pPr>
            <w:r>
              <w:t>实际为小写etth1.sh，Linux执行时应使用真实路径。</w:t>
            </w:r>
          </w:p>
        </w:tc>
      </w:tr>
    </w:tbl>
    <w:p>
      <w:pPr>
        <w:spacing w:after="0"/>
        <w:snapToGrid w:val="0"/>
      </w:pPr>
    </w:p>
    <w:p>
      <w:pPr>
        <w:snapToGrid w:val="0"/>
      </w:pPr>
      <w:r>
        <w:t>【分析】直方图组内截取为完整周期，而总体残差使用全部值，包括可能不完整的最后一周期。代码以等权平均各相位KL。这与理想有限样本联合分布的一致加权也存在细节差异，应在实现前固定规则。常量残差时分箱宽度为0等边界需要另外处理。</w:t>
      </w:r>
    </w:p>
    <w:p>
      <w:pPr>
        <w:snapToGrid w:val="0"/>
      </w:pPr>
      <w:r>
        <w:t>【分析】训练残差是训练后对训练集重新预测得到的，不是out-of-fold残差。过拟合可使训练诊断过于乐观；若改用按时间前推的验证残差，需重新确定分数和阈值，而不能直接借用−3.2。</w:t>
      </w:r>
    </w:p>
    <w:p>
      <w:pPr>
        <w:pStyle w:val="Heading2"/>
        <w:snapToGrid w:val="0"/>
      </w:pPr>
      <w:r>
        <w:t>12　Conclusion：论文的贡献与能支持的边界</w:t>
      </w:r>
    </w:p>
    <w:p>
      <w:pPr>
        <w:pStyle w:val="Heading3"/>
        <w:snapToGrid w:val="0"/>
      </w:pPr>
      <w:r>
        <w:t>A．作者的结论</w:t>
      </w:r>
    </w:p>
    <w:p>
      <w:pPr>
        <w:snapToGrid w:val="0"/>
      </w:pPr>
      <w:r>
        <w:t>本文提出情境驱动分布变化的视角，结合残差诊断和逐样本预测层适配，并在8个数据集、7种预测模型上展示改善。作者承认额外计算开销，以及未观测情境的检测仍待研究。【论文：§8】</w:t>
      </w:r>
    </w:p>
    <w:p>
      <w:pPr>
        <w:pStyle w:val="Heading3"/>
        <w:snapToGrid w:val="0"/>
      </w:pPr>
      <w:r>
        <w:t>B．本研究应保留的判断</w:t>
      </w:r>
    </w:p>
    <w:p>
      <w:pPr>
        <w:snapToGrid w:val="0"/>
      </w:pPr>
      <w:r>
        <w:t>它补充了前两篇不充分覆盖的维度：多步时序预测、真实标签到达后的误差诊断、模型主动适配。但它不能替代只用当前输入就要触发的OOD报警，也不能为未经观测的新工况直接生成可信的适配样本。</w:t>
      </w:r>
    </w:p>
    <w:p>
      <w:pPr>
        <w:pStyle w:val="Heading3"/>
        <w:snapToGrid w:val="0"/>
      </w:pPr>
      <w:r>
        <w:t>C．两个重要识别限制</w:t>
      </w:r>
    </w:p>
    <w:p>
      <w:pPr>
        <w:snapToGrid w:val="0"/>
      </w:pPr>
      <w:r>
        <w:t>【分析】δ&gt;0并不充分证明Definition 1的CDS。若Y=X²且C只是X取值区域的标记，P(Y｜X,C)=P(Y｜X)，但一个欠拟合的常数模型可能在不同区域有不同残差分布。此时分数测到的是模型误差异质性，而非定义上的额外情境影响。</w:t>
      </w:r>
    </w:p>
    <w:p>
      <w:pPr>
        <w:snapToGrid w:val="0"/>
      </w:pPr>
      <w:r>
        <w:t>【分析】即使条件均值已预测正确，不同情境噪声方差不同也会有δ&gt;0；改变点预测头不一定降低不可约噪声。因此应结合分组残差均值、方差与实际适配收益判断。</w:t>
      </w:r>
    </w:p>
    <w:p>
      <w:pPr>
        <w:pStyle w:val="Heading3"/>
        <w:snapToGrid w:val="0"/>
      </w:pPr>
      <w:r>
        <w:t>D．本节结论</w:t>
      </w:r>
    </w:p>
    <w:p>
      <w:pPr>
        <w:pStyle w:val="ReportBullet"/>
        <w:keepNext/>
        <w:numPr>
          <w:ilvl w:val="0"/>
          <w:numId w:val="51"/>
        </w:numPr>
        <w:snapToGrid w:val="0"/>
      </w:pPr>
      <w:r>
        <w:t>可以把本文归入“残差依赖性による文脈診断＋テスト時適応”。</w:t>
      </w:r>
    </w:p>
    <w:p>
      <w:pPr>
        <w:pStyle w:val="ReportBullet"/>
        <w:keepNext/>
        <w:numPr>
          <w:ilvl w:val="0"/>
          <w:numId w:val="51"/>
        </w:numPr>
        <w:snapToGrid w:val="0"/>
      </w:pPr>
      <w:r>
        <w:t>当前输入OOD检测、事后误差诊断、模型适配是三个不同任务，应分列。</w:t>
      </w:r>
    </w:p>
    <w:p>
      <w:pPr>
        <w:pStyle w:val="ReportBullet"/>
        <w:numPr>
          <w:ilvl w:val="0"/>
          <w:numId w:val="51"/>
        </w:numPr>
        <w:snapToGrid w:val="0"/>
      </w:pPr>
      <w:r>
        <w:t>山原氏论文原文尚未提供；本报告仅讨论末端压力估计的假设性连接，不推断其实际模型与结果。</w:t>
      </w:r>
    </w:p>
    <w:p>
      <w:pPr>
        <w:pStyle w:val="Heading1"/>
        <w:pageBreakBefore/>
        <w:snapToGrid w:val="0"/>
      </w:pPr>
      <w:r>
        <w:t>第二部分　日本語研究報告</w:t>
      </w:r>
    </w:p>
    <w:p>
      <w:pPr>
        <w:pStyle w:val="Heading2"/>
        <w:snapToGrid w:val="0"/>
      </w:pPr>
      <w:r>
        <w:t>1　文献情報と研究上の位置付け</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400"/>
        <w:gridCol w:w="6960"/>
      </w:tblGrid>
      <w:tr>
        <w:trPr>
          <w:cantSplit/>
          <w:tblHeader/>
        </w:trPr>
        <w:tc>
          <w:tcPr>
            <w:tcW w:type="dxa" w:w="2400"/>
            <w:vAlign w:val="center"/>
            <w:shd w:fill="E8EEF5"/>
          </w:tcPr>
          <w:p>
            <w:pPr>
              <w:pStyle w:val="TableText"/>
            </w:pPr>
            <w:r>
              <w:rPr>
                <w:b/>
                <w:color w:val="1F4D78"/>
              </w:rPr>
              <w:t>項目</w:t>
            </w:r>
          </w:p>
        </w:tc>
        <w:tc>
          <w:tcPr>
            <w:tcW w:type="dxa" w:w="6960"/>
            <w:vAlign w:val="center"/>
            <w:shd w:fill="E8EEF5"/>
          </w:tcPr>
          <w:p>
            <w:pPr>
              <w:pStyle w:val="TableText"/>
            </w:pPr>
            <w:r>
              <w:rPr>
                <w:b/>
                <w:color w:val="1F4D78"/>
              </w:rPr>
              <w:t>内容</w:t>
            </w:r>
          </w:p>
        </w:tc>
      </w:tr>
      <w:tr>
        <w:trPr>
          <w:cantSplit/>
        </w:trPr>
        <w:tc>
          <w:tcPr>
            <w:tcW w:type="dxa" w:w="2400"/>
            <w:vAlign w:val="center"/>
          </w:tcPr>
          <w:p>
            <w:pPr>
              <w:pStyle w:val="TableText"/>
            </w:pPr>
            <w:r>
              <w:t>論文名</w:t>
            </w:r>
          </w:p>
        </w:tc>
        <w:tc>
          <w:tcPr>
            <w:tcW w:type="dxa" w:w="6960"/>
            <w:vAlign w:val="center"/>
          </w:tcPr>
          <w:p>
            <w:pPr>
              <w:pStyle w:val="TableText"/>
            </w:pPr>
            <w:r>
              <w:t>Calibration of Time-Series Forecasting: Detecting and Adapting Context-Driven Distribution Shift</w:t>
            </w:r>
          </w:p>
        </w:tc>
      </w:tr>
      <w:tr>
        <w:trPr>
          <w:cantSplit/>
        </w:trPr>
        <w:tc>
          <w:tcPr>
            <w:tcW w:type="dxa" w:w="2400"/>
            <w:vAlign w:val="center"/>
          </w:tcPr>
          <w:p>
            <w:pPr>
              <w:pStyle w:val="TableText"/>
            </w:pPr>
            <w:r>
              <w:t>著者</w:t>
            </w:r>
          </w:p>
        </w:tc>
        <w:tc>
          <w:tcPr>
            <w:tcW w:type="dxa" w:w="6960"/>
            <w:vAlign w:val="center"/>
          </w:tcPr>
          <w:p>
            <w:pPr>
              <w:pStyle w:val="TableText"/>
            </w:pPr>
            <w:r>
              <w:t>Mouxiang Chen, Lefei Shen, Han Fu, Zhuo Li, Jianling Sun, Chenghao Liu</w:t>
            </w:r>
          </w:p>
        </w:tc>
      </w:tr>
      <w:tr>
        <w:trPr>
          <w:cantSplit/>
        </w:trPr>
        <w:tc>
          <w:tcPr>
            <w:tcW w:type="dxa" w:w="2400"/>
            <w:vAlign w:val="center"/>
          </w:tcPr>
          <w:p>
            <w:pPr>
              <w:pStyle w:val="TableText"/>
            </w:pPr>
            <w:r>
              <w:t>発表年・発表先</w:t>
            </w:r>
          </w:p>
        </w:tc>
        <w:tc>
          <w:tcPr>
            <w:tcW w:type="dxa" w:w="6960"/>
            <w:vAlign w:val="center"/>
          </w:tcPr>
          <w:p>
            <w:pPr>
              <w:pStyle w:val="TableText"/>
            </w:pPr>
            <w:r>
              <w:t>2024年、KDD ’24、Proceedings of the 30th ACM SIGKDD Conference on Knowledge Discovery and Data Mining、pp.341–352。</w:t>
            </w:r>
          </w:p>
        </w:tc>
      </w:tr>
      <w:tr>
        <w:trPr>
          <w:cantSplit/>
        </w:trPr>
        <w:tc>
          <w:tcPr>
            <w:tcW w:type="dxa" w:w="2400"/>
            <w:vAlign w:val="center"/>
          </w:tcPr>
          <w:p>
            <w:pPr>
              <w:pStyle w:val="TableText"/>
            </w:pPr>
            <w:r>
              <w:t>DOI</w:t>
            </w:r>
          </w:p>
        </w:tc>
        <w:tc>
          <w:tcPr>
            <w:tcW w:type="dxa" w:w="6960"/>
            <w:vAlign w:val="center"/>
          </w:tcPr>
          <w:p>
            <w:pPr>
              <w:pStyle w:val="TableText"/>
            </w:pPr>
            <w:r>
              <w:t>10.1145/3637528.3671926</w:t>
            </w:r>
          </w:p>
        </w:tc>
      </w:tr>
      <w:tr>
        <w:trPr>
          <w:cantSplit/>
        </w:trPr>
        <w:tc>
          <w:tcPr>
            <w:tcW w:type="dxa" w:w="2400"/>
            <w:vAlign w:val="center"/>
          </w:tcPr>
          <w:p>
            <w:pPr>
              <w:pStyle w:val="TableText"/>
            </w:pPr>
            <w:r>
              <w:t>補足版</w:t>
            </w:r>
          </w:p>
        </w:tc>
        <w:tc>
          <w:tcPr>
            <w:tcW w:type="dxa" w:w="6960"/>
            <w:vAlign w:val="center"/>
          </w:tcPr>
          <w:p>
            <w:pPr>
              <w:pStyle w:val="TableText"/>
            </w:pPr>
            <w:r>
              <w:t>arXiv:2310.14838v2、2024年6月11日更新。初稿は2023年。正式発表年と区別する。</w:t>
            </w:r>
          </w:p>
        </w:tc>
      </w:tr>
      <w:tr>
        <w:trPr>
          <w:cantSplit/>
        </w:trPr>
        <w:tc>
          <w:tcPr>
            <w:tcW w:type="dxa" w:w="2400"/>
            <w:vAlign w:val="center"/>
          </w:tcPr>
          <w:p>
            <w:pPr>
              <w:pStyle w:val="TableText"/>
            </w:pPr>
            <w:r>
              <w:t>手法名</w:t>
            </w:r>
          </w:p>
        </w:tc>
        <w:tc>
          <w:tcPr>
            <w:tcW w:type="dxa" w:w="6960"/>
            <w:vAlign w:val="center"/>
          </w:tcPr>
          <w:p>
            <w:pPr>
              <w:pStyle w:val="TableText"/>
            </w:pPr>
            <w:r>
              <w:t>Reconditionor：残差に基づく文脈依存性の診断。SOLID：サンプル単位の予測層適応。</w:t>
            </w:r>
          </w:p>
        </w:tc>
      </w:tr>
      <w:tr>
        <w:trPr>
          <w:cantSplit/>
        </w:trPr>
        <w:tc>
          <w:tcPr>
            <w:tcW w:type="dxa" w:w="2400"/>
            <w:vAlign w:val="center"/>
          </w:tcPr>
          <w:p>
            <w:pPr>
              <w:pStyle w:val="TableText"/>
            </w:pPr>
            <w:r>
              <w:t>研究対象</w:t>
            </w:r>
          </w:p>
        </w:tc>
        <w:tc>
          <w:tcPr>
            <w:tcW w:type="dxa" w:w="6960"/>
            <w:vAlign w:val="center"/>
          </w:tcPr>
          <w:p>
            <w:pPr>
              <w:pStyle w:val="TableText"/>
            </w:pPr>
            <w:r>
              <w:t>多変量・多段先時系列予測。7種類の予測モデル、8データセット。</w:t>
            </w:r>
          </w:p>
        </w:tc>
      </w:tr>
    </w:tbl>
    <w:p>
      <w:pPr>
        <w:spacing w:after="0"/>
        <w:snapToGrid w:val="0"/>
      </w:pPr>
    </w:p>
    <w:p>
      <w:pPr>
        <w:snapToGrid w:val="0"/>
      </w:pPr>
      <w:r>
        <w:t>本論文は、学習済みモデルが時間的文脈の違いによってどの程度影響を受けるかを診断し、類似文脈の過去データで予測層を調整する。入力を一件ずつ学習内／外に分類することや、異常区間を検出することは主評価課題ではない。</w:t>
      </w:r>
    </w:p>
    <w:p>
      <w:pPr>
        <w:pStyle w:val="Heading2"/>
        <w:snapToGrid w:val="0"/>
      </w:pPr>
      <w:r>
        <w:t>2　学習外の定義と本研究の三分類との対応</w:t>
      </w:r>
    </w:p>
    <w:p>
      <w:pPr>
        <w:snapToGrid w:val="0"/>
      </w:pPr>
      <w:r>
        <w:t>著者の定義は、時間に関係する文脈Cを追加すると過去Xから未来Yへの条件付き分布が変わること、すなわちP(Y｜X)≠P(Y｜X,C)である。時間区間と周期位相を観測可能な文脈として扱い、未観測文脈には入力類似度を代理として用いる。</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本研究の分類</w:t>
            </w:r>
          </w:p>
        </w:tc>
        <w:tc>
          <w:tcPr>
            <w:tcW w:type="dxa" w:w="3500"/>
            <w:vAlign w:val="center"/>
            <w:shd w:fill="E8EEF5"/>
          </w:tcPr>
          <w:p>
            <w:pPr>
              <w:pStyle w:val="TableText"/>
              <w:keepNext/>
            </w:pPr>
            <w:r>
              <w:rPr>
                <w:b/>
                <w:color w:val="1F4D78"/>
              </w:rPr>
              <w:t>対応</w:t>
            </w:r>
          </w:p>
        </w:tc>
        <w:tc>
          <w:tcPr>
            <w:tcW w:type="dxa" w:w="3810"/>
            <w:vAlign w:val="center"/>
            <w:shd w:fill="E8EEF5"/>
          </w:tcPr>
          <w:p>
            <w:pPr>
              <w:pStyle w:val="TableText"/>
              <w:keepNext/>
            </w:pPr>
            <w:r>
              <w:rPr>
                <w:b/>
                <w:color w:val="1F4D78"/>
              </w:rPr>
              <w:t>根拠と限界</w:t>
            </w:r>
          </w:p>
        </w:tc>
      </w:tr>
      <w:tr>
        <w:trPr>
          <w:cantSplit/>
        </w:trPr>
        <w:tc>
          <w:tcPr>
            <w:tcW w:type="dxa" w:w="2050"/>
            <w:vAlign w:val="center"/>
          </w:tcPr>
          <w:p>
            <w:pPr>
              <w:pStyle w:val="TableText"/>
              <w:keepNext/>
            </w:pPr>
            <w:r>
              <w:t>① 入力分布・範囲から外れる</w:t>
            </w:r>
          </w:p>
        </w:tc>
        <w:tc>
          <w:tcPr>
            <w:tcW w:type="dxa" w:w="3500"/>
            <w:vAlign w:val="center"/>
          </w:tcPr>
          <w:p>
            <w:pPr>
              <w:pStyle w:val="TableText"/>
              <w:keepNext/>
            </w:pPr>
            <w:r>
              <w:t>△</w:t>
            </w:r>
          </w:p>
        </w:tc>
        <w:tc>
          <w:tcPr>
            <w:tcW w:type="dxa" w:w="3810"/>
            <w:vAlign w:val="center"/>
          </w:tcPr>
          <w:p>
            <w:pPr>
              <w:pStyle w:val="TableText"/>
              <w:keepNext/>
            </w:pPr>
            <w:r>
              <w:t>時間的な入力分布変化が伴う場合はあるが、入力範囲外を直接判定しない。</w:t>
            </w:r>
          </w:p>
        </w:tc>
      </w:tr>
      <w:tr>
        <w:trPr>
          <w:cantSplit/>
        </w:trPr>
        <w:tc>
          <w:tcPr>
            <w:tcW w:type="dxa" w:w="2050"/>
            <w:vAlign w:val="center"/>
          </w:tcPr>
          <w:p>
            <w:pPr>
              <w:pStyle w:val="TableText"/>
              <w:keepNext/>
            </w:pPr>
            <w:r>
              <w:t>② 学習データが少ない領域</w:t>
            </w:r>
          </w:p>
        </w:tc>
        <w:tc>
          <w:tcPr>
            <w:tcW w:type="dxa" w:w="3500"/>
            <w:vAlign w:val="center"/>
          </w:tcPr>
          <w:p>
            <w:pPr>
              <w:pStyle w:val="TableText"/>
              <w:keepNext/>
            </w:pPr>
            <w:r>
              <w:t>△</w:t>
            </w:r>
          </w:p>
        </w:tc>
        <w:tc>
          <w:tcPr>
            <w:tcW w:type="dxa" w:w="3810"/>
            <w:vAlign w:val="center"/>
          </w:tcPr>
          <w:p>
            <w:pPr>
              <w:pStyle w:val="TableText"/>
              <w:keepNext/>
            </w:pPr>
            <w:r>
              <w:t>文脈ごとの標本不足や学習不足と関係し得るが、密度閾値や希少領域ラベルはない。</w:t>
            </w:r>
          </w:p>
        </w:tc>
      </w:tr>
      <w:tr>
        <w:trPr>
          <w:cantSplit/>
        </w:trPr>
        <w:tc>
          <w:tcPr>
            <w:tcW w:type="dxa" w:w="2050"/>
            <w:vAlign w:val="center"/>
          </w:tcPr>
          <w:p>
            <w:pPr>
              <w:pStyle w:val="TableText"/>
              <w:keepNext/>
            </w:pPr>
            <w:r>
              <w:t>③ 入力項目の組合せ・相関変化</w:t>
            </w:r>
          </w:p>
        </w:tc>
        <w:tc>
          <w:tcPr>
            <w:tcW w:type="dxa" w:w="3500"/>
            <w:vAlign w:val="center"/>
          </w:tcPr>
          <w:p>
            <w:pPr>
              <w:pStyle w:val="TableText"/>
              <w:keepNext/>
            </w:pPr>
            <w:r>
              <w:t>△</w:t>
            </w:r>
          </w:p>
        </w:tc>
        <w:tc>
          <w:tcPr>
            <w:tcW w:type="dxa" w:w="3810"/>
            <w:vAlign w:val="center"/>
          </w:tcPr>
          <w:p>
            <w:pPr>
              <w:pStyle w:val="TableText"/>
              <w:keepNext/>
            </w:pPr>
            <w:r>
              <w:t>関連する可能性はあるが、本文の中心は入力―未来出力関係。入力間相関だけを変えた検出実験はない。</w:t>
            </w:r>
          </w:p>
        </w:tc>
      </w:tr>
      <w:tr>
        <w:trPr>
          <w:cantSplit/>
        </w:trPr>
        <w:tc>
          <w:tcPr>
            <w:tcW w:type="dxa" w:w="2050"/>
            <w:vAlign w:val="center"/>
          </w:tcPr>
          <w:p>
            <w:pPr>
              <w:pStyle w:val="TableText"/>
            </w:pPr>
            <w:r>
              <w:t>追加軸：文脈依存の予測関係変化</w:t>
            </w:r>
          </w:p>
        </w:tc>
        <w:tc>
          <w:tcPr>
            <w:tcW w:type="dxa" w:w="3500"/>
            <w:vAlign w:val="center"/>
          </w:tcPr>
          <w:p>
            <w:pPr>
              <w:pStyle w:val="TableText"/>
            </w:pPr>
            <w:r>
              <w:t>✓</w:t>
            </w:r>
          </w:p>
        </w:tc>
        <w:tc>
          <w:tcPr>
            <w:tcW w:type="dxa" w:w="3810"/>
            <w:vAlign w:val="center"/>
          </w:tcPr>
          <w:p>
            <w:pPr>
              <w:pStyle w:val="TableText"/>
            </w:pPr>
            <w:r>
              <w:t>同じ入力でも文脈によって未来の分布やモデル残差が変わる問題を扱う。</w:t>
            </w:r>
          </w:p>
        </w:tc>
      </w:tr>
    </w:tbl>
    <w:p>
      <w:pPr>
        <w:spacing w:after="0"/>
        <w:snapToGrid w:val="0"/>
      </w:pPr>
    </w:p>
    <w:p>
      <w:pPr>
        <w:snapToGrid w:val="0"/>
      </w:pPr>
      <w:r>
        <w:t>①～③は排他的な分類ではなく、重なる場合がある。本論文のcontextは「contextual anomaly」の異常ラベルと同義ではない。著者はpoint／contextual／collective anomaliesへの分類を行っておらず、異常点・異常区間の正解ラベルも用いない。</w:t>
      </w:r>
    </w:p>
    <w:p>
      <w:pPr>
        <w:pStyle w:val="Heading2"/>
        <w:snapToGrid w:val="0"/>
      </w:pPr>
      <w:r>
        <w:t>3　総合報告に使う手法分類の基準</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分類軸</w:t>
            </w:r>
          </w:p>
        </w:tc>
        <w:tc>
          <w:tcPr>
            <w:tcW w:type="dxa" w:w="3500"/>
            <w:vAlign w:val="center"/>
            <w:shd w:fill="E8EEF5"/>
          </w:tcPr>
          <w:p>
            <w:pPr>
              <w:pStyle w:val="TableText"/>
            </w:pPr>
            <w:r>
              <w:rPr>
                <w:b/>
                <w:color w:val="1F4D78"/>
              </w:rPr>
              <w:t>分類候補</w:t>
            </w:r>
          </w:p>
        </w:tc>
        <w:tc>
          <w:tcPr>
            <w:tcW w:type="dxa" w:w="3810"/>
            <w:vAlign w:val="center"/>
            <w:shd w:fill="E8EEF5"/>
          </w:tcPr>
          <w:p>
            <w:pPr>
              <w:pStyle w:val="TableText"/>
            </w:pPr>
            <w:r>
              <w:rPr>
                <w:b/>
                <w:color w:val="1F4D78"/>
              </w:rPr>
              <w:t>本論文の分類</w:t>
            </w:r>
          </w:p>
        </w:tc>
      </w:tr>
      <w:tr>
        <w:trPr>
          <w:cantSplit/>
        </w:trPr>
        <w:tc>
          <w:tcPr>
            <w:tcW w:type="dxa" w:w="2050"/>
            <w:vAlign w:val="center"/>
          </w:tcPr>
          <w:p>
            <w:pPr>
              <w:pStyle w:val="TableText"/>
            </w:pPr>
            <w:r>
              <w:t>診断の根拠</w:t>
            </w:r>
          </w:p>
        </w:tc>
        <w:tc>
          <w:tcPr>
            <w:tcW w:type="dxa" w:w="3500"/>
            <w:vAlign w:val="center"/>
          </w:tcPr>
          <w:p>
            <w:pPr>
              <w:pStyle w:val="TableText"/>
            </w:pPr>
            <w:r>
              <w:t>入力範囲、距離、密度、予測不確実性、残差、統計的依存性</w:t>
            </w:r>
          </w:p>
        </w:tc>
        <w:tc>
          <w:tcPr>
            <w:tcW w:type="dxa" w:w="3810"/>
            <w:vAlign w:val="center"/>
          </w:tcPr>
          <w:p>
            <w:pPr>
              <w:pStyle w:val="TableText"/>
            </w:pPr>
            <w:r>
              <w:t>残差分布と文脈の依存性。入力密度推定や不確実性推定ではない。</w:t>
            </w:r>
          </w:p>
        </w:tc>
      </w:tr>
      <w:tr>
        <w:trPr>
          <w:cantSplit/>
        </w:trPr>
        <w:tc>
          <w:tcPr>
            <w:tcW w:type="dxa" w:w="2050"/>
            <w:vAlign w:val="center"/>
          </w:tcPr>
          <w:p>
            <w:pPr>
              <w:pStyle w:val="TableText"/>
            </w:pPr>
            <w:r>
              <w:t>情報アクセス</w:t>
            </w:r>
          </w:p>
        </w:tc>
        <w:tc>
          <w:tcPr>
            <w:tcW w:type="dxa" w:w="3500"/>
            <w:vAlign w:val="center"/>
          </w:tcPr>
          <w:p>
            <w:pPr>
              <w:pStyle w:val="TableText"/>
            </w:pPr>
            <w:r>
              <w:t>入力のみ、モデル出力、実測出力、内部表現・パラメータ</w:t>
            </w:r>
          </w:p>
        </w:tc>
        <w:tc>
          <w:tcPr>
            <w:tcW w:type="dxa" w:w="3810"/>
            <w:vAlign w:val="center"/>
          </w:tcPr>
          <w:p>
            <w:pPr>
              <w:pStyle w:val="TableText"/>
            </w:pPr>
            <w:r>
              <w:t>診断：予測と実測。適応：内部パラメータと過去の実測出力。</w:t>
            </w:r>
          </w:p>
        </w:tc>
      </w:tr>
      <w:tr>
        <w:trPr>
          <w:cantSplit/>
        </w:trPr>
        <w:tc>
          <w:tcPr>
            <w:tcW w:type="dxa" w:w="2050"/>
            <w:vAlign w:val="center"/>
          </w:tcPr>
          <w:p>
            <w:pPr>
              <w:pStyle w:val="TableText"/>
            </w:pPr>
            <w:r>
              <w:t>判定単位</w:t>
            </w:r>
          </w:p>
        </w:tc>
        <w:tc>
          <w:tcPr>
            <w:tcW w:type="dxa" w:w="3500"/>
            <w:vAlign w:val="center"/>
          </w:tcPr>
          <w:p>
            <w:pPr>
              <w:pStyle w:val="TableText"/>
            </w:pPr>
            <w:r>
              <w:t>入力一件、時間窓、データ集合、モデル</w:t>
            </w:r>
          </w:p>
        </w:tc>
        <w:tc>
          <w:tcPr>
            <w:tcW w:type="dxa" w:w="3810"/>
            <w:vAlign w:val="center"/>
          </w:tcPr>
          <w:p>
            <w:pPr>
              <w:pStyle w:val="TableText"/>
            </w:pPr>
            <w:r>
              <w:t>Reconditionorはモデル×データ集合×文脈分割。SOLIDは一つの予測窓ごと。</w:t>
            </w:r>
          </w:p>
        </w:tc>
      </w:tr>
      <w:tr>
        <w:trPr>
          <w:cantSplit/>
        </w:trPr>
        <w:tc>
          <w:tcPr>
            <w:tcW w:type="dxa" w:w="2050"/>
            <w:vAlign w:val="center"/>
          </w:tcPr>
          <w:p>
            <w:pPr>
              <w:pStyle w:val="TableText"/>
            </w:pPr>
            <w:r>
              <w:t>学習条件</w:t>
            </w:r>
          </w:p>
        </w:tc>
        <w:tc>
          <w:tcPr>
            <w:tcW w:type="dxa" w:w="3500"/>
            <w:vAlign w:val="center"/>
          </w:tcPr>
          <w:p>
            <w:pPr>
              <w:pStyle w:val="TableText"/>
            </w:pPr>
            <w:r>
              <w:t>正常のみ、異常ラベルあり、回帰教師あり</w:t>
            </w:r>
          </w:p>
        </w:tc>
        <w:tc>
          <w:tcPr>
            <w:tcW w:type="dxa" w:w="3810"/>
            <w:vAlign w:val="center"/>
          </w:tcPr>
          <w:p>
            <w:pPr>
              <w:pStyle w:val="TableText"/>
            </w:pPr>
            <w:r>
              <w:t>回帰教師あり。異常ラベル不要だが真の将来値は必要。</w:t>
            </w:r>
          </w:p>
        </w:tc>
      </w:tr>
      <w:tr>
        <w:trPr>
          <w:cantSplit/>
        </w:trPr>
        <w:tc>
          <w:tcPr>
            <w:tcW w:type="dxa" w:w="2050"/>
            <w:vAlign w:val="center"/>
          </w:tcPr>
          <w:p>
            <w:pPr>
              <w:pStyle w:val="TableText"/>
            </w:pPr>
            <w:r>
              <w:t>出力</w:t>
            </w:r>
          </w:p>
        </w:tc>
        <w:tc>
          <w:tcPr>
            <w:tcW w:type="dxa" w:w="3500"/>
            <w:vAlign w:val="center"/>
          </w:tcPr>
          <w:p>
            <w:pPr>
              <w:pStyle w:val="TableText"/>
            </w:pPr>
            <w:r>
              <w:t>ID/OOD判定、異常スコア、診断スコア、修正予測</w:t>
            </w:r>
          </w:p>
        </w:tc>
        <w:tc>
          <w:tcPr>
            <w:tcW w:type="dxa" w:w="3810"/>
            <w:vAlign w:val="center"/>
          </w:tcPr>
          <w:p>
            <w:pPr>
              <w:pStyle w:val="TableText"/>
            </w:pPr>
            <w:r>
              <w:t>Reconditionorは診断スコアδ、SOLIDは修正予測。</w:t>
            </w:r>
          </w:p>
        </w:tc>
      </w:tr>
      <w:tr>
        <w:trPr>
          <w:cantSplit/>
        </w:trPr>
        <w:tc>
          <w:tcPr>
            <w:tcW w:type="dxa" w:w="2050"/>
            <w:vAlign w:val="center"/>
          </w:tcPr>
          <w:p>
            <w:pPr>
              <w:pStyle w:val="TableText"/>
            </w:pPr>
            <w:r>
              <w:t>更新方式</w:t>
            </w:r>
          </w:p>
        </w:tc>
        <w:tc>
          <w:tcPr>
            <w:tcW w:type="dxa" w:w="3500"/>
            <w:vAlign w:val="center"/>
          </w:tcPr>
          <w:p>
            <w:pPr>
              <w:pStyle w:val="TableText"/>
            </w:pPr>
            <w:r>
              <w:t>固定検知器、再学習、オンライン適応</w:t>
            </w:r>
          </w:p>
        </w:tc>
        <w:tc>
          <w:tcPr>
            <w:tcW w:type="dxa" w:w="3810"/>
            <w:vAlign w:val="center"/>
          </w:tcPr>
          <w:p>
            <w:pPr>
              <w:pStyle w:val="TableText"/>
            </w:pPr>
            <w:r>
              <w:t>オフライン診断＋テスト時の局所適応。公開主経路は毎回基礎モデルから開始。</w:t>
            </w:r>
          </w:p>
        </w:tc>
      </w:tr>
      <w:tr>
        <w:trPr>
          <w:cantSplit/>
        </w:trPr>
        <w:tc>
          <w:tcPr>
            <w:tcW w:type="dxa" w:w="2050"/>
            <w:vAlign w:val="center"/>
          </w:tcPr>
          <w:p>
            <w:pPr>
              <w:pStyle w:val="TableText"/>
            </w:pPr>
            <w:r>
              <w:t>距離の役割</w:t>
            </w:r>
          </w:p>
        </w:tc>
        <w:tc>
          <w:tcPr>
            <w:tcW w:type="dxa" w:w="3500"/>
            <w:vAlign w:val="center"/>
          </w:tcPr>
          <w:p>
            <w:pPr>
              <w:pStyle w:val="TableText"/>
            </w:pPr>
            <w:r>
              <w:t>検知スコア、近傍選択、説明</w:t>
            </w:r>
          </w:p>
        </w:tc>
        <w:tc>
          <w:tcPr>
            <w:tcW w:type="dxa" w:w="3810"/>
            <w:vAlign w:val="center"/>
          </w:tcPr>
          <w:p>
            <w:pPr>
              <w:pStyle w:val="TableText"/>
            </w:pPr>
            <w:r>
              <w:t>入力窓のユークリッド距離は適応用サンプル選択に使用。</w:t>
            </w:r>
          </w:p>
        </w:tc>
      </w:tr>
    </w:tbl>
    <w:p>
      <w:pPr>
        <w:spacing w:after="0"/>
        <w:snapToGrid w:val="0"/>
      </w:pPr>
    </w:p>
    <w:p>
      <w:pPr>
        <w:pStyle w:val="Heading2"/>
        <w:snapToGrid w:val="0"/>
      </w:pPr>
      <w:r>
        <w:t>4　データセット：A～Hの調査</w:t>
      </w:r>
    </w:p>
    <w:p>
      <w:pPr>
        <w:pStyle w:val="Heading3"/>
        <w:snapToGrid w:val="0"/>
      </w:pPr>
      <w:r>
        <w:t>4.1　A・B・F：入出力項目、データ量、時間粒度</w:t>
      </w:r>
    </w:p>
    <w:p>
      <w:pPr>
        <w:snapToGrid w:val="0"/>
      </w:pPr>
      <w:r>
        <w:t>次表の時点数は作者の完全版Table 2による公表値であり、本報告で全CSVを取得して実数を確認したものではない。元データの時点数とスライディングウィンドウ数は異なる。正式12ページ版にはこの統計表がないため、補足版を出典とする。【補足：B.1／Table 2】</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300"/>
        <w:gridCol w:w="2200"/>
        <w:gridCol w:w="2200"/>
        <w:gridCol w:w="2660"/>
      </w:tblGrid>
      <w:tr>
        <w:trPr>
          <w:cantSplit/>
          <w:tblHeader/>
        </w:trPr>
        <w:tc>
          <w:tcPr>
            <w:tcW w:type="dxa" w:w="2300"/>
            <w:vAlign w:val="center"/>
            <w:shd w:fill="E8EEF5"/>
          </w:tcPr>
          <w:p>
            <w:pPr>
              <w:pStyle w:val="TableText"/>
            </w:pPr>
            <w:r>
              <w:rPr>
                <w:b/>
                <w:color w:val="1F4D78"/>
              </w:rPr>
              <w:t>データ</w:t>
            </w:r>
          </w:p>
        </w:tc>
        <w:tc>
          <w:tcPr>
            <w:tcW w:type="dxa" w:w="2200"/>
            <w:vAlign w:val="center"/>
            <w:shd w:fill="E8EEF5"/>
          </w:tcPr>
          <w:p>
            <w:pPr>
              <w:pStyle w:val="TableText"/>
            </w:pPr>
            <w:r>
              <w:rPr>
                <w:b/>
                <w:color w:val="1F4D78"/>
              </w:rPr>
              <w:t>変数数</w:t>
            </w:r>
          </w:p>
        </w:tc>
        <w:tc>
          <w:tcPr>
            <w:tcW w:type="dxa" w:w="2200"/>
            <w:vAlign w:val="center"/>
            <w:shd w:fill="E8EEF5"/>
          </w:tcPr>
          <w:p>
            <w:pPr>
              <w:pStyle w:val="TableText"/>
            </w:pPr>
            <w:r>
              <w:rPr>
                <w:b/>
                <w:color w:val="1F4D78"/>
              </w:rPr>
              <w:t>公表時点数</w:t>
            </w:r>
          </w:p>
        </w:tc>
        <w:tc>
          <w:tcPr>
            <w:tcW w:type="dxa" w:w="2660"/>
            <w:vAlign w:val="center"/>
            <w:shd w:fill="E8EEF5"/>
          </w:tcPr>
          <w:p>
            <w:pPr>
              <w:pStyle w:val="TableText"/>
            </w:pPr>
            <w:r>
              <w:rPr>
                <w:b/>
                <w:color w:val="1F4D78"/>
              </w:rPr>
              <w:t>時間粒度・内容</w:t>
            </w:r>
          </w:p>
        </w:tc>
      </w:tr>
      <w:tr>
        <w:trPr>
          <w:cantSplit/>
        </w:trPr>
        <w:tc>
          <w:tcPr>
            <w:tcW w:type="dxa" w:w="2300"/>
            <w:vAlign w:val="center"/>
          </w:tcPr>
          <w:p>
            <w:pPr>
              <w:pStyle w:val="TableText"/>
            </w:pPr>
            <w:r>
              <w:t>ETTh1</w:t>
            </w:r>
          </w:p>
        </w:tc>
        <w:tc>
          <w:tcPr>
            <w:tcW w:type="dxa" w:w="2200"/>
            <w:vAlign w:val="center"/>
          </w:tcPr>
          <w:p>
            <w:pPr>
              <w:pStyle w:val="TableText"/>
            </w:pPr>
            <w:r>
              <w:t>7</w:t>
            </w:r>
          </w:p>
        </w:tc>
        <w:tc>
          <w:tcPr>
            <w:tcW w:type="dxa" w:w="2200"/>
            <w:vAlign w:val="center"/>
          </w:tcPr>
          <w:p>
            <w:pPr>
              <w:pStyle w:val="TableText"/>
            </w:pPr>
            <w:r>
              <w:t>17,420</w:t>
            </w:r>
          </w:p>
        </w:tc>
        <w:tc>
          <w:tcPr>
            <w:tcW w:type="dxa" w:w="2660"/>
            <w:vAlign w:val="center"/>
          </w:tcPr>
          <w:p>
            <w:pPr>
              <w:pStyle w:val="TableText"/>
            </w:pPr>
            <w:r>
              <w:t>1時間。変圧器の負荷6項目と油温。</w:t>
            </w:r>
          </w:p>
        </w:tc>
      </w:tr>
      <w:tr>
        <w:trPr>
          <w:cantSplit/>
        </w:trPr>
        <w:tc>
          <w:tcPr>
            <w:tcW w:type="dxa" w:w="2300"/>
            <w:vAlign w:val="center"/>
          </w:tcPr>
          <w:p>
            <w:pPr>
              <w:pStyle w:val="TableText"/>
            </w:pPr>
            <w:r>
              <w:t>ETTh2</w:t>
            </w:r>
          </w:p>
        </w:tc>
        <w:tc>
          <w:tcPr>
            <w:tcW w:type="dxa" w:w="2200"/>
            <w:vAlign w:val="center"/>
          </w:tcPr>
          <w:p>
            <w:pPr>
              <w:pStyle w:val="TableText"/>
            </w:pPr>
            <w:r>
              <w:t>7</w:t>
            </w:r>
          </w:p>
        </w:tc>
        <w:tc>
          <w:tcPr>
            <w:tcW w:type="dxa" w:w="2200"/>
            <w:vAlign w:val="center"/>
          </w:tcPr>
          <w:p>
            <w:pPr>
              <w:pStyle w:val="TableText"/>
            </w:pPr>
            <w:r>
              <w:t>17,420</w:t>
            </w:r>
          </w:p>
        </w:tc>
        <w:tc>
          <w:tcPr>
            <w:tcW w:type="dxa" w:w="2660"/>
            <w:vAlign w:val="center"/>
          </w:tcPr>
          <w:p>
            <w:pPr>
              <w:pStyle w:val="TableText"/>
            </w:pPr>
            <w:r>
              <w:t>1時間。別の変圧器。</w:t>
            </w:r>
          </w:p>
        </w:tc>
      </w:tr>
      <w:tr>
        <w:trPr>
          <w:cantSplit/>
        </w:trPr>
        <w:tc>
          <w:tcPr>
            <w:tcW w:type="dxa" w:w="2300"/>
            <w:vAlign w:val="center"/>
          </w:tcPr>
          <w:p>
            <w:pPr>
              <w:pStyle w:val="TableText"/>
            </w:pPr>
            <w:r>
              <w:t>ETTm1</w:t>
            </w:r>
          </w:p>
        </w:tc>
        <w:tc>
          <w:tcPr>
            <w:tcW w:type="dxa" w:w="2200"/>
            <w:vAlign w:val="center"/>
          </w:tcPr>
          <w:p>
            <w:pPr>
              <w:pStyle w:val="TableText"/>
            </w:pPr>
            <w:r>
              <w:t>7</w:t>
            </w:r>
          </w:p>
        </w:tc>
        <w:tc>
          <w:tcPr>
            <w:tcW w:type="dxa" w:w="2200"/>
            <w:vAlign w:val="center"/>
          </w:tcPr>
          <w:p>
            <w:pPr>
              <w:pStyle w:val="TableText"/>
            </w:pPr>
            <w:r>
              <w:t>69,680</w:t>
            </w:r>
          </w:p>
        </w:tc>
        <w:tc>
          <w:tcPr>
            <w:tcW w:type="dxa" w:w="2660"/>
            <w:vAlign w:val="center"/>
          </w:tcPr>
          <w:p>
            <w:pPr>
              <w:pStyle w:val="TableText"/>
            </w:pPr>
            <w:r>
              <w:t>15分。変圧器データ。</w:t>
            </w:r>
          </w:p>
        </w:tc>
      </w:tr>
      <w:tr>
        <w:trPr>
          <w:cantSplit/>
        </w:trPr>
        <w:tc>
          <w:tcPr>
            <w:tcW w:type="dxa" w:w="2300"/>
            <w:vAlign w:val="center"/>
          </w:tcPr>
          <w:p>
            <w:pPr>
              <w:pStyle w:val="TableText"/>
            </w:pPr>
            <w:r>
              <w:t>ETTm2</w:t>
            </w:r>
          </w:p>
        </w:tc>
        <w:tc>
          <w:tcPr>
            <w:tcW w:type="dxa" w:w="2200"/>
            <w:vAlign w:val="center"/>
          </w:tcPr>
          <w:p>
            <w:pPr>
              <w:pStyle w:val="TableText"/>
            </w:pPr>
            <w:r>
              <w:t>7</w:t>
            </w:r>
          </w:p>
        </w:tc>
        <w:tc>
          <w:tcPr>
            <w:tcW w:type="dxa" w:w="2200"/>
            <w:vAlign w:val="center"/>
          </w:tcPr>
          <w:p>
            <w:pPr>
              <w:pStyle w:val="TableText"/>
            </w:pPr>
            <w:r>
              <w:t>69,680</w:t>
            </w:r>
          </w:p>
        </w:tc>
        <w:tc>
          <w:tcPr>
            <w:tcW w:type="dxa" w:w="2660"/>
            <w:vAlign w:val="center"/>
          </w:tcPr>
          <w:p>
            <w:pPr>
              <w:pStyle w:val="TableText"/>
            </w:pPr>
            <w:r>
              <w:t>15分。別の変圧器データ。</w:t>
            </w:r>
          </w:p>
        </w:tc>
      </w:tr>
      <w:tr>
        <w:trPr>
          <w:cantSplit/>
        </w:trPr>
        <w:tc>
          <w:tcPr>
            <w:tcW w:type="dxa" w:w="2300"/>
            <w:vAlign w:val="center"/>
          </w:tcPr>
          <w:p>
            <w:pPr>
              <w:pStyle w:val="TableText"/>
            </w:pPr>
            <w:r>
              <w:t>Electricity</w:t>
            </w:r>
          </w:p>
        </w:tc>
        <w:tc>
          <w:tcPr>
            <w:tcW w:type="dxa" w:w="2200"/>
            <w:vAlign w:val="center"/>
          </w:tcPr>
          <w:p>
            <w:pPr>
              <w:pStyle w:val="TableText"/>
            </w:pPr>
            <w:r>
              <w:t>321</w:t>
            </w:r>
          </w:p>
        </w:tc>
        <w:tc>
          <w:tcPr>
            <w:tcW w:type="dxa" w:w="2200"/>
            <w:vAlign w:val="center"/>
          </w:tcPr>
          <w:p>
            <w:pPr>
              <w:pStyle w:val="TableText"/>
            </w:pPr>
            <w:r>
              <w:t>26,304</w:t>
            </w:r>
          </w:p>
        </w:tc>
        <w:tc>
          <w:tcPr>
            <w:tcW w:type="dxa" w:w="2660"/>
            <w:vAlign w:val="center"/>
          </w:tcPr>
          <w:p>
            <w:pPr>
              <w:pStyle w:val="TableText"/>
            </w:pPr>
            <w:r>
              <w:t>1時間。321利用者の電力消費量。</w:t>
            </w:r>
          </w:p>
        </w:tc>
      </w:tr>
      <w:tr>
        <w:trPr>
          <w:cantSplit/>
        </w:trPr>
        <w:tc>
          <w:tcPr>
            <w:tcW w:type="dxa" w:w="2300"/>
            <w:vAlign w:val="center"/>
          </w:tcPr>
          <w:p>
            <w:pPr>
              <w:pStyle w:val="TableText"/>
            </w:pPr>
            <w:r>
              <w:t>Traffic</w:t>
            </w:r>
          </w:p>
        </w:tc>
        <w:tc>
          <w:tcPr>
            <w:tcW w:type="dxa" w:w="2200"/>
            <w:vAlign w:val="center"/>
          </w:tcPr>
          <w:p>
            <w:pPr>
              <w:pStyle w:val="TableText"/>
            </w:pPr>
            <w:r>
              <w:t>862</w:t>
            </w:r>
          </w:p>
        </w:tc>
        <w:tc>
          <w:tcPr>
            <w:tcW w:type="dxa" w:w="2200"/>
            <w:vAlign w:val="center"/>
          </w:tcPr>
          <w:p>
            <w:pPr>
              <w:pStyle w:val="TableText"/>
            </w:pPr>
            <w:r>
              <w:t>17,544</w:t>
            </w:r>
          </w:p>
        </w:tc>
        <w:tc>
          <w:tcPr>
            <w:tcW w:type="dxa" w:w="2660"/>
            <w:vAlign w:val="center"/>
          </w:tcPr>
          <w:p>
            <w:pPr>
              <w:pStyle w:val="TableText"/>
            </w:pPr>
            <w:r>
              <w:t>1時間。道路センサの占有率。</w:t>
            </w:r>
          </w:p>
        </w:tc>
      </w:tr>
      <w:tr>
        <w:trPr>
          <w:cantSplit/>
        </w:trPr>
        <w:tc>
          <w:tcPr>
            <w:tcW w:type="dxa" w:w="2300"/>
            <w:vAlign w:val="center"/>
          </w:tcPr>
          <w:p>
            <w:pPr>
              <w:pStyle w:val="TableText"/>
            </w:pPr>
            <w:r>
              <w:t>Weather</w:t>
            </w:r>
          </w:p>
        </w:tc>
        <w:tc>
          <w:tcPr>
            <w:tcW w:type="dxa" w:w="2200"/>
            <w:vAlign w:val="center"/>
          </w:tcPr>
          <w:p>
            <w:pPr>
              <w:pStyle w:val="TableText"/>
            </w:pPr>
            <w:r>
              <w:t>21</w:t>
            </w:r>
          </w:p>
        </w:tc>
        <w:tc>
          <w:tcPr>
            <w:tcW w:type="dxa" w:w="2200"/>
            <w:vAlign w:val="center"/>
          </w:tcPr>
          <w:p>
            <w:pPr>
              <w:pStyle w:val="TableText"/>
            </w:pPr>
            <w:r>
              <w:t>52,695</w:t>
            </w:r>
          </w:p>
        </w:tc>
        <w:tc>
          <w:tcPr>
            <w:tcW w:type="dxa" w:w="2660"/>
            <w:vAlign w:val="center"/>
          </w:tcPr>
          <w:p>
            <w:pPr>
              <w:pStyle w:val="TableText"/>
            </w:pPr>
            <w:r>
              <w:t>10分。気温、湿度等の気象観測。</w:t>
            </w:r>
          </w:p>
        </w:tc>
      </w:tr>
      <w:tr>
        <w:trPr>
          <w:cantSplit/>
        </w:trPr>
        <w:tc>
          <w:tcPr>
            <w:tcW w:type="dxa" w:w="2300"/>
            <w:vAlign w:val="center"/>
          </w:tcPr>
          <w:p>
            <w:pPr>
              <w:pStyle w:val="TableText"/>
            </w:pPr>
            <w:r>
              <w:t>Illness</w:t>
            </w:r>
          </w:p>
        </w:tc>
        <w:tc>
          <w:tcPr>
            <w:tcW w:type="dxa" w:w="2200"/>
            <w:vAlign w:val="center"/>
          </w:tcPr>
          <w:p>
            <w:pPr>
              <w:pStyle w:val="TableText"/>
            </w:pPr>
            <w:r>
              <w:t>7</w:t>
            </w:r>
          </w:p>
        </w:tc>
        <w:tc>
          <w:tcPr>
            <w:tcW w:type="dxa" w:w="2200"/>
            <w:vAlign w:val="center"/>
          </w:tcPr>
          <w:p>
            <w:pPr>
              <w:pStyle w:val="TableText"/>
            </w:pPr>
            <w:r>
              <w:t>966</w:t>
            </w:r>
          </w:p>
        </w:tc>
        <w:tc>
          <w:tcPr>
            <w:tcW w:type="dxa" w:w="2660"/>
            <w:vAlign w:val="center"/>
          </w:tcPr>
          <w:p>
            <w:pPr>
              <w:pStyle w:val="TableText"/>
            </w:pPr>
            <w:r>
              <w:t>1週間。インフルエンザ様疾患関連の集計指標。</w:t>
            </w:r>
          </w:p>
        </w:tc>
      </w:tr>
    </w:tbl>
    <w:p>
      <w:pPr>
        <w:spacing w:after="0"/>
        <w:snapToGrid w:val="0"/>
      </w:pPr>
    </w:p>
    <w:p>
      <w:pPr>
        <w:snapToGrid w:val="0"/>
      </w:pPr>
      <w:r>
        <w:t>観測期間は、ETTが2016年7月～2018年7月、Electricityが2012～2014年、Trafficが約2年間、Weatherが2020年、Illnessが2002～2021年と記載される。厳密な開始・終了タイムスタンプ、欠測処理、各版の行数差は使用CSVの確認事項として残る。</w:t>
      </w:r>
    </w:p>
    <w:p>
      <w:pPr>
        <w:snapToGrid w:val="0"/>
      </w:pPr>
      <w:r>
        <w:t>入力はL×Mの過去窓、出力はT×Mの将来窓である。ETTの原データ説明ではOTをtargetとするが、公開PatchTSTスクリプトはfeatures Mを指定するため、7変数すべての将来予測となる。「負荷6変数→油温1変数」のみを評価したと記載してはいけない。</w:t>
      </w:r>
    </w:p>
    <w:p>
      <w:pPr>
        <w:snapToGrid w:val="0"/>
      </w:pPr>
      <w:r>
        <w:t>ETTの7項目はHUFL、HULL、MUFL、MULL、LUFL、LULL、OT。原提供者の説明では高・中・低のuseful／useless loadと油温である。単位や工学的定義は個別データ仕様で確認する。ElectricityとTrafficは多数の同種系列、Weatherは異なる物理量の系列であり、いずれも多変量でも意味構造が異なる。</w:t>
      </w:r>
    </w:p>
    <w:p>
      <w:pPr>
        <w:snapToGrid w:val="0"/>
      </w:pPr>
      <w:r>
        <w:t>Weatherの21項目とIllnessの7項目の全フィールド名は、この論文本文には列挙されていない。本報告では推測で補わず、復現時のCSVヘッダ確認事項とする。カレンダー特徴をモデルに渡す場合もあり、Mの観測変数数とは区別する。</w:t>
      </w:r>
    </w:p>
    <w:p>
      <w:pPr>
        <w:pStyle w:val="Heading3"/>
        <w:snapToGrid w:val="0"/>
      </w:pPr>
      <w:r>
        <w:t>4.2　F：実際の入力窓と予測時間の長さ</w:t>
      </w:r>
    </w:p>
    <w:p>
      <w:pPr>
        <w:snapToGrid w:val="0"/>
      </w:pPr>
      <w:r>
        <w:t>公開PatchTSTスクリプトではIllnessがL=104、その他はL=336。これは当該スクリプトの設定であり、論文中の7モデルすべてに同じLを断定するものではない。本文は他のモデルの設定を原論文に従うとしている。</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データ群</w:t>
            </w:r>
          </w:p>
        </w:tc>
        <w:tc>
          <w:tcPr>
            <w:tcW w:type="dxa" w:w="3500"/>
            <w:vAlign w:val="center"/>
            <w:shd w:fill="E8EEF5"/>
          </w:tcPr>
          <w:p>
            <w:pPr>
              <w:pStyle w:val="TableText"/>
              <w:keepNext/>
            </w:pPr>
            <w:r>
              <w:rPr>
                <w:b/>
                <w:color w:val="1F4D78"/>
              </w:rPr>
              <w:t>Lの例：PatchTST</w:t>
            </w:r>
          </w:p>
        </w:tc>
        <w:tc>
          <w:tcPr>
            <w:tcW w:type="dxa" w:w="3810"/>
            <w:vAlign w:val="center"/>
            <w:shd w:fill="E8EEF5"/>
          </w:tcPr>
          <w:p>
            <w:pPr>
              <w:pStyle w:val="TableText"/>
              <w:keepNext/>
            </w:pPr>
            <w:r>
              <w:rPr>
                <w:b/>
                <w:color w:val="1F4D78"/>
              </w:rPr>
              <w:t>Tの評価設定を実時間に換算</w:t>
            </w:r>
          </w:p>
        </w:tc>
      </w:tr>
      <w:tr>
        <w:trPr>
          <w:cantSplit/>
        </w:trPr>
        <w:tc>
          <w:tcPr>
            <w:tcW w:type="dxa" w:w="2050"/>
            <w:vAlign w:val="center"/>
          </w:tcPr>
          <w:p>
            <w:pPr>
              <w:pStyle w:val="TableText"/>
              <w:keepNext/>
            </w:pPr>
            <w:r>
              <w:t>ETTh・Electricity・Traffic</w:t>
            </w:r>
          </w:p>
        </w:tc>
        <w:tc>
          <w:tcPr>
            <w:tcW w:type="dxa" w:w="3500"/>
            <w:vAlign w:val="center"/>
          </w:tcPr>
          <w:p>
            <w:pPr>
              <w:pStyle w:val="TableText"/>
              <w:keepNext/>
            </w:pPr>
            <w:r>
              <w:t>336時間＝14日</w:t>
            </w:r>
          </w:p>
        </w:tc>
        <w:tc>
          <w:tcPr>
            <w:tcW w:type="dxa" w:w="3810"/>
            <w:vAlign w:val="center"/>
          </w:tcPr>
          <w:p>
            <w:pPr>
              <w:pStyle w:val="TableText"/>
              <w:keepNext/>
            </w:pPr>
            <w:r>
              <w:t>96／192／336／720時間＝4／8／14／30日。</w:t>
            </w:r>
          </w:p>
        </w:tc>
      </w:tr>
      <w:tr>
        <w:trPr>
          <w:cantSplit/>
        </w:trPr>
        <w:tc>
          <w:tcPr>
            <w:tcW w:type="dxa" w:w="2050"/>
            <w:vAlign w:val="center"/>
          </w:tcPr>
          <w:p>
            <w:pPr>
              <w:pStyle w:val="TableText"/>
              <w:keepNext/>
            </w:pPr>
            <w:r>
              <w:t>ETTm</w:t>
            </w:r>
          </w:p>
        </w:tc>
        <w:tc>
          <w:tcPr>
            <w:tcW w:type="dxa" w:w="3500"/>
            <w:vAlign w:val="center"/>
          </w:tcPr>
          <w:p>
            <w:pPr>
              <w:pStyle w:val="TableText"/>
              <w:keepNext/>
            </w:pPr>
            <w:r>
              <w:t>336×15分＝84時間</w:t>
            </w:r>
          </w:p>
        </w:tc>
        <w:tc>
          <w:tcPr>
            <w:tcW w:type="dxa" w:w="3810"/>
            <w:vAlign w:val="center"/>
          </w:tcPr>
          <w:p>
            <w:pPr>
              <w:pStyle w:val="TableText"/>
              <w:keepNext/>
            </w:pPr>
            <w:r>
              <w:t>24／48／84／180時間。</w:t>
            </w:r>
          </w:p>
        </w:tc>
      </w:tr>
      <w:tr>
        <w:trPr>
          <w:cantSplit/>
        </w:trPr>
        <w:tc>
          <w:tcPr>
            <w:tcW w:type="dxa" w:w="2050"/>
            <w:vAlign w:val="center"/>
          </w:tcPr>
          <w:p>
            <w:pPr>
              <w:pStyle w:val="TableText"/>
              <w:keepNext/>
            </w:pPr>
            <w:r>
              <w:t>Weather</w:t>
            </w:r>
          </w:p>
        </w:tc>
        <w:tc>
          <w:tcPr>
            <w:tcW w:type="dxa" w:w="3500"/>
            <w:vAlign w:val="center"/>
          </w:tcPr>
          <w:p>
            <w:pPr>
              <w:pStyle w:val="TableText"/>
              <w:keepNext/>
            </w:pPr>
            <w:r>
              <w:t>336×10分＝56時間</w:t>
            </w:r>
          </w:p>
        </w:tc>
        <w:tc>
          <w:tcPr>
            <w:tcW w:type="dxa" w:w="3810"/>
            <w:vAlign w:val="center"/>
          </w:tcPr>
          <w:p>
            <w:pPr>
              <w:pStyle w:val="TableText"/>
              <w:keepNext/>
            </w:pPr>
            <w:r>
              <w:t>16／32／56／120時間。</w:t>
            </w:r>
          </w:p>
        </w:tc>
      </w:tr>
      <w:tr>
        <w:trPr>
          <w:cantSplit/>
        </w:trPr>
        <w:tc>
          <w:tcPr>
            <w:tcW w:type="dxa" w:w="2050"/>
            <w:vAlign w:val="center"/>
          </w:tcPr>
          <w:p>
            <w:pPr>
              <w:pStyle w:val="TableText"/>
            </w:pPr>
            <w:r>
              <w:t>Illness</w:t>
            </w:r>
          </w:p>
        </w:tc>
        <w:tc>
          <w:tcPr>
            <w:tcW w:type="dxa" w:w="3500"/>
            <w:vAlign w:val="center"/>
          </w:tcPr>
          <w:p>
            <w:pPr>
              <w:pStyle w:val="TableText"/>
            </w:pPr>
            <w:r>
              <w:t>104週＝約2年</w:t>
            </w:r>
          </w:p>
        </w:tc>
        <w:tc>
          <w:tcPr>
            <w:tcW w:type="dxa" w:w="3810"/>
            <w:vAlign w:val="center"/>
          </w:tcPr>
          <w:p>
            <w:pPr>
              <w:pStyle w:val="TableText"/>
            </w:pPr>
            <w:r>
              <w:t>24／36／48／60週。</w:t>
            </w:r>
          </w:p>
        </w:tc>
      </w:tr>
    </w:tbl>
    <w:p>
      <w:pPr>
        <w:spacing w:after="0"/>
        <w:snapToGrid w:val="0"/>
      </w:pPr>
    </w:p>
    <w:p>
      <w:pPr>
        <w:snapToGrid w:val="0"/>
      </w:pPr>
      <w:r>
        <w:t>複数時刻の値が一度に入力される。長期の観測期間すべてを毎回入力するわけではなく、モデルが受け取るのはL時点の窓である。SOLIDはさらに過去の候補窓を保持するが、それも予測器の一回の入力とは別である。</w:t>
      </w:r>
    </w:p>
    <w:p>
      <w:pPr>
        <w:pStyle w:val="Heading3"/>
        <w:snapToGrid w:val="0"/>
      </w:pPr>
      <w:r>
        <w:t>4.3　G：学習・検証・テストの分割と窓数</w:t>
      </w:r>
    </w:p>
    <w:p>
      <w:pPr>
        <w:snapToGrid w:val="0"/>
      </w:pPr>
      <w:r>
        <w:t>時系列順に分割する。モデル学習時のミニバッチshuffleと、時系列のtrain／test分割は別問題である。標準化器は公開通常ローダーで訓練部分にfitされる。【コード：data_loader.py】</w:t>
      </w:r>
    </w:p>
    <w:p>
      <w:pPr>
        <w:snapToGrid w:val="0"/>
      </w:pPr>
      <w:r>
        <w:t>ETTの通常ローダーは12×30日を訓練、4×30日を検証、4×30日をテストとして固定する。時間版は8,640／2,880／2,880時点、15分版は34,560／11,520／11,520時点で、使用範囲内では6:2:2となる。公表されたファイル全体の17,420／69,680時点に単純に60%を掛けた値ではない。Fig.6の訓練長8,760表記とも異なるため、復現では実際の境界を記録する。</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300"/>
        <w:gridCol w:w="2200"/>
        <w:gridCol w:w="2200"/>
        <w:gridCol w:w="2660"/>
      </w:tblGrid>
      <w:tr>
        <w:trPr>
          <w:cantSplit/>
          <w:tblHeader/>
        </w:trPr>
        <w:tc>
          <w:tcPr>
            <w:tcW w:type="dxa" w:w="2300"/>
            <w:vAlign w:val="center"/>
            <w:shd w:fill="E8EEF5"/>
          </w:tcPr>
          <w:p>
            <w:pPr>
              <w:pStyle w:val="TableText"/>
              <w:keepNext/>
            </w:pPr>
            <w:r>
              <w:rPr>
                <w:b/>
                <w:color w:val="1F4D78"/>
              </w:rPr>
              <w:t>データ</w:t>
            </w:r>
          </w:p>
        </w:tc>
        <w:tc>
          <w:tcPr>
            <w:tcW w:type="dxa" w:w="2200"/>
            <w:vAlign w:val="center"/>
            <w:shd w:fill="E8EEF5"/>
          </w:tcPr>
          <w:p>
            <w:pPr>
              <w:pStyle w:val="TableText"/>
              <w:keepNext/>
            </w:pPr>
            <w:r>
              <w:rPr>
                <w:b/>
                <w:color w:val="1F4D78"/>
              </w:rPr>
              <w:t>訓練時点数</w:t>
            </w:r>
          </w:p>
        </w:tc>
        <w:tc>
          <w:tcPr>
            <w:tcW w:type="dxa" w:w="2200"/>
            <w:vAlign w:val="center"/>
            <w:shd w:fill="E8EEF5"/>
          </w:tcPr>
          <w:p>
            <w:pPr>
              <w:pStyle w:val="TableText"/>
              <w:keepNext/>
            </w:pPr>
            <w:r>
              <w:rPr>
                <w:b/>
                <w:color w:val="1F4D78"/>
              </w:rPr>
              <w:t>検証時点数</w:t>
            </w:r>
          </w:p>
        </w:tc>
        <w:tc>
          <w:tcPr>
            <w:tcW w:type="dxa" w:w="2660"/>
            <w:vAlign w:val="center"/>
            <w:shd w:fill="E8EEF5"/>
          </w:tcPr>
          <w:p>
            <w:pPr>
              <w:pStyle w:val="TableText"/>
              <w:keepNext/>
            </w:pPr>
            <w:r>
              <w:rPr>
                <w:b/>
                <w:color w:val="1F4D78"/>
              </w:rPr>
              <w:t>テスト時点数</w:t>
            </w:r>
          </w:p>
        </w:tc>
      </w:tr>
      <w:tr>
        <w:trPr>
          <w:cantSplit/>
        </w:trPr>
        <w:tc>
          <w:tcPr>
            <w:tcW w:type="dxa" w:w="2300"/>
            <w:vAlign w:val="center"/>
          </w:tcPr>
          <w:p>
            <w:pPr>
              <w:pStyle w:val="TableText"/>
              <w:keepNext/>
            </w:pPr>
            <w:r>
              <w:t>Electricity：N=26,304の場合</w:t>
            </w:r>
          </w:p>
        </w:tc>
        <w:tc>
          <w:tcPr>
            <w:tcW w:type="dxa" w:w="2200"/>
            <w:vAlign w:val="center"/>
          </w:tcPr>
          <w:p>
            <w:pPr>
              <w:pStyle w:val="TableText"/>
              <w:keepNext/>
            </w:pPr>
            <w:r>
              <w:t>18,412</w:t>
            </w:r>
          </w:p>
        </w:tc>
        <w:tc>
          <w:tcPr>
            <w:tcW w:type="dxa" w:w="2200"/>
            <w:vAlign w:val="center"/>
          </w:tcPr>
          <w:p>
            <w:pPr>
              <w:pStyle w:val="TableText"/>
              <w:keepNext/>
            </w:pPr>
            <w:r>
              <w:t>2,632</w:t>
            </w:r>
          </w:p>
        </w:tc>
        <w:tc>
          <w:tcPr>
            <w:tcW w:type="dxa" w:w="2660"/>
            <w:vAlign w:val="center"/>
          </w:tcPr>
          <w:p>
            <w:pPr>
              <w:pStyle w:val="TableText"/>
              <w:keepNext/>
            </w:pPr>
            <w:r>
              <w:t>5,260</w:t>
            </w:r>
          </w:p>
        </w:tc>
      </w:tr>
      <w:tr>
        <w:trPr>
          <w:cantSplit/>
        </w:trPr>
        <w:tc>
          <w:tcPr>
            <w:tcW w:type="dxa" w:w="2300"/>
            <w:vAlign w:val="center"/>
          </w:tcPr>
          <w:p>
            <w:pPr>
              <w:pStyle w:val="TableText"/>
              <w:keepNext/>
            </w:pPr>
            <w:r>
              <w:t>Traffic：N=17,544の場合</w:t>
            </w:r>
          </w:p>
        </w:tc>
        <w:tc>
          <w:tcPr>
            <w:tcW w:type="dxa" w:w="2200"/>
            <w:vAlign w:val="center"/>
          </w:tcPr>
          <w:p>
            <w:pPr>
              <w:pStyle w:val="TableText"/>
              <w:keepNext/>
            </w:pPr>
            <w:r>
              <w:t>12,280</w:t>
            </w:r>
          </w:p>
        </w:tc>
        <w:tc>
          <w:tcPr>
            <w:tcW w:type="dxa" w:w="2200"/>
            <w:vAlign w:val="center"/>
          </w:tcPr>
          <w:p>
            <w:pPr>
              <w:pStyle w:val="TableText"/>
              <w:keepNext/>
            </w:pPr>
            <w:r>
              <w:t>1,756</w:t>
            </w:r>
          </w:p>
        </w:tc>
        <w:tc>
          <w:tcPr>
            <w:tcW w:type="dxa" w:w="2660"/>
            <w:vAlign w:val="center"/>
          </w:tcPr>
          <w:p>
            <w:pPr>
              <w:pStyle w:val="TableText"/>
              <w:keepNext/>
            </w:pPr>
            <w:r>
              <w:t>3,508</w:t>
            </w:r>
          </w:p>
        </w:tc>
      </w:tr>
      <w:tr>
        <w:trPr>
          <w:cantSplit/>
        </w:trPr>
        <w:tc>
          <w:tcPr>
            <w:tcW w:type="dxa" w:w="2300"/>
            <w:vAlign w:val="center"/>
          </w:tcPr>
          <w:p>
            <w:pPr>
              <w:pStyle w:val="TableText"/>
              <w:keepNext/>
            </w:pPr>
            <w:r>
              <w:t>Weather：N=52,695の場合</w:t>
            </w:r>
          </w:p>
        </w:tc>
        <w:tc>
          <w:tcPr>
            <w:tcW w:type="dxa" w:w="2200"/>
            <w:vAlign w:val="center"/>
          </w:tcPr>
          <w:p>
            <w:pPr>
              <w:pStyle w:val="TableText"/>
              <w:keepNext/>
            </w:pPr>
            <w:r>
              <w:t>36,886</w:t>
            </w:r>
          </w:p>
        </w:tc>
        <w:tc>
          <w:tcPr>
            <w:tcW w:type="dxa" w:w="2200"/>
            <w:vAlign w:val="center"/>
          </w:tcPr>
          <w:p>
            <w:pPr>
              <w:pStyle w:val="TableText"/>
              <w:keepNext/>
            </w:pPr>
            <w:r>
              <w:t>5,270</w:t>
            </w:r>
          </w:p>
        </w:tc>
        <w:tc>
          <w:tcPr>
            <w:tcW w:type="dxa" w:w="2660"/>
            <w:vAlign w:val="center"/>
          </w:tcPr>
          <w:p>
            <w:pPr>
              <w:pStyle w:val="TableText"/>
              <w:keepNext/>
            </w:pPr>
            <w:r>
              <w:t>10,539</w:t>
            </w:r>
          </w:p>
        </w:tc>
      </w:tr>
      <w:tr>
        <w:trPr>
          <w:cantSplit/>
        </w:trPr>
        <w:tc>
          <w:tcPr>
            <w:tcW w:type="dxa" w:w="2300"/>
            <w:vAlign w:val="center"/>
          </w:tcPr>
          <w:p>
            <w:pPr>
              <w:pStyle w:val="TableText"/>
            </w:pPr>
            <w:r>
              <w:t>Illness：N=966の場合</w:t>
            </w:r>
          </w:p>
        </w:tc>
        <w:tc>
          <w:tcPr>
            <w:tcW w:type="dxa" w:w="2200"/>
            <w:vAlign w:val="center"/>
          </w:tcPr>
          <w:p>
            <w:pPr>
              <w:pStyle w:val="TableText"/>
            </w:pPr>
            <w:r>
              <w:t>676</w:t>
            </w:r>
          </w:p>
        </w:tc>
        <w:tc>
          <w:tcPr>
            <w:tcW w:type="dxa" w:w="2200"/>
            <w:vAlign w:val="center"/>
          </w:tcPr>
          <w:p>
            <w:pPr>
              <w:pStyle w:val="TableText"/>
            </w:pPr>
            <w:r>
              <w:t>97</w:t>
            </w:r>
          </w:p>
        </w:tc>
        <w:tc>
          <w:tcPr>
            <w:tcW w:type="dxa" w:w="2660"/>
            <w:vAlign w:val="center"/>
          </w:tcPr>
          <w:p>
            <w:pPr>
              <w:pStyle w:val="TableText"/>
            </w:pPr>
            <w:r>
              <w:t>193</w:t>
            </w:r>
          </w:p>
        </w:tc>
      </w:tr>
    </w:tbl>
    <w:p>
      <w:pPr>
        <w:spacing w:after="0"/>
        <w:snapToGrid w:val="0"/>
      </w:pPr>
    </w:p>
    <w:p>
      <w:pPr>
        <w:snapToGrid w:val="0"/>
      </w:pPr>
      <w:r>
        <w:t>上表はコードのfloor(0.7N)、floor(0.2N)、残りを検証とする規則からの計算値であり、実データをロードしたログではない。</w:t>
      </w:r>
    </w:p>
    <w:p>
      <w:pPr>
        <w:snapToGrid w:val="0"/>
      </w:pPr>
      <w:r>
        <w:t>訓練窓数は原則N_train−L−T+1。検証・テストは直前L時点を入力文脈として含むため、通常はN_split−T+1となる。例えばETTh1、L=336、T=96では訓練8,209窓、検証2,785窓、テスト2,785窓。Illness、L=104、T=24では訓練549窓、検証74窓、テスト170窓となる。</w:t>
      </w:r>
    </w:p>
    <w:p>
      <w:pPr>
        <w:snapToGrid w:val="0"/>
      </w:pPr>
      <w:r>
        <w:t>実際の評価件数はDataLoaderのdrop_lastやbatch sizeでも変わる。通常test経路はdrop_last=Trueで、適応経路のbatch size=1と比較する際は評価起点の一致確認が必要である。上の窓数をそのまま論文の実評価件数として断定しない。</w:t>
      </w:r>
    </w:p>
    <w:p>
      <w:pPr>
        <w:snapToGrid w:val="0"/>
      </w:pPr>
      <w:r>
        <w:t>テスト中の適応では、すでに結果が観測された過去のテスト期間データも候補になり得る。未来の正解を先取りすることとは異なるが、完全固定モデルとは異なる情報条件を持つ。t′+T≤tの制約を各起点で確認する。</w:t>
      </w:r>
    </w:p>
    <w:p>
      <w:pPr>
        <w:pStyle w:val="Heading3"/>
        <w:snapToGrid w:val="0"/>
      </w:pPr>
      <w:r>
        <w:t>4.4　C・E：正解ラベルと異常分類</w:t>
      </w:r>
    </w:p>
    <w:p>
      <w:pPr>
        <w:snapToGrid w:val="0"/>
      </w:pPr>
      <w:r>
        <w:t>将来値Yは存在し、予測学習とMSE／MAE評価に使われる。一方で、各入力窓についての学習内／外ラベルはない。時間区間と周期位相は文脈ラベルであり、異常ラベルではない。したがって学習外データの比率は本文から算出できず、テスト集合全体をOOD100%とみなせない。</w:t>
      </w:r>
    </w:p>
    <w:p>
      <w:pPr>
        <w:snapToGrid w:val="0"/>
      </w:pPr>
      <w:r>
        <w:t>著者は異常のpoint／contextual／collective分類を用いない。時系列窓を扱うこと自体はcollective anomalyの検出実績を意味しない。本研究の③に対応する評価を行うなら、入力の各周辺分布を保ったまま相関だけを変えるなど、別の設計が必要となる。</w:t>
      </w:r>
    </w:p>
    <w:p>
      <w:pPr>
        <w:pStyle w:val="Heading3"/>
        <w:snapToGrid w:val="0"/>
      </w:pPr>
      <w:r>
        <w:t>4.5　D・G：公開性、取得方法、利用条件</w:t>
      </w:r>
    </w:p>
    <w:p>
      <w:pPr>
        <w:snapToGrid w:val="0"/>
      </w:pPr>
      <w:r>
        <w:t>コードは作者のGitHubで公開され、ルートLICENSEはMITである。コードの許諾と、各データセットや論文の許諾は区別する。正式版論文の著作権表記はACMへの出版権許諾であり、CC BYと決めつけない。</w:t>
      </w:r>
    </w:p>
    <w:p>
      <w:pPr>
        <w:snapToGrid w:val="0"/>
      </w:pPr>
      <w:r>
        <w:t>ETTは提供者のETDatasetリポジトリのETT-small配下からCSVを取得できる。ルートLICENSEはCC BY-ND 4.0と記載される。名称、版、出典、許諾文を記録し、加工版の配布等は当該条件を確認する。ここでは個別利用の法的判断は行わない。</w:t>
      </w:r>
    </w:p>
    <w:p>
      <w:pPr>
        <w:snapToGrid w:val="0"/>
      </w:pPr>
      <w:r>
        <w:t>その他のベンチマークは作者完全版がInformer2020／Autoformerの公開入口を案内しており、AutoformerのGet Startedから前処理済みデータのGoogle Driveリンクへ進める。今回、その全アーカイブのダウンロード成功や全データの個別ライセンスまでは検証していない。</w:t>
      </w:r>
    </w:p>
    <w:p>
      <w:pPr>
        <w:snapToGrid w:val="0"/>
      </w:pPr>
      <w:r>
        <w:t>Electricity、Traffic、Weather、Illnessの各配布物の利用条件は個別確認事項であり、SOLIDコードのMITを自動適用しない。企業内利用では使用ファイルの出典とライセンスを台帳に残す。</w:t>
      </w:r>
    </w:p>
    <w:p>
      <w:pPr>
        <w:pStyle w:val="Heading3"/>
        <w:snapToGrid w:val="0"/>
      </w:pPr>
      <w:r>
        <w:t>4.6　H：入力データだけで検知できるか？</w:t>
      </w:r>
    </w:p>
    <w:p>
      <w:pPr>
        <w:snapToGrid w:val="0"/>
      </w:pPr>
      <w:r>
        <w:t>Reconditionorには過去入力、モデル予測、実測将来値、文脈区分が必要である。診断式自体は予測APIを使って計算可能で、内部勾配は不要だが、入力だけでは計算できない。</w:t>
      </w:r>
    </w:p>
    <w:p>
      <w:pPr>
        <w:snapToGrid w:val="0"/>
      </w:pPr>
      <w:r>
        <w:t>SOLIDは現在の入力窓に加え、ラベルが完成した過去窓、基礎モデル、予測層パラメータ、勾配計算を必要とする。現在の将来真値は不要だが、モデル内部へのアクセスと過去の出力観測は必要である。</w:t>
      </w:r>
    </w:p>
    <w:p>
      <w:pPr>
        <w:pStyle w:val="Heading2"/>
        <w:snapToGrid w:val="0"/>
      </w:pPr>
      <w:r>
        <w:t>5　検知アルゴリズムと適応アルゴリズム</w:t>
      </w:r>
    </w:p>
    <w:p>
      <w:pPr>
        <w:pStyle w:val="Heading3"/>
        <w:snapToGrid w:val="0"/>
      </w:pPr>
      <w:r>
        <w:t>5.1　Reconditionor：診断時に行う処理</w:t>
      </w:r>
    </w:p>
    <w:p>
      <w:pPr>
        <w:snapToGrid w:val="0"/>
      </w:pPr>
      <w:r>
        <w:t>学習済み予測モデルで履歴データを推論し、予測値−実測値を残差として保存する。周期位相または五つの時間区間で残差を分け、各条件付き分布と全体分布のKLダイバージェンスを文脈頻度で平均する。出力はδ_Pまたはδ_Tである。</w:t>
      </w:r>
    </w:p>
    <w:p>
      <w:pPr>
        <w:snapToGrid w:val="0"/>
      </w:pPr>
      <w:r>
        <w:t>本文の推定器はガウス近似である。公開スクリプトはヒストグラム近似であり、両者は同一の数値手続きではない。実装比較では推定方式、残差の集約軸、分箱、周期、重みを固定する。</w:t>
      </w:r>
    </w:p>
    <w:p>
      <w:pPr>
        <w:snapToGrid w:val="0"/>
      </w:pPr>
      <w:r>
        <w:t>運用時に毎回この診断を計算する設計ではなく、本文は訓練データ上の一回の診断を想定する。後に新規データで再診断することは可能だが、更新周期や変化検知閾値は追加設計となる。</w:t>
      </w:r>
    </w:p>
    <w:p>
      <w:pPr>
        <w:pStyle w:val="Heading3"/>
        <w:snapToGrid w:val="0"/>
      </w:pPr>
      <w:r>
        <w:t>5.2　SOLID：予測時に行う処理</w:t>
      </w:r>
    </w:p>
    <w:p>
      <w:pPr>
        <w:snapToGrid w:val="0"/>
      </w:pPr>
      <w:r>
        <w:t>現在tまでに実測済みの履歴から、将来ラベルが完成したサンプルを集める。時間的な近さと周期位相で候補を絞り、現在入力窓との距離が小さいλ_N件を選ぶ。基礎モデルをコピーし、予測層のみを少数ステップ調整して現在の予測を出す。公開主実装では次のサンプルで基礎モデルに戻る。</w:t>
      </w:r>
    </w:p>
    <w:p>
      <w:pPr>
        <w:snapToGrid w:val="0"/>
      </w:pPr>
      <w:r>
        <w:t>学習時に必要な情報は教師付き時系列、分割、標準化統計、モデル構成、文脈・周期、適応ハイパーパラメータである。運用時には現在窓、過去の教師付き窓、時刻、モデルパラメータ、勾配計算環境が必要である。</w:t>
      </w:r>
    </w:p>
    <w:p>
      <w:pPr>
        <w:pStyle w:val="Heading3"/>
        <w:snapToGrid w:val="0"/>
      </w:pPr>
      <w:r>
        <w:t>5.3　スコアと閾値の決め方</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keepNext/>
            </w:pPr>
            <w:r>
              <w:rPr>
                <w:b/>
                <w:color w:val="1F4D78"/>
              </w:rPr>
              <w:t>量</w:t>
            </w:r>
          </w:p>
        </w:tc>
        <w:tc>
          <w:tcPr>
            <w:tcW w:type="dxa" w:w="3500"/>
            <w:vAlign w:val="center"/>
            <w:shd w:fill="E8EEF5"/>
          </w:tcPr>
          <w:p>
            <w:pPr>
              <w:pStyle w:val="TableText"/>
              <w:keepNext/>
            </w:pPr>
            <w:r>
              <w:rPr>
                <w:b/>
                <w:color w:val="1F4D78"/>
              </w:rPr>
              <w:t>意味</w:t>
            </w:r>
          </w:p>
        </w:tc>
        <w:tc>
          <w:tcPr>
            <w:tcW w:type="dxa" w:w="3810"/>
            <w:vAlign w:val="center"/>
            <w:shd w:fill="E8EEF5"/>
          </w:tcPr>
          <w:p>
            <w:pPr>
              <w:pStyle w:val="TableText"/>
              <w:keepNext/>
            </w:pPr>
            <w:r>
              <w:rPr>
                <w:b/>
                <w:color w:val="1F4D78"/>
              </w:rPr>
              <w:t>閾値・選び方</w:t>
            </w:r>
          </w:p>
        </w:tc>
      </w:tr>
      <w:tr>
        <w:trPr>
          <w:cantSplit/>
        </w:trPr>
        <w:tc>
          <w:tcPr>
            <w:tcW w:type="dxa" w:w="2050"/>
            <w:vAlign w:val="center"/>
          </w:tcPr>
          <w:p>
            <w:pPr>
              <w:pStyle w:val="TableText"/>
              <w:keepNext/>
            </w:pPr>
            <w:r>
              <w:t>δ_P／δ_T</w:t>
            </w:r>
          </w:p>
        </w:tc>
        <w:tc>
          <w:tcPr>
            <w:tcW w:type="dxa" w:w="3500"/>
            <w:vAlign w:val="center"/>
          </w:tcPr>
          <w:p>
            <w:pPr>
              <w:pStyle w:val="TableText"/>
              <w:keepNext/>
            </w:pPr>
            <w:r>
              <w:t>モデル残差と文脈の依存度</w:t>
            </w:r>
          </w:p>
        </w:tc>
        <w:tc>
          <w:tcPr>
            <w:tcW w:type="dxa" w:w="3810"/>
            <w:vAlign w:val="center"/>
          </w:tcPr>
          <w:p>
            <w:pPr>
              <w:pStyle w:val="TableText"/>
              <w:keepNext/>
            </w:pPr>
            <w:r>
              <w:t>本文ではlog10δ_P=−3.2を分析上の分界に使用。誤報率保証なし。</w:t>
            </w:r>
          </w:p>
        </w:tc>
      </w:tr>
      <w:tr>
        <w:trPr>
          <w:cantSplit/>
        </w:trPr>
        <w:tc>
          <w:tcPr>
            <w:tcW w:type="dxa" w:w="2050"/>
            <w:vAlign w:val="center"/>
          </w:tcPr>
          <w:p>
            <w:pPr>
              <w:pStyle w:val="TableText"/>
              <w:keepNext/>
            </w:pPr>
            <w:r>
              <w:t>λ_P</w:t>
            </w:r>
          </w:p>
        </w:tc>
        <w:tc>
          <w:tcPr>
            <w:tcW w:type="dxa" w:w="3500"/>
            <w:vAlign w:val="center"/>
          </w:tcPr>
          <w:p>
            <w:pPr>
              <w:pStyle w:val="TableText"/>
              <w:keepNext/>
            </w:pPr>
            <w:r>
              <w:t>候補の位相差の許容幅</w:t>
            </w:r>
          </w:p>
        </w:tc>
        <w:tc>
          <w:tcPr>
            <w:tcW w:type="dxa" w:w="3810"/>
            <w:vAlign w:val="center"/>
          </w:tcPr>
          <w:p>
            <w:pPr>
              <w:pStyle w:val="TableText"/>
              <w:keepNext/>
            </w:pPr>
            <w:r>
              <w:t>検証集合で選択。OOD判定閾値ではない。</w:t>
            </w:r>
          </w:p>
        </w:tc>
      </w:tr>
      <w:tr>
        <w:trPr>
          <w:cantSplit/>
        </w:trPr>
        <w:tc>
          <w:tcPr>
            <w:tcW w:type="dxa" w:w="2050"/>
            <w:vAlign w:val="center"/>
          </w:tcPr>
          <w:p>
            <w:pPr>
              <w:pStyle w:val="TableText"/>
              <w:keepNext/>
            </w:pPr>
            <w:r>
              <w:t>λ_N</w:t>
            </w:r>
          </w:p>
        </w:tc>
        <w:tc>
          <w:tcPr>
            <w:tcW w:type="dxa" w:w="3500"/>
            <w:vAlign w:val="center"/>
          </w:tcPr>
          <w:p>
            <w:pPr>
              <w:pStyle w:val="TableText"/>
              <w:keepNext/>
            </w:pPr>
            <w:r>
              <w:t>局所適応に用いる件数</w:t>
            </w:r>
          </w:p>
        </w:tc>
        <w:tc>
          <w:tcPr>
            <w:tcW w:type="dxa" w:w="3810"/>
            <w:vAlign w:val="center"/>
          </w:tcPr>
          <w:p>
            <w:pPr>
              <w:pStyle w:val="TableText"/>
              <w:keepNext/>
            </w:pPr>
            <w:r>
              <w:t>検証集合で選択。一般5／10／20、Illness2／3／5。</w:t>
            </w:r>
          </w:p>
        </w:tc>
      </w:tr>
      <w:tr>
        <w:trPr>
          <w:cantSplit/>
        </w:trPr>
        <w:tc>
          <w:tcPr>
            <w:tcW w:type="dxa" w:w="2050"/>
            <w:vAlign w:val="center"/>
          </w:tcPr>
          <w:p>
            <w:pPr>
              <w:pStyle w:val="TableText"/>
              <w:keepNext/>
            </w:pPr>
            <w:r>
              <w:t>λ_T／test_train_num</w:t>
            </w:r>
          </w:p>
        </w:tc>
        <w:tc>
          <w:tcPr>
            <w:tcW w:type="dxa" w:w="3500"/>
            <w:vAlign w:val="center"/>
          </w:tcPr>
          <w:p>
            <w:pPr>
              <w:pStyle w:val="TableText"/>
              <w:keepNext/>
            </w:pPr>
            <w:r>
              <w:t>過去を検索する範囲／候補数</w:t>
            </w:r>
          </w:p>
        </w:tc>
        <w:tc>
          <w:tcPr>
            <w:tcW w:type="dxa" w:w="3810"/>
            <w:vAlign w:val="center"/>
          </w:tcPr>
          <w:p>
            <w:pPr>
              <w:pStyle w:val="TableText"/>
              <w:keepNext/>
            </w:pPr>
            <w:r>
              <w:t>本文とコードの意味が異なるため、時刻境界を確認する。</w:t>
            </w:r>
          </w:p>
        </w:tc>
      </w:tr>
      <w:tr>
        <w:trPr>
          <w:cantSplit/>
        </w:trPr>
        <w:tc>
          <w:tcPr>
            <w:tcW w:type="dxa" w:w="2050"/>
            <w:vAlign w:val="center"/>
          </w:tcPr>
          <w:p>
            <w:pPr>
              <w:pStyle w:val="TableText"/>
            </w:pPr>
            <w:r>
              <w:t>学習率η</w:t>
            </w:r>
          </w:p>
        </w:tc>
        <w:tc>
          <w:tcPr>
            <w:tcW w:type="dxa" w:w="3500"/>
            <w:vAlign w:val="center"/>
          </w:tcPr>
          <w:p>
            <w:pPr>
              <w:pStyle w:val="TableText"/>
            </w:pPr>
            <w:r>
              <w:t>適応量</w:t>
            </w:r>
          </w:p>
        </w:tc>
        <w:tc>
          <w:tcPr>
            <w:tcW w:type="dxa" w:w="3810"/>
            <w:vAlign w:val="center"/>
          </w:tcPr>
          <w:p>
            <w:pPr>
              <w:pStyle w:val="TableText"/>
            </w:pPr>
            <w:r>
              <w:t>検証集合で選択。勾配の和／平均の規約も固定する。</w:t>
            </w:r>
          </w:p>
        </w:tc>
      </w:tr>
    </w:tbl>
    <w:p>
      <w:pPr>
        <w:spacing w:after="0"/>
        <w:snapToGrid w:val="0"/>
      </w:pPr>
    </w:p>
    <w:p>
      <w:pPr>
        <w:snapToGrid w:val="0"/>
      </w:pPr>
      <w:r>
        <w:t>原論文はδを一件の入力の異常確率に変換していない。新しい学習外検知器として採用する場合、誰を陽性とするか、どの単位にスコアを付けるか、許容誤報率はいくらかを先に定義する必要がある。</w:t>
      </w:r>
    </w:p>
    <w:p>
      <w:pPr>
        <w:pStyle w:val="Heading2"/>
        <w:snapToGrid w:val="0"/>
      </w:pPr>
      <w:r>
        <w:t>6　評価方法・結果・検知率と誤検知率</w:t>
      </w:r>
    </w:p>
    <w:p>
      <w:pPr>
        <w:snapToGrid w:val="0"/>
      </w:pPr>
      <w:r>
        <w:t>主評価はMSE／MAEによる予測精度である。比較対象は各基礎モデル、文脈選択の消融、全モデル適応、RevIN、Dish-TSとの組合せであり、前二篇との同一データ上の直接比較は行っていない。</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評価項目</w:t>
            </w:r>
          </w:p>
        </w:tc>
        <w:tc>
          <w:tcPr>
            <w:tcW w:type="dxa" w:w="3500"/>
            <w:vAlign w:val="center"/>
            <w:shd w:fill="E8EEF5"/>
          </w:tcPr>
          <w:p>
            <w:pPr>
              <w:pStyle w:val="TableText"/>
            </w:pPr>
            <w:r>
              <w:rPr>
                <w:b/>
                <w:color w:val="1F4D78"/>
              </w:rPr>
              <w:t>本文の結果</w:t>
            </w:r>
          </w:p>
        </w:tc>
        <w:tc>
          <w:tcPr>
            <w:tcW w:type="dxa" w:w="3810"/>
            <w:vAlign w:val="center"/>
            <w:shd w:fill="E8EEF5"/>
          </w:tcPr>
          <w:p>
            <w:pPr>
              <w:pStyle w:val="TableText"/>
            </w:pPr>
            <w:r>
              <w:rPr>
                <w:b/>
                <w:color w:val="1F4D78"/>
              </w:rPr>
              <w:t>解釈上の注意</w:t>
            </w:r>
          </w:p>
        </w:tc>
      </w:tr>
      <w:tr>
        <w:trPr>
          <w:cantSplit/>
        </w:trPr>
        <w:tc>
          <w:tcPr>
            <w:tcW w:type="dxa" w:w="2050"/>
            <w:vAlign w:val="center"/>
          </w:tcPr>
          <w:p>
            <w:pPr>
              <w:pStyle w:val="TableText"/>
            </w:pPr>
            <w:r>
              <w:t>適応有効性の判別</w:t>
            </w:r>
          </w:p>
        </w:tc>
        <w:tc>
          <w:tcPr>
            <w:tcW w:type="dxa" w:w="3500"/>
            <w:vAlign w:val="center"/>
          </w:tcPr>
          <w:p>
            <w:pPr>
              <w:pStyle w:val="TableText"/>
            </w:pPr>
            <w:r>
              <w:t>50／56＝89.3%</w:t>
            </w:r>
          </w:p>
        </w:tc>
        <w:tc>
          <w:tcPr>
            <w:tcW w:type="dxa" w:w="3810"/>
            <w:vAlign w:val="center"/>
          </w:tcPr>
          <w:p>
            <w:pPr>
              <w:pStyle w:val="TableText"/>
            </w:pPr>
            <w:r>
              <w:t>MAE改善が1%を超えるモデル×データの組合せを判別。入力OOD検出率ではない。</w:t>
            </w:r>
          </w:p>
        </w:tc>
      </w:tr>
      <w:tr>
        <w:trPr>
          <w:cantSplit/>
        </w:trPr>
        <w:tc>
          <w:tcPr>
            <w:tcW w:type="dxa" w:w="2050"/>
            <w:vAlign w:val="center"/>
          </w:tcPr>
          <w:p>
            <w:pPr>
              <w:pStyle w:val="TableText"/>
            </w:pPr>
            <w:r>
              <w:t>Informer除外時</w:t>
            </w:r>
          </w:p>
        </w:tc>
        <w:tc>
          <w:tcPr>
            <w:tcW w:type="dxa" w:w="3500"/>
            <w:vAlign w:val="center"/>
          </w:tcPr>
          <w:p>
            <w:pPr>
              <w:pStyle w:val="TableText"/>
            </w:pPr>
            <w:r>
              <w:t>45／48＝93.8%</w:t>
            </w:r>
          </w:p>
        </w:tc>
        <w:tc>
          <w:tcPr>
            <w:tcW w:type="dxa" w:w="3810"/>
            <w:vAlign w:val="center"/>
          </w:tcPr>
          <w:p>
            <w:pPr>
              <w:pStyle w:val="TableText"/>
            </w:pPr>
            <w:r>
              <w:t>除外後の条件付き結果。全モデルの代表値としない。</w:t>
            </w:r>
          </w:p>
        </w:tc>
      </w:tr>
      <w:tr>
        <w:trPr>
          <w:cantSplit/>
        </w:trPr>
        <w:tc>
          <w:tcPr>
            <w:tcW w:type="dxa" w:w="2050"/>
            <w:vAlign w:val="center"/>
          </w:tcPr>
          <w:p>
            <w:pPr>
              <w:pStyle w:val="TableText"/>
            </w:pPr>
            <w:r>
              <w:t>δ_PとMAE改善の順位相関</w:t>
            </w:r>
          </w:p>
        </w:tc>
        <w:tc>
          <w:tcPr>
            <w:tcW w:type="dxa" w:w="3500"/>
            <w:vAlign w:val="center"/>
          </w:tcPr>
          <w:p>
            <w:pPr>
              <w:pStyle w:val="TableText"/>
            </w:pPr>
            <w:r>
              <w:t>0.7998</w:t>
            </w:r>
          </w:p>
        </w:tc>
        <w:tc>
          <w:tcPr>
            <w:tcW w:type="dxa" w:w="3810"/>
            <w:vAlign w:val="center"/>
          </w:tcPr>
          <w:p>
            <w:pPr>
              <w:pStyle w:val="TableText"/>
            </w:pPr>
            <w:r>
              <w:t>Informer除外。因果や性能保証ではない。</w:t>
            </w:r>
          </w:p>
        </w:tc>
      </w:tr>
      <w:tr>
        <w:trPr>
          <w:cantSplit/>
        </w:trPr>
        <w:tc>
          <w:tcPr>
            <w:tcW w:type="dxa" w:w="2050"/>
            <w:vAlign w:val="center"/>
          </w:tcPr>
          <w:p>
            <w:pPr>
              <w:pStyle w:val="TableText"/>
            </w:pPr>
            <w:r>
              <w:t>δ_TとMAE改善の順位相関</w:t>
            </w:r>
          </w:p>
        </w:tc>
        <w:tc>
          <w:tcPr>
            <w:tcW w:type="dxa" w:w="3500"/>
            <w:vAlign w:val="center"/>
          </w:tcPr>
          <w:p>
            <w:pPr>
              <w:pStyle w:val="TableText"/>
            </w:pPr>
            <w:r>
              <w:t>0.2129</w:t>
            </w:r>
          </w:p>
        </w:tc>
        <w:tc>
          <w:tcPr>
            <w:tcW w:type="dxa" w:w="3810"/>
            <w:vAlign w:val="center"/>
          </w:tcPr>
          <w:p>
            <w:pPr>
              <w:pStyle w:val="TableText"/>
            </w:pPr>
            <w:r>
              <w:t>時間区間の診断は適応利益を十分説明しない場合がある。</w:t>
            </w:r>
          </w:p>
        </w:tc>
      </w:tr>
      <w:tr>
        <w:trPr>
          <w:cantSplit/>
        </w:trPr>
        <w:tc>
          <w:tcPr>
            <w:tcW w:type="dxa" w:w="2050"/>
            <w:vAlign w:val="center"/>
          </w:tcPr>
          <w:p>
            <w:pPr>
              <w:pStyle w:val="TableText"/>
            </w:pPr>
            <w:r>
              <w:t>強CDSの一部データ</w:t>
            </w:r>
          </w:p>
        </w:tc>
        <w:tc>
          <w:tcPr>
            <w:tcW w:type="dxa" w:w="3500"/>
            <w:vAlign w:val="center"/>
          </w:tcPr>
          <w:p>
            <w:pPr>
              <w:pStyle w:val="TableText"/>
            </w:pPr>
            <w:r>
              <w:t>平均MSE改善8.7～15.1%</w:t>
            </w:r>
          </w:p>
        </w:tc>
        <w:tc>
          <w:tcPr>
            <w:tcW w:type="dxa" w:w="3810"/>
            <w:vAlign w:val="center"/>
          </w:tcPr>
          <w:p>
            <w:pPr>
              <w:pStyle w:val="TableText"/>
            </w:pPr>
            <w:r>
              <w:t>特定の集計条件。全タスク共通値ではない。</w:t>
            </w:r>
          </w:p>
        </w:tc>
      </w:tr>
      <w:tr>
        <w:trPr>
          <w:cantSplit/>
        </w:trPr>
        <w:tc>
          <w:tcPr>
            <w:tcW w:type="dxa" w:w="2050"/>
            <w:vAlign w:val="center"/>
          </w:tcPr>
          <w:p>
            <w:pPr>
              <w:pStyle w:val="TableText"/>
            </w:pPr>
            <w:r>
              <w:t>実時間性</w:t>
            </w:r>
          </w:p>
        </w:tc>
        <w:tc>
          <w:tcPr>
            <w:tcW w:type="dxa" w:w="3500"/>
            <w:vAlign w:val="center"/>
          </w:tcPr>
          <w:p>
            <w:pPr>
              <w:pStyle w:val="TableText"/>
            </w:pPr>
            <w:r>
              <w:t>FEDformerの速度は元の約0.77～0.79倍</w:t>
            </w:r>
          </w:p>
        </w:tc>
        <w:tc>
          <w:tcPr>
            <w:tcW w:type="dxa" w:w="3810"/>
            <w:vAlign w:val="center"/>
          </w:tcPr>
          <w:p>
            <w:pPr>
              <w:pStyle w:val="TableText"/>
            </w:pPr>
            <w:r>
              <w:t>単位時間の処理量。装置上の最悪遅延は未評価。</w:t>
            </w:r>
          </w:p>
        </w:tc>
      </w:tr>
    </w:tbl>
    <w:p>
      <w:pPr>
        <w:spacing w:after="0"/>
        <w:snapToGrid w:val="0"/>
      </w:pPr>
    </w:p>
    <w:p>
      <w:pPr>
        <w:snapToGrid w:val="0"/>
      </w:pPr>
      <w:r>
        <w:t>検知率と誤検知率のトレードオフを示すROC、FPR固定時TPR、異常イベント検出遅延は報告されていない。δの採用閾値を下げれば適応対象が増え、不要な計算や悪化の可能性も増える。ただし本文から定量的な誤報増分は求められない。</w:t>
      </w:r>
    </w:p>
    <w:p>
      <w:pPr>
        <w:snapToGrid w:val="0"/>
      </w:pPr>
      <w:r>
        <w:t>異常ラベルがない場合でも将来実測Yがあれば、適応前後の誤差、文脈別残差、改善／悪化の割合、計算費用を評価できる。しかしこれを「学習外検知精度」とは呼べない。Yも一切得られない場合、本文の残差診断と教師付き適応は実施できない。</w:t>
      </w:r>
    </w:p>
    <w:p>
      <w:pPr>
        <w:snapToGrid w:val="0"/>
      </w:pPr>
      <w:r>
        <w:t>追加評価としては時間順の外部検証、ブロック単位の不確実性評価、文脈ごとのサンプル数と残差、変化発生から診断までの遅延、適応により悪化した例の割合が必要である。これらは本研究で提案する評価であり、著者が完了した評価ではない。</w:t>
      </w:r>
    </w:p>
    <w:p>
      <w:pPr>
        <w:pStyle w:val="Heading2"/>
        <w:snapToGrid w:val="0"/>
      </w:pPr>
      <w:r>
        <w:t>7　長所・短所・適用制約</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400"/>
        <w:gridCol w:w="6960"/>
      </w:tblGrid>
      <w:tr>
        <w:trPr>
          <w:cantSplit/>
          <w:tblHeader/>
        </w:trPr>
        <w:tc>
          <w:tcPr>
            <w:tcW w:type="dxa" w:w="2400"/>
            <w:vAlign w:val="center"/>
            <w:shd w:fill="E8EEF5"/>
          </w:tcPr>
          <w:p>
            <w:pPr>
              <w:pStyle w:val="TableText"/>
            </w:pPr>
            <w:r>
              <w:rPr>
                <w:b/>
                <w:color w:val="1F4D78"/>
              </w:rPr>
              <w:t>観点</w:t>
            </w:r>
          </w:p>
        </w:tc>
        <w:tc>
          <w:tcPr>
            <w:tcW w:type="dxa" w:w="6960"/>
            <w:vAlign w:val="center"/>
            <w:shd w:fill="E8EEF5"/>
          </w:tcPr>
          <w:p>
            <w:pPr>
              <w:pStyle w:val="TableText"/>
            </w:pPr>
            <w:r>
              <w:rPr>
                <w:b/>
                <w:color w:val="1F4D78"/>
              </w:rPr>
              <w:t>内容</w:t>
            </w:r>
          </w:p>
        </w:tc>
      </w:tr>
      <w:tr>
        <w:trPr>
          <w:cantSplit/>
        </w:trPr>
        <w:tc>
          <w:tcPr>
            <w:tcW w:type="dxa" w:w="2400"/>
            <w:vAlign w:val="center"/>
          </w:tcPr>
          <w:p>
            <w:pPr>
              <w:pStyle w:val="TableText"/>
            </w:pPr>
            <w:r>
              <w:t>長所：対象モデルとの関係</w:t>
            </w:r>
          </w:p>
        </w:tc>
        <w:tc>
          <w:tcPr>
            <w:tcW w:type="dxa" w:w="6960"/>
            <w:vAlign w:val="center"/>
          </w:tcPr>
          <w:p>
            <w:pPr>
              <w:pStyle w:val="TableText"/>
            </w:pPr>
            <w:r>
              <w:t>入力変化そのものだけでなく、そのモデルの残差に着目する。</w:t>
            </w:r>
          </w:p>
        </w:tc>
      </w:tr>
      <w:tr>
        <w:trPr>
          <w:cantSplit/>
        </w:trPr>
        <w:tc>
          <w:tcPr>
            <w:tcW w:type="dxa" w:w="2400"/>
            <w:vAlign w:val="center"/>
          </w:tcPr>
          <w:p>
            <w:pPr>
              <w:pStyle w:val="TableText"/>
            </w:pPr>
            <w:r>
              <w:t>長所：既存モデル利用</w:t>
            </w:r>
          </w:p>
        </w:tc>
        <w:tc>
          <w:tcPr>
            <w:tcW w:type="dxa" w:w="6960"/>
            <w:vAlign w:val="center"/>
          </w:tcPr>
          <w:p>
            <w:pPr>
              <w:pStyle w:val="TableText"/>
            </w:pPr>
            <w:r>
              <w:t>多種類の予測モデルに後付けしやすく、全体再学習を避けられる。</w:t>
            </w:r>
          </w:p>
        </w:tc>
      </w:tr>
      <w:tr>
        <w:trPr>
          <w:cantSplit/>
        </w:trPr>
        <w:tc>
          <w:tcPr>
            <w:tcW w:type="dxa" w:w="2400"/>
            <w:vAlign w:val="center"/>
          </w:tcPr>
          <w:p>
            <w:pPr>
              <w:pStyle w:val="TableText"/>
            </w:pPr>
            <w:r>
              <w:t>長所：時系列文脈</w:t>
            </w:r>
          </w:p>
        </w:tc>
        <w:tc>
          <w:tcPr>
            <w:tcW w:type="dxa" w:w="6960"/>
            <w:vAlign w:val="center"/>
          </w:tcPr>
          <w:p>
            <w:pPr>
              <w:pStyle w:val="TableText"/>
            </w:pPr>
            <w:r>
              <w:t>最近性、周期、入力パターンを統合し、過去の実測情報を利用する。</w:t>
            </w:r>
          </w:p>
        </w:tc>
      </w:tr>
      <w:tr>
        <w:trPr>
          <w:cantSplit/>
        </w:trPr>
        <w:tc>
          <w:tcPr>
            <w:tcW w:type="dxa" w:w="2400"/>
            <w:vAlign w:val="center"/>
          </w:tcPr>
          <w:p>
            <w:pPr>
              <w:pStyle w:val="TableText"/>
            </w:pPr>
            <w:r>
              <w:t>短所：診断対象</w:t>
            </w:r>
          </w:p>
        </w:tc>
        <w:tc>
          <w:tcPr>
            <w:tcW w:type="dxa" w:w="6960"/>
            <w:vAlign w:val="center"/>
          </w:tcPr>
          <w:p>
            <w:pPr>
              <w:pStyle w:val="TableText"/>
            </w:pPr>
            <w:r>
              <w:t>個別入力をID／OODに分類せず、未知入力の即時拒否には直結しない。</w:t>
            </w:r>
          </w:p>
        </w:tc>
      </w:tr>
      <w:tr>
        <w:trPr>
          <w:cantSplit/>
        </w:trPr>
        <w:tc>
          <w:tcPr>
            <w:tcW w:type="dxa" w:w="2400"/>
            <w:vAlign w:val="center"/>
          </w:tcPr>
          <w:p>
            <w:pPr>
              <w:pStyle w:val="TableText"/>
            </w:pPr>
            <w:r>
              <w:t>短所：正解値</w:t>
            </w:r>
          </w:p>
        </w:tc>
        <w:tc>
          <w:tcPr>
            <w:tcW w:type="dxa" w:w="6960"/>
            <w:vAlign w:val="center"/>
          </w:tcPr>
          <w:p>
            <w:pPr>
              <w:pStyle w:val="TableText"/>
            </w:pPr>
            <w:r>
              <w:t>過去出力の実測が必須。長い予測窓やラベル公開遅延は適応を遅らせる。</w:t>
            </w:r>
          </w:p>
        </w:tc>
      </w:tr>
      <w:tr>
        <w:trPr>
          <w:cantSplit/>
        </w:trPr>
        <w:tc>
          <w:tcPr>
            <w:tcW w:type="dxa" w:w="2400"/>
            <w:vAlign w:val="center"/>
          </w:tcPr>
          <w:p>
            <w:pPr>
              <w:pStyle w:val="TableText"/>
            </w:pPr>
            <w:r>
              <w:t>短所：未観測文脈</w:t>
            </w:r>
          </w:p>
        </w:tc>
        <w:tc>
          <w:tcPr>
            <w:tcW w:type="dxa" w:w="6960"/>
            <w:vAlign w:val="center"/>
          </w:tcPr>
          <w:p>
            <w:pPr>
              <w:pStyle w:val="TableText"/>
            </w:pPr>
            <w:r>
              <w:t>入力が似ていても機構が異なる場合、古い文脈で誤適応する可能性がある。</w:t>
            </w:r>
          </w:p>
        </w:tc>
      </w:tr>
      <w:tr>
        <w:trPr>
          <w:cantSplit/>
        </w:trPr>
        <w:tc>
          <w:tcPr>
            <w:tcW w:type="dxa" w:w="2400"/>
            <w:vAlign w:val="center"/>
          </w:tcPr>
          <w:p>
            <w:pPr>
              <w:pStyle w:val="TableText"/>
            </w:pPr>
            <w:r>
              <w:t>短所：残差の集約</w:t>
            </w:r>
          </w:p>
        </w:tc>
        <w:tc>
          <w:tcPr>
            <w:tcW w:type="dxa" w:w="6960"/>
            <w:vAlign w:val="center"/>
          </w:tcPr>
          <w:p>
            <w:pPr>
              <w:pStyle w:val="TableText"/>
            </w:pPr>
            <w:r>
              <w:t>全変数・予測時点を一括集約すると、変数別の変化を隠し得る。</w:t>
            </w:r>
          </w:p>
        </w:tc>
      </w:tr>
      <w:tr>
        <w:trPr>
          <w:cantSplit/>
        </w:trPr>
        <w:tc>
          <w:tcPr>
            <w:tcW w:type="dxa" w:w="2400"/>
            <w:vAlign w:val="center"/>
          </w:tcPr>
          <w:p>
            <w:pPr>
              <w:pStyle w:val="TableText"/>
            </w:pPr>
            <w:r>
              <w:t>制約：モデル構造</w:t>
            </w:r>
          </w:p>
        </w:tc>
        <w:tc>
          <w:tcPr>
            <w:tcW w:type="dxa" w:w="6960"/>
            <w:vAlign w:val="center"/>
          </w:tcPr>
          <w:p>
            <w:pPr>
              <w:pStyle w:val="TableText"/>
            </w:pPr>
            <w:r>
              <w:t>診断は予測出力が得られれば可能。SOLIDは更新可能な予測層が必要。</w:t>
            </w:r>
          </w:p>
        </w:tc>
      </w:tr>
      <w:tr>
        <w:trPr>
          <w:cantSplit/>
        </w:trPr>
        <w:tc>
          <w:tcPr>
            <w:tcW w:type="dxa" w:w="2400"/>
            <w:vAlign w:val="center"/>
          </w:tcPr>
          <w:p>
            <w:pPr>
              <w:pStyle w:val="TableText"/>
            </w:pPr>
            <w:r>
              <w:t>制約：学習データ量</w:t>
            </w:r>
          </w:p>
        </w:tc>
        <w:tc>
          <w:tcPr>
            <w:tcW w:type="dxa" w:w="6960"/>
            <w:vAlign w:val="center"/>
          </w:tcPr>
          <w:p>
            <w:pPr>
              <w:pStyle w:val="TableText"/>
            </w:pPr>
            <w:r>
              <w:t>一律の最低学習件数の保証なし。十分な文脈数・各文脈標本が必要。λ_Nは基礎モデルの全学習量ではない。</w:t>
            </w:r>
          </w:p>
        </w:tc>
      </w:tr>
      <w:tr>
        <w:trPr>
          <w:cantSplit/>
        </w:trPr>
        <w:tc>
          <w:tcPr>
            <w:tcW w:type="dxa" w:w="2400"/>
            <w:vAlign w:val="center"/>
          </w:tcPr>
          <w:p>
            <w:pPr>
              <w:pStyle w:val="TableText"/>
            </w:pPr>
            <w:r>
              <w:t>制約：データ特性</w:t>
            </w:r>
          </w:p>
        </w:tc>
        <w:tc>
          <w:tcPr>
            <w:tcW w:type="dxa" w:w="6960"/>
            <w:vAlign w:val="center"/>
          </w:tcPr>
          <w:p>
            <w:pPr>
              <w:pStyle w:val="TableText"/>
            </w:pPr>
            <w:r>
              <w:t>多変量連続値、規則的な観測間隔、比較可能な入力窓を前提とする。欠測・不規則サンプリング・変数変更は追加対応。</w:t>
            </w:r>
          </w:p>
        </w:tc>
      </w:tr>
      <w:tr>
        <w:trPr>
          <w:cantSplit/>
        </w:trPr>
        <w:tc>
          <w:tcPr>
            <w:tcW w:type="dxa" w:w="2400"/>
            <w:vAlign w:val="center"/>
          </w:tcPr>
          <w:p>
            <w:pPr>
              <w:pStyle w:val="TableText"/>
            </w:pPr>
            <w:r>
              <w:t>制約：計算資源</w:t>
            </w:r>
          </w:p>
        </w:tc>
        <w:tc>
          <w:tcPr>
            <w:tcW w:type="dxa" w:w="6960"/>
            <w:vAlign w:val="center"/>
          </w:tcPr>
          <w:p>
            <w:pPr>
              <w:pStyle w:val="TableText"/>
            </w:pPr>
            <w:r>
              <w:t>履歴保持、候補検索、特徴計算、勾配更新が必要。メモリと処理時間はL、M、候補数に依存。</w:t>
            </w:r>
          </w:p>
        </w:tc>
      </w:tr>
      <w:tr>
        <w:trPr>
          <w:cantSplit/>
        </w:trPr>
        <w:tc>
          <w:tcPr>
            <w:tcW w:type="dxa" w:w="2400"/>
            <w:vAlign w:val="center"/>
          </w:tcPr>
          <w:p>
            <w:pPr>
              <w:pStyle w:val="TableText"/>
            </w:pPr>
            <w:r>
              <w:t>制約：理論</w:t>
            </w:r>
          </w:p>
        </w:tc>
        <w:tc>
          <w:tcPr>
            <w:tcW w:type="dxa" w:w="6960"/>
            <w:vAlign w:val="center"/>
          </w:tcPr>
          <w:p>
            <w:pPr>
              <w:pStyle w:val="TableText"/>
            </w:pPr>
            <w:r>
              <w:t>線形予測層、固定設計、独立同方差ノイズ等の仮定。非線形な新機構への保証はない。</w:t>
            </w:r>
          </w:p>
        </w:tc>
      </w:tr>
    </w:tbl>
    <w:p>
      <w:pPr>
        <w:spacing w:after="0"/>
        <w:snapToGrid w:val="0"/>
      </w:pPr>
    </w:p>
    <w:p>
      <w:pPr>
        <w:snapToGrid w:val="0"/>
      </w:pPr>
      <w:r>
        <w:t>一般のランダムフォレスト、任意のブラックボックスAPI、内部変更不可の社内モデルにSOLIDをそのまま適用できるとは限らない。モデル出力が得られればReconditionorのみを診断用途で試す余地がある。</w:t>
      </w:r>
    </w:p>
    <w:p>
      <w:pPr>
        <w:snapToGrid w:val="0"/>
      </w:pPr>
      <w:r>
        <w:t>【計算量の見積り：本報告の分析】n個の履歴予測から残差を作る費用は概ねn回の推論に依存する。ガウス要約の集計自体は残差要素数に線形。SOLIDでK候補と長さL・M変数の窓を直接比較するとO(KLM)、単純ソートならO(KlogK)が加わる。選んだλ_N件の特徴計算と予測層更新の費用も別途必要である。キャッシュで特徴再計算を減らせるが、保存量が増える。</w:t>
      </w:r>
    </w:p>
    <w:p>
      <w:pPr>
        <w:pStyle w:val="Heading2"/>
        <w:snapToGrid w:val="0"/>
      </w:pPr>
      <w:r>
        <w:t>8　社会インフラ監視制御への適用可能性</w:t>
      </w:r>
    </w:p>
    <w:p>
      <w:pPr>
        <w:pStyle w:val="Heading3"/>
        <w:snapToGrid w:val="0"/>
      </w:pPr>
      <w:r>
        <w:t>8.1　本文で確認できる適用先と未検証の適用先</w:t>
      </w:r>
    </w:p>
    <w:p>
      <w:pPr>
        <w:snapToGrid w:val="0"/>
      </w:pPr>
      <w:r>
        <w:t>本文の実験は変圧器、電力消費、交通、気象、疾患集計の予測である。変圧器や電力は社会インフラに近いが、閉ループ制御、安全制約、故障検出・復旧判断を直接評価したわけではない。</w:t>
      </w:r>
    </w:p>
    <w:p>
      <w:pPr>
        <w:snapToGrid w:val="0"/>
      </w:pPr>
      <w:r>
        <w:t>想定先として、季節や時間帯で残差が変化する需要予測、圧力・流量の将来予測、設備状態の連続値予測が考えられる。採用条件は、過去の実測出力が得られ、文脈の再出現があり、予測層調整が許され、処理遅延に余裕があることである。</w:t>
      </w:r>
    </w:p>
    <w:p>
      <w:pPr>
        <w:pStyle w:val="Heading3"/>
        <w:snapToGrid w:val="0"/>
      </w:pPr>
      <w:r>
        <w:t>8.2　末端圧力推定との接続</w:t>
      </w:r>
    </w:p>
    <w:p>
      <w:pPr>
        <w:snapToGrid w:val="0"/>
      </w:pPr>
      <w:r>
        <w:t>【仮定に基づく展開】ポンプ状態、流量、弁開度、上流圧力等から末端圧力を推定するモデルを想定する。時間帯・運転モード別に残差を調べれば、入力の各値が通常範囲でも、特定運転条件で系統的に高く／低く推定していないか確認できる。</w:t>
      </w:r>
    </w:p>
    <w:p>
      <w:pPr>
        <w:snapToGrid w:val="0"/>
      </w:pPr>
      <w:r>
        <w:t>ただし、末端圧力の実測が常時得られない設計なら残差診断は限定される。入力が現在一時刻のみか、複数時刻か、推定対象が現在値か未来値かも重要である。現在値推定なら本文のT段先ラベル到達制約はそのままではなく、センサ取得・通信遅延に置き換えて考える。</w:t>
      </w:r>
    </w:p>
    <w:p>
      <w:pPr>
        <w:snapToGrid w:val="0"/>
      </w:pPr>
      <w:r>
        <w:t>山原氏論文の原文は今回の資料にないため、実際の入力項目、モデル構造、データ量、報告結果との一致は未確認である。上記を山原氏が実証した内容として引用しない。</w:t>
      </w:r>
    </w:p>
    <w:p>
      <w:pPr>
        <w:pStyle w:val="Heading3"/>
        <w:snapToGrid w:val="0"/>
      </w:pPr>
      <w:r>
        <w:t>8.3　実習で検証するなら何をするか？</w:t>
      </w:r>
    </w:p>
    <w:p>
      <w:pPr>
        <w:snapToGrid w:val="0"/>
      </w:pPr>
      <w:r>
        <w:t>まず既存モデルを固定し、実測と予測の残差を時間帯・季節・運転モード別に比較する。平均と分散を変数別・予測長別に示し、全体集約で情報が消えていないか確かめる。Reconditionorの値だけでなく、各群の標本数も示す。</w:t>
      </w:r>
    </w:p>
    <w:p>
      <w:pPr>
        <w:snapToGrid w:val="0"/>
      </w:pPr>
      <w:r>
        <w:t>次に、時間順に分けた独立期間で、基礎モデル、最近データだけの適応、周期を加えた適応、完全SOLIDを比較する。現在の実測未来値が選択や更新に混入しないよう、起点ごとに利用可能時刻を記録する。</w:t>
      </w:r>
    </w:p>
    <w:p>
      <w:pPr>
        <w:snapToGrid w:val="0"/>
      </w:pPr>
      <w:r>
        <w:t>最後に、入力範囲外・低密度領域・入力間相関変化・入力―出力関係変化を分けて評価する。実測／シミュレーションの根拠を持つ正解を用意し、入力検知器と残差診断器の担当範囲を比較する。故障や危険状態を通常文脈として学習してしまう適応は避け、監視とモデル更新の判断基準を分ける。</w:t>
      </w:r>
    </w:p>
    <w:p>
      <w:pPr>
        <w:snapToGrid w:val="0"/>
      </w:pPr>
      <w:r>
        <w:t>評価項目は予測誤差、閾値超過率、誤検知・見逃し、診断遅延、適応による悪化、P95処理時間、メモリとする。これは将来の評価計画であり、本報告では未実行である。</w:t>
      </w:r>
    </w:p>
    <w:p>
      <w:pPr>
        <w:pStyle w:val="Heading2"/>
        <w:snapToGrid w:val="0"/>
      </w:pPr>
      <w:r>
        <w:t>9　三篇の役割比較</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300"/>
        <w:gridCol w:w="2200"/>
        <w:gridCol w:w="2200"/>
        <w:gridCol w:w="2660"/>
      </w:tblGrid>
      <w:tr>
        <w:trPr>
          <w:cantSplit/>
          <w:tblHeader/>
        </w:trPr>
        <w:tc>
          <w:tcPr>
            <w:tcW w:type="dxa" w:w="2300"/>
            <w:vAlign w:val="center"/>
            <w:shd w:fill="E8EEF5"/>
          </w:tcPr>
          <w:p>
            <w:pPr>
              <w:pStyle w:val="TableText"/>
              <w:keepNext/>
            </w:pPr>
            <w:r>
              <w:rPr>
                <w:b/>
                <w:color w:val="1F4D78"/>
              </w:rPr>
              <w:t>比較軸</w:t>
            </w:r>
          </w:p>
        </w:tc>
        <w:tc>
          <w:tcPr>
            <w:tcW w:type="dxa" w:w="2200"/>
            <w:vAlign w:val="center"/>
            <w:shd w:fill="E8EEF5"/>
          </w:tcPr>
          <w:p>
            <w:pPr>
              <w:pStyle w:val="TableText"/>
              <w:keepNext/>
            </w:pPr>
            <w:r>
              <w:rPr>
                <w:b/>
                <w:color w:val="1F4D78"/>
              </w:rPr>
              <w:t>P01 Density-Regression</w:t>
            </w:r>
          </w:p>
        </w:tc>
        <w:tc>
          <w:tcPr>
            <w:tcW w:type="dxa" w:w="2200"/>
            <w:vAlign w:val="center"/>
            <w:shd w:fill="E8EEF5"/>
          </w:tcPr>
          <w:p>
            <w:pPr>
              <w:pStyle w:val="TableText"/>
              <w:keepNext/>
            </w:pPr>
            <w:r>
              <w:rPr>
                <w:b/>
                <w:color w:val="1F4D78"/>
              </w:rPr>
              <w:t>P02 OutPro</w:t>
            </w:r>
          </w:p>
        </w:tc>
        <w:tc>
          <w:tcPr>
            <w:tcW w:type="dxa" w:w="2660"/>
            <w:vAlign w:val="center"/>
            <w:shd w:fill="E8EEF5"/>
          </w:tcPr>
          <w:p>
            <w:pPr>
              <w:pStyle w:val="TableText"/>
              <w:keepNext/>
            </w:pPr>
            <w:r>
              <w:rPr>
                <w:b/>
                <w:color w:val="1F4D78"/>
              </w:rPr>
              <w:t>P03 Reconditionor／SOLID</w:t>
            </w:r>
          </w:p>
        </w:tc>
      </w:tr>
      <w:tr>
        <w:trPr>
          <w:cantSplit/>
        </w:trPr>
        <w:tc>
          <w:tcPr>
            <w:tcW w:type="dxa" w:w="2300"/>
            <w:vAlign w:val="center"/>
          </w:tcPr>
          <w:p>
            <w:pPr>
              <w:pStyle w:val="TableText"/>
              <w:keepNext/>
            </w:pPr>
            <w:r>
              <w:t>中心課題</w:t>
            </w:r>
          </w:p>
        </w:tc>
        <w:tc>
          <w:tcPr>
            <w:tcW w:type="dxa" w:w="2200"/>
            <w:vAlign w:val="center"/>
          </w:tcPr>
          <w:p>
            <w:pPr>
              <w:pStyle w:val="TableText"/>
              <w:keepNext/>
            </w:pPr>
            <w:r>
              <w:t>分布変化下の回帰不確実性。</w:t>
            </w:r>
          </w:p>
        </w:tc>
        <w:tc>
          <w:tcPr>
            <w:tcW w:type="dxa" w:w="2200"/>
            <w:vAlign w:val="center"/>
          </w:tcPr>
          <w:p>
            <w:pPr>
              <w:pStyle w:val="TableText"/>
              <w:keepNext/>
            </w:pPr>
            <w:r>
              <w:t>予測に関連する入力のOOD度。</w:t>
            </w:r>
          </w:p>
        </w:tc>
        <w:tc>
          <w:tcPr>
            <w:tcW w:type="dxa" w:w="2660"/>
            <w:vAlign w:val="center"/>
          </w:tcPr>
          <w:p>
            <w:pPr>
              <w:pStyle w:val="TableText"/>
              <w:keepNext/>
            </w:pPr>
            <w:r>
              <w:t>文脈依存の残差診断と予測適応。</w:t>
            </w:r>
          </w:p>
        </w:tc>
      </w:tr>
      <w:tr>
        <w:trPr>
          <w:cantSplit/>
        </w:trPr>
        <w:tc>
          <w:tcPr>
            <w:tcW w:type="dxa" w:w="2300"/>
            <w:vAlign w:val="center"/>
          </w:tcPr>
          <w:p>
            <w:pPr>
              <w:pStyle w:val="TableText"/>
              <w:keepNext/>
            </w:pPr>
            <w:r>
              <w:t>主な根拠</w:t>
            </w:r>
          </w:p>
        </w:tc>
        <w:tc>
          <w:tcPr>
            <w:tcW w:type="dxa" w:w="2200"/>
            <w:vAlign w:val="center"/>
          </w:tcPr>
          <w:p>
            <w:pPr>
              <w:pStyle w:val="TableText"/>
              <w:keepNext/>
            </w:pPr>
            <w:r>
              <w:t>密度を用いた回帰分散の構成。</w:t>
            </w:r>
          </w:p>
        </w:tc>
        <w:tc>
          <w:tcPr>
            <w:tcW w:type="dxa" w:w="2200"/>
            <w:vAlign w:val="center"/>
          </w:tcPr>
          <w:p>
            <w:pPr>
              <w:pStyle w:val="TableText"/>
              <w:keepNext/>
            </w:pPr>
            <w:r>
              <w:t>変数選択、森林近傍、距離。</w:t>
            </w:r>
          </w:p>
        </w:tc>
        <w:tc>
          <w:tcPr>
            <w:tcW w:type="dxa" w:w="2660"/>
            <w:vAlign w:val="center"/>
          </w:tcPr>
          <w:p>
            <w:pPr>
              <w:pStyle w:val="TableText"/>
              <w:keepNext/>
            </w:pPr>
            <w:r>
              <w:t>残差と文脈の依存、類似履歴での微調整。</w:t>
            </w:r>
          </w:p>
        </w:tc>
      </w:tr>
      <w:tr>
        <w:trPr>
          <w:cantSplit/>
        </w:trPr>
        <w:tc>
          <w:tcPr>
            <w:tcW w:type="dxa" w:w="2300"/>
            <w:vAlign w:val="center"/>
          </w:tcPr>
          <w:p>
            <w:pPr>
              <w:pStyle w:val="TableText"/>
              <w:keepNext/>
            </w:pPr>
            <w:r>
              <w:t>主出力</w:t>
            </w:r>
          </w:p>
        </w:tc>
        <w:tc>
          <w:tcPr>
            <w:tcW w:type="dxa" w:w="2200"/>
            <w:vAlign w:val="center"/>
          </w:tcPr>
          <w:p>
            <w:pPr>
              <w:pStyle w:val="TableText"/>
              <w:keepNext/>
            </w:pPr>
            <w:r>
              <w:t>予測平均・分散。</w:t>
            </w:r>
          </w:p>
        </w:tc>
        <w:tc>
          <w:tcPr>
            <w:tcW w:type="dxa" w:w="2200"/>
            <w:vAlign w:val="center"/>
          </w:tcPr>
          <w:p>
            <w:pPr>
              <w:pStyle w:val="TableText"/>
              <w:keepNext/>
            </w:pPr>
            <w:r>
              <w:t>入力一件のOODスコア。</w:t>
            </w:r>
          </w:p>
        </w:tc>
        <w:tc>
          <w:tcPr>
            <w:tcW w:type="dxa" w:w="2660"/>
            <w:vAlign w:val="center"/>
          </w:tcPr>
          <w:p>
            <w:pPr>
              <w:pStyle w:val="TableText"/>
              <w:keepNext/>
            </w:pPr>
            <w:r>
              <w:t>モデル診断δ、修正された未来予測。</w:t>
            </w:r>
          </w:p>
        </w:tc>
      </w:tr>
      <w:tr>
        <w:trPr>
          <w:cantSplit/>
        </w:trPr>
        <w:tc>
          <w:tcPr>
            <w:tcW w:type="dxa" w:w="2300"/>
            <w:vAlign w:val="center"/>
          </w:tcPr>
          <w:p>
            <w:pPr>
              <w:pStyle w:val="TableText"/>
              <w:keepNext/>
            </w:pPr>
            <w:r>
              <w:t>運用時の真値</w:t>
            </w:r>
          </w:p>
        </w:tc>
        <w:tc>
          <w:tcPr>
            <w:tcW w:type="dxa" w:w="2200"/>
            <w:vAlign w:val="center"/>
          </w:tcPr>
          <w:p>
            <w:pPr>
              <w:pStyle w:val="TableText"/>
              <w:keepNext/>
            </w:pPr>
            <w:r>
              <w:t>不要。</w:t>
            </w:r>
          </w:p>
        </w:tc>
        <w:tc>
          <w:tcPr>
            <w:tcW w:type="dxa" w:w="2200"/>
            <w:vAlign w:val="center"/>
          </w:tcPr>
          <w:p>
            <w:pPr>
              <w:pStyle w:val="TableText"/>
              <w:keepNext/>
            </w:pPr>
            <w:r>
              <w:t>不要。</w:t>
            </w:r>
          </w:p>
        </w:tc>
        <w:tc>
          <w:tcPr>
            <w:tcW w:type="dxa" w:w="2660"/>
            <w:vAlign w:val="center"/>
          </w:tcPr>
          <w:p>
            <w:pPr>
              <w:pStyle w:val="TableText"/>
              <w:keepNext/>
            </w:pPr>
            <w:r>
              <w:t>現在未来値は不要、過去の実測出力は必要。</w:t>
            </w:r>
          </w:p>
        </w:tc>
      </w:tr>
      <w:tr>
        <w:trPr>
          <w:cantSplit/>
        </w:trPr>
        <w:tc>
          <w:tcPr>
            <w:tcW w:type="dxa" w:w="2300"/>
            <w:vAlign w:val="center"/>
          </w:tcPr>
          <w:p>
            <w:pPr>
              <w:pStyle w:val="TableText"/>
              <w:keepNext/>
            </w:pPr>
            <w:r>
              <w:t>内部モデル情報</w:t>
            </w:r>
          </w:p>
        </w:tc>
        <w:tc>
          <w:tcPr>
            <w:tcW w:type="dxa" w:w="2200"/>
            <w:vAlign w:val="center"/>
          </w:tcPr>
          <w:p>
            <w:pPr>
              <w:pStyle w:val="TableText"/>
              <w:keepNext/>
            </w:pPr>
            <w:r>
              <w:t>モデルへの組込みが必要。</w:t>
            </w:r>
          </w:p>
        </w:tc>
        <w:tc>
          <w:tcPr>
            <w:tcW w:type="dxa" w:w="2200"/>
            <w:vAlign w:val="center"/>
          </w:tcPr>
          <w:p>
            <w:pPr>
              <w:pStyle w:val="TableText"/>
              <w:keepNext/>
            </w:pPr>
            <w:r>
              <w:t>森林・ルール等を使用。</w:t>
            </w:r>
          </w:p>
        </w:tc>
        <w:tc>
          <w:tcPr>
            <w:tcW w:type="dxa" w:w="2660"/>
            <w:vAlign w:val="center"/>
          </w:tcPr>
          <w:p>
            <w:pPr>
              <w:pStyle w:val="TableText"/>
              <w:keepNext/>
            </w:pPr>
            <w:r>
              <w:t>診断は出力、適応は予測層へのアクセス。</w:t>
            </w:r>
          </w:p>
        </w:tc>
      </w:tr>
      <w:tr>
        <w:trPr>
          <w:cantSplit/>
        </w:trPr>
        <w:tc>
          <w:tcPr>
            <w:tcW w:type="dxa" w:w="2300"/>
            <w:vAlign w:val="center"/>
          </w:tcPr>
          <w:p>
            <w:pPr>
              <w:pStyle w:val="TableText"/>
              <w:keepNext/>
            </w:pPr>
            <w:r>
              <w:t>時系列窓の実証</w:t>
            </w:r>
          </w:p>
        </w:tc>
        <w:tc>
          <w:tcPr>
            <w:tcW w:type="dxa" w:w="2200"/>
            <w:vAlign w:val="center"/>
          </w:tcPr>
          <w:p>
            <w:pPr>
              <w:pStyle w:val="TableText"/>
              <w:keepNext/>
            </w:pPr>
            <w:r>
              <w:t>中心課題ではない。</w:t>
            </w:r>
          </w:p>
        </w:tc>
        <w:tc>
          <w:tcPr>
            <w:tcW w:type="dxa" w:w="2200"/>
            <w:vAlign w:val="center"/>
          </w:tcPr>
          <w:p>
            <w:pPr>
              <w:pStyle w:val="TableText"/>
              <w:keepNext/>
            </w:pPr>
            <w:r>
              <w:t>未実証。</w:t>
            </w:r>
          </w:p>
        </w:tc>
        <w:tc>
          <w:tcPr>
            <w:tcW w:type="dxa" w:w="2660"/>
            <w:vAlign w:val="center"/>
          </w:tcPr>
          <w:p>
            <w:pPr>
              <w:pStyle w:val="TableText"/>
              <w:keepNext/>
            </w:pPr>
            <w:r>
              <w:t>✓ 多変量、多段先の予測窓。</w:t>
            </w:r>
          </w:p>
        </w:tc>
      </w:tr>
      <w:tr>
        <w:trPr>
          <w:cantSplit/>
        </w:trPr>
        <w:tc>
          <w:tcPr>
            <w:tcW w:type="dxa" w:w="2300"/>
            <w:vAlign w:val="center"/>
          </w:tcPr>
          <w:p>
            <w:pPr>
              <w:pStyle w:val="TableText"/>
              <w:keepNext/>
            </w:pPr>
            <w:r>
              <w:t>関係変化への接続</w:t>
            </w:r>
          </w:p>
        </w:tc>
        <w:tc>
          <w:tcPr>
            <w:tcW w:type="dxa" w:w="2200"/>
            <w:vAlign w:val="center"/>
          </w:tcPr>
          <w:p>
            <w:pPr>
              <w:pStyle w:val="TableText"/>
              <w:keepNext/>
            </w:pPr>
            <w:r>
              <w:t>不確実性としての評価を要する。</w:t>
            </w:r>
          </w:p>
        </w:tc>
        <w:tc>
          <w:tcPr>
            <w:tcW w:type="dxa" w:w="2200"/>
            <w:vAlign w:val="center"/>
          </w:tcPr>
          <w:p>
            <w:pPr>
              <w:pStyle w:val="TableText"/>
              <w:keepNext/>
            </w:pPr>
            <w:r>
              <w:t>joint型の入力変化を実験。</w:t>
            </w:r>
          </w:p>
        </w:tc>
        <w:tc>
          <w:tcPr>
            <w:tcW w:type="dxa" w:w="2660"/>
            <w:vAlign w:val="center"/>
          </w:tcPr>
          <w:p>
            <w:pPr>
              <w:pStyle w:val="TableText"/>
              <w:keepNext/>
            </w:pPr>
            <w:r>
              <w:t>文脈による入力―出力関係。③と同義ではない。</w:t>
            </w:r>
          </w:p>
        </w:tc>
      </w:tr>
      <w:tr>
        <w:trPr>
          <w:cantSplit/>
        </w:trPr>
        <w:tc>
          <w:tcPr>
            <w:tcW w:type="dxa" w:w="2300"/>
            <w:vAlign w:val="center"/>
          </w:tcPr>
          <w:p>
            <w:pPr>
              <w:pStyle w:val="TableText"/>
              <w:keepNext/>
            </w:pPr>
            <w:r>
              <w:t>主要評価</w:t>
            </w:r>
          </w:p>
        </w:tc>
        <w:tc>
          <w:tcPr>
            <w:tcW w:type="dxa" w:w="2200"/>
            <w:vAlign w:val="center"/>
          </w:tcPr>
          <w:p>
            <w:pPr>
              <w:pStyle w:val="TableText"/>
              <w:keepNext/>
            </w:pPr>
            <w:r>
              <w:t>回帰精度・確率予測の評価。</w:t>
            </w:r>
          </w:p>
        </w:tc>
        <w:tc>
          <w:tcPr>
            <w:tcW w:type="dxa" w:w="2200"/>
            <w:vAlign w:val="center"/>
          </w:tcPr>
          <w:p>
            <w:pPr>
              <w:pStyle w:val="TableText"/>
              <w:keepNext/>
            </w:pPr>
            <w:r>
              <w:t>AUC-PR等のOOD識別。</w:t>
            </w:r>
          </w:p>
        </w:tc>
        <w:tc>
          <w:tcPr>
            <w:tcW w:type="dxa" w:w="2660"/>
            <w:vAlign w:val="center"/>
          </w:tcPr>
          <w:p>
            <w:pPr>
              <w:pStyle w:val="TableText"/>
              <w:keepNext/>
            </w:pPr>
            <w:r>
              <w:t>MSE／MAEと適応利益の判別。</w:t>
            </w:r>
          </w:p>
        </w:tc>
      </w:tr>
      <w:tr>
        <w:trPr>
          <w:cantSplit/>
        </w:trPr>
        <w:tc>
          <w:tcPr>
            <w:tcW w:type="dxa" w:w="2300"/>
            <w:vAlign w:val="center"/>
          </w:tcPr>
          <w:p>
            <w:pPr>
              <w:pStyle w:val="TableText"/>
            </w:pPr>
            <w:r>
              <w:t>本研究での役割</w:t>
            </w:r>
          </w:p>
        </w:tc>
        <w:tc>
          <w:tcPr>
            <w:tcW w:type="dxa" w:w="2200"/>
            <w:vAlign w:val="center"/>
          </w:tcPr>
          <w:p>
            <w:pPr>
              <w:pStyle w:val="TableText"/>
            </w:pPr>
            <w:r>
              <w:t>予測の不確実性を扱う候補。</w:t>
            </w:r>
          </w:p>
        </w:tc>
        <w:tc>
          <w:tcPr>
            <w:tcW w:type="dxa" w:w="2200"/>
            <w:vAlign w:val="center"/>
          </w:tcPr>
          <w:p>
            <w:pPr>
              <w:pStyle w:val="TableText"/>
            </w:pPr>
            <w:r>
              <w:t>入力OOD検知候補。</w:t>
            </w:r>
          </w:p>
        </w:tc>
        <w:tc>
          <w:tcPr>
            <w:tcW w:type="dxa" w:w="2660"/>
            <w:vAlign w:val="center"/>
          </w:tcPr>
          <w:p>
            <w:pPr>
              <w:pStyle w:val="TableText"/>
            </w:pPr>
            <w:r>
              <w:t>時系列の事後診断・適応候補。</w:t>
            </w:r>
          </w:p>
        </w:tc>
      </w:tr>
    </w:tbl>
    <w:p>
      <w:pPr>
        <w:spacing w:after="0"/>
        <w:snapToGrid w:val="0"/>
      </w:pPr>
    </w:p>
    <w:p>
      <w:pPr>
        <w:snapToGrid w:val="0"/>
      </w:pPr>
      <w:r>
        <w:t>三篇は目的も情報条件も異なるため、各論文の数値を横に並べて単一順位にしない。同一の社内データ、ラベル、評価起点で比較して初めて用途別の優劣を議論できる。前二篇との比較は既存の精読報告に基づく。</w:t>
      </w:r>
    </w:p>
    <w:p>
      <w:pPr>
        <w:pStyle w:val="Heading2"/>
        <w:pageBreakBefore/>
        <w:snapToGrid w:val="0"/>
      </w:pPr>
      <w:r>
        <w:t>10　総合比較表用の統一記録</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400"/>
        <w:gridCol w:w="6960"/>
      </w:tblGrid>
      <w:tr>
        <w:trPr>
          <w:cantSplit/>
          <w:tblHeader/>
        </w:trPr>
        <w:tc>
          <w:tcPr>
            <w:tcW w:type="dxa" w:w="2400"/>
            <w:vAlign w:val="center"/>
            <w:shd w:fill="E8EEF5"/>
          </w:tcPr>
          <w:p>
            <w:pPr>
              <w:pStyle w:val="TableText"/>
            </w:pPr>
            <w:r>
              <w:rPr>
                <w:b/>
                <w:color w:val="1F4D78"/>
              </w:rPr>
              <w:t>項目</w:t>
            </w:r>
          </w:p>
        </w:tc>
        <w:tc>
          <w:tcPr>
            <w:tcW w:type="dxa" w:w="6960"/>
            <w:vAlign w:val="center"/>
            <w:shd w:fill="E8EEF5"/>
          </w:tcPr>
          <w:p>
            <w:pPr>
              <w:pStyle w:val="TableText"/>
            </w:pPr>
            <w:r>
              <w:rPr>
                <w:b/>
                <w:color w:val="1F4D78"/>
              </w:rPr>
              <w:t>P03の記録</w:t>
            </w:r>
          </w:p>
        </w:tc>
      </w:tr>
      <w:tr>
        <w:trPr>
          <w:cantSplit/>
        </w:trPr>
        <w:tc>
          <w:tcPr>
            <w:tcW w:type="dxa" w:w="2400"/>
            <w:vAlign w:val="center"/>
          </w:tcPr>
          <w:p>
            <w:pPr>
              <w:pStyle w:val="TableText"/>
            </w:pPr>
            <w:r>
              <w:t>分類</w:t>
            </w:r>
          </w:p>
        </w:tc>
        <w:tc>
          <w:tcPr>
            <w:tcW w:type="dxa" w:w="6960"/>
            <w:vAlign w:val="center"/>
          </w:tcPr>
          <w:p>
            <w:pPr>
              <w:pStyle w:val="TableText"/>
            </w:pPr>
            <w:r>
              <w:t>残差分布―文脈依存診断／テスト時の局所予測層適応。</w:t>
            </w:r>
          </w:p>
        </w:tc>
      </w:tr>
      <w:tr>
        <w:trPr>
          <w:cantSplit/>
        </w:trPr>
        <w:tc>
          <w:tcPr>
            <w:tcW w:type="dxa" w:w="2400"/>
            <w:vAlign w:val="center"/>
          </w:tcPr>
          <w:p>
            <w:pPr>
              <w:pStyle w:val="TableText"/>
            </w:pPr>
            <w:r>
              <w:t>学習外の定義</w:t>
            </w:r>
          </w:p>
        </w:tc>
        <w:tc>
          <w:tcPr>
            <w:tcW w:type="dxa" w:w="6960"/>
            <w:vAlign w:val="center"/>
          </w:tcPr>
          <w:p>
            <w:pPr>
              <w:pStyle w:val="TableText"/>
            </w:pPr>
            <w:r>
              <w:t>P(Y｜X)≠P(Y｜X,C)。逐入力ID／OODラベルなし。</w:t>
            </w:r>
          </w:p>
        </w:tc>
      </w:tr>
      <w:tr>
        <w:trPr>
          <w:cantSplit/>
        </w:trPr>
        <w:tc>
          <w:tcPr>
            <w:tcW w:type="dxa" w:w="2400"/>
            <w:vAlign w:val="center"/>
          </w:tcPr>
          <w:p>
            <w:pPr>
              <w:pStyle w:val="TableText"/>
            </w:pPr>
            <w:r>
              <w:t>①②③</w:t>
            </w:r>
          </w:p>
        </w:tc>
        <w:tc>
          <w:tcPr>
            <w:tcW w:type="dxa" w:w="6960"/>
            <w:vAlign w:val="center"/>
          </w:tcPr>
          <w:p>
            <w:pPr>
              <w:pStyle w:val="TableText"/>
            </w:pPr>
            <w:r>
              <w:t>いずれも直接の識別実証なし。関連は条件付きで記載。</w:t>
            </w:r>
          </w:p>
        </w:tc>
      </w:tr>
      <w:tr>
        <w:trPr>
          <w:cantSplit/>
        </w:trPr>
        <w:tc>
          <w:tcPr>
            <w:tcW w:type="dxa" w:w="2400"/>
            <w:vAlign w:val="center"/>
          </w:tcPr>
          <w:p>
            <w:pPr>
              <w:pStyle w:val="TableText"/>
            </w:pPr>
            <w:r>
              <w:t>入力単位</w:t>
            </w:r>
          </w:p>
        </w:tc>
        <w:tc>
          <w:tcPr>
            <w:tcW w:type="dxa" w:w="6960"/>
            <w:vAlign w:val="center"/>
          </w:tcPr>
          <w:p>
            <w:pPr>
              <w:pStyle w:val="TableText"/>
            </w:pPr>
            <w:r>
              <w:t>L×Mの過去時系列窓、将来T×Mを予測。</w:t>
            </w:r>
          </w:p>
        </w:tc>
      </w:tr>
      <w:tr>
        <w:trPr>
          <w:cantSplit/>
        </w:trPr>
        <w:tc>
          <w:tcPr>
            <w:tcW w:type="dxa" w:w="2400"/>
            <w:vAlign w:val="center"/>
          </w:tcPr>
          <w:p>
            <w:pPr>
              <w:pStyle w:val="TableText"/>
            </w:pPr>
            <w:r>
              <w:t>学習時の情報</w:t>
            </w:r>
          </w:p>
        </w:tc>
        <w:tc>
          <w:tcPr>
            <w:tcW w:type="dxa" w:w="6960"/>
            <w:vAlign w:val="center"/>
          </w:tcPr>
          <w:p>
            <w:pPr>
              <w:pStyle w:val="TableText"/>
            </w:pPr>
            <w:r>
              <w:t>履歴X・Y、時刻、モデル、文脈／周期。</w:t>
            </w:r>
          </w:p>
        </w:tc>
      </w:tr>
      <w:tr>
        <w:trPr>
          <w:cantSplit/>
        </w:trPr>
        <w:tc>
          <w:tcPr>
            <w:tcW w:type="dxa" w:w="2400"/>
            <w:vAlign w:val="center"/>
          </w:tcPr>
          <w:p>
            <w:pPr>
              <w:pStyle w:val="TableText"/>
            </w:pPr>
            <w:r>
              <w:t>診断時の情報</w:t>
            </w:r>
          </w:p>
        </w:tc>
        <w:tc>
          <w:tcPr>
            <w:tcW w:type="dxa" w:w="6960"/>
            <w:vAlign w:val="center"/>
          </w:tcPr>
          <w:p>
            <w:pPr>
              <w:pStyle w:val="TableText"/>
            </w:pPr>
            <w:r>
              <w:t>モデル予測と実測Y、文脈区分。入力のみでは不可。</w:t>
            </w:r>
          </w:p>
        </w:tc>
      </w:tr>
      <w:tr>
        <w:trPr>
          <w:cantSplit/>
        </w:trPr>
        <w:tc>
          <w:tcPr>
            <w:tcW w:type="dxa" w:w="2400"/>
            <w:vAlign w:val="center"/>
          </w:tcPr>
          <w:p>
            <w:pPr>
              <w:pStyle w:val="TableText"/>
            </w:pPr>
            <w:r>
              <w:t>適応時の情報</w:t>
            </w:r>
          </w:p>
        </w:tc>
        <w:tc>
          <w:tcPr>
            <w:tcW w:type="dxa" w:w="6960"/>
            <w:vAlign w:val="center"/>
          </w:tcPr>
          <w:p>
            <w:pPr>
              <w:pStyle w:val="TableText"/>
            </w:pPr>
            <w:r>
              <w:t>現在入力、過去の教師付き窓、予測層・勾配。</w:t>
            </w:r>
          </w:p>
        </w:tc>
      </w:tr>
      <w:tr>
        <w:trPr>
          <w:cantSplit/>
        </w:trPr>
        <w:tc>
          <w:tcPr>
            <w:tcW w:type="dxa" w:w="2400"/>
            <w:vAlign w:val="center"/>
          </w:tcPr>
          <w:p>
            <w:pPr>
              <w:pStyle w:val="TableText"/>
            </w:pPr>
            <w:r>
              <w:t>スコア</w:t>
            </w:r>
          </w:p>
        </w:tc>
        <w:tc>
          <w:tcPr>
            <w:tcW w:type="dxa" w:w="6960"/>
            <w:vAlign w:val="center"/>
          </w:tcPr>
          <w:p>
            <w:pPr>
              <w:pStyle w:val="TableText"/>
            </w:pPr>
            <w:r>
              <w:t>Reconditionor δ_P／δ_T。SOLIDは予測値を出力。</w:t>
            </w:r>
          </w:p>
        </w:tc>
      </w:tr>
      <w:tr>
        <w:trPr>
          <w:cantSplit/>
        </w:trPr>
        <w:tc>
          <w:tcPr>
            <w:tcW w:type="dxa" w:w="2400"/>
            <w:vAlign w:val="center"/>
          </w:tcPr>
          <w:p>
            <w:pPr>
              <w:pStyle w:val="TableText"/>
            </w:pPr>
            <w:r>
              <w:t>閾値</w:t>
            </w:r>
          </w:p>
        </w:tc>
        <w:tc>
          <w:tcPr>
            <w:tcW w:type="dxa" w:w="6960"/>
            <w:vAlign w:val="center"/>
          </w:tcPr>
          <w:p>
            <w:pPr>
              <w:pStyle w:val="TableText"/>
            </w:pPr>
            <w:r>
              <w:t>log10δ_P=−3.2は適応利益の経験的判別用。FPR保証なし。</w:t>
            </w:r>
          </w:p>
        </w:tc>
      </w:tr>
      <w:tr>
        <w:trPr>
          <w:cantSplit/>
        </w:trPr>
        <w:tc>
          <w:tcPr>
            <w:tcW w:type="dxa" w:w="2400"/>
            <w:vAlign w:val="center"/>
          </w:tcPr>
          <w:p>
            <w:pPr>
              <w:pStyle w:val="TableText"/>
            </w:pPr>
            <w:r>
              <w:t>評価</w:t>
            </w:r>
          </w:p>
        </w:tc>
        <w:tc>
          <w:tcPr>
            <w:tcW w:type="dxa" w:w="6960"/>
            <w:vAlign w:val="center"/>
          </w:tcPr>
          <w:p>
            <w:pPr>
              <w:pStyle w:val="TableText"/>
            </w:pPr>
            <w:r>
              <w:t>MSE／MAE、適応利益の判別50／56、順位相関。</w:t>
            </w:r>
          </w:p>
        </w:tc>
      </w:tr>
      <w:tr>
        <w:trPr>
          <w:cantSplit/>
        </w:trPr>
        <w:tc>
          <w:tcPr>
            <w:tcW w:type="dxa" w:w="2400"/>
            <w:vAlign w:val="center"/>
          </w:tcPr>
          <w:p>
            <w:pPr>
              <w:pStyle w:val="TableText"/>
            </w:pPr>
            <w:r>
              <w:t>長所</w:t>
            </w:r>
          </w:p>
        </w:tc>
        <w:tc>
          <w:tcPr>
            <w:tcW w:type="dxa" w:w="6960"/>
            <w:vAlign w:val="center"/>
          </w:tcPr>
          <w:p>
            <w:pPr>
              <w:pStyle w:val="TableText"/>
            </w:pPr>
            <w:r>
              <w:t>モデルの文脈依存誤差に注目、複数時系列モデルへ適応。</w:t>
            </w:r>
          </w:p>
        </w:tc>
      </w:tr>
      <w:tr>
        <w:trPr>
          <w:cantSplit/>
        </w:trPr>
        <w:tc>
          <w:tcPr>
            <w:tcW w:type="dxa" w:w="2400"/>
            <w:vAlign w:val="center"/>
          </w:tcPr>
          <w:p>
            <w:pPr>
              <w:pStyle w:val="TableText"/>
            </w:pPr>
            <w:r>
              <w:t>弱点</w:t>
            </w:r>
          </w:p>
        </w:tc>
        <w:tc>
          <w:tcPr>
            <w:tcW w:type="dxa" w:w="6960"/>
            <w:vAlign w:val="center"/>
          </w:tcPr>
          <w:p>
            <w:pPr>
              <w:pStyle w:val="TableText"/>
            </w:pPr>
            <w:r>
              <w:t>真値遅延、全く新しい文脈、残差集約、追加計算。</w:t>
            </w:r>
          </w:p>
        </w:tc>
      </w:tr>
      <w:tr>
        <w:trPr>
          <w:cantSplit/>
        </w:trPr>
        <w:tc>
          <w:tcPr>
            <w:tcW w:type="dxa" w:w="2400"/>
            <w:vAlign w:val="center"/>
          </w:tcPr>
          <w:p>
            <w:pPr>
              <w:pStyle w:val="TableText"/>
            </w:pPr>
            <w:r>
              <w:t>公開性</w:t>
            </w:r>
          </w:p>
        </w:tc>
        <w:tc>
          <w:tcPr>
            <w:tcW w:type="dxa" w:w="6960"/>
            <w:vAlign w:val="center"/>
          </w:tcPr>
          <w:p>
            <w:pPr>
              <w:pStyle w:val="TableText"/>
            </w:pPr>
            <w:r>
              <w:t>コードMIT、ETTリポジトリCC BY-ND 4.0。他データは個別確認。</w:t>
            </w:r>
          </w:p>
        </w:tc>
      </w:tr>
      <w:tr>
        <w:trPr>
          <w:cantSplit/>
        </w:trPr>
        <w:tc>
          <w:tcPr>
            <w:tcW w:type="dxa" w:w="2400"/>
            <w:vAlign w:val="center"/>
          </w:tcPr>
          <w:p>
            <w:pPr>
              <w:pStyle w:val="TableText"/>
            </w:pPr>
            <w:r>
              <w:t>優先確認</w:t>
            </w:r>
          </w:p>
        </w:tc>
        <w:tc>
          <w:tcPr>
            <w:tcW w:type="dxa" w:w="6960"/>
            <w:vAlign w:val="center"/>
          </w:tcPr>
          <w:p>
            <w:pPr>
              <w:pStyle w:val="TableText"/>
            </w:pPr>
            <w:r>
              <w:t>推定器差、窓境界、評価件数、周期差、学習率と勾配集約。</w:t>
            </w:r>
          </w:p>
        </w:tc>
      </w:tr>
    </w:tbl>
    <w:p>
      <w:pPr>
        <w:spacing w:after="0"/>
        <w:snapToGrid w:val="0"/>
      </w:pPr>
    </w:p>
    <w:p>
      <w:pPr>
        <w:pStyle w:val="Heading1"/>
        <w:pageBreakBefore/>
        <w:snapToGrid w:val="0"/>
      </w:pPr>
      <w:r>
        <w:t>第三部分　汇报与口头讲解材料</w:t>
      </w:r>
    </w:p>
    <w:p>
      <w:pPr>
        <w:pStyle w:val="Heading2"/>
        <w:snapToGrid w:val="0"/>
      </w:pPr>
      <w:r>
        <w:t>1　日语口头汇报稿（约4～5分钟，可按语速删减）</w:t>
      </w:r>
    </w:p>
    <w:p>
      <w:pPr>
        <w:snapToGrid w:val="0"/>
      </w:pPr>
      <w:r>
        <w:t>本日は、KDD 2024の「Calibration of Time-Series Forecasting」を読みました。前の二篇に比べて、多変量時系列と回帰予測を直接扱っている点が、今回の調査に近いと考えています。ただし、現在の入力を一件ずつ学習内・外に分類する手法ではなく、モデルの残差を診断し、予測を修正する手法です。</w:t>
      </w:r>
    </w:p>
    <w:p>
      <w:pPr>
        <w:snapToGrid w:val="0"/>
      </w:pPr>
      <w:r>
        <w:t>背景として、同じ予測モデルでも、季節や時間帯、運転状況によって誤差の出方が変わることがあります。例えば、昼間は常に低く予測し、夜間は高く予測すると、全体の平均誤差はゼロに近くなります。しかし、時間帯別には偏りが残ります。著者はこのような時間的な文脈に着目しています。</w:t>
      </w:r>
    </w:p>
    <w:p>
      <w:pPr>
        <w:snapToGrid w:val="0"/>
      </w:pPr>
      <w:r>
        <w:t>提案は二つあります。一つ目のReconditionorは、残差と文脈の依存関係を測る指標です。過去の予測と実測値から残差を計算し、周期の位相や時間区間ごとに分布を比べます。文脈が分かると残差の分布も変わる場合、スコアが高くなります。ただし、これはモデルとデータ集合に対する診断であり、新しい入力一件の異常確率ではありません。</w:t>
      </w:r>
    </w:p>
    <w:p>
      <w:pPr>
        <w:snapToGrid w:val="0"/>
      </w:pPr>
      <w:r>
        <w:t>二つ目のSOLIDは、予測の直前にモデルを調整する方法です。現在と近い時期で、周期位相が近く、入力パターンも似ている過去のサンプルを選びます。その少数のサンプルで予測層だけを調整し、現在の将来値を予測します。過去サンプルの出力はすでに実測されている必要があります。現在の未来の正解を先に利用するわけではありません。</w:t>
      </w:r>
    </w:p>
    <w:p>
      <w:pPr>
        <w:snapToGrid w:val="0"/>
      </w:pPr>
      <w:r>
        <w:t>理論のポイントは、偏りと分散のトレードオフです。すべての文脈で一つのモデルを共有すると、推定は安定しますが、特定文脈では偏りが生じます。反対に、文脈ごとに完全に別のモデルを作ると、データが少なくなり分散が大きくなります。そのため、既存モデルを残しながら予測層を少しだけ調整するという考え方です。ただし、実際の深層モデル全般で最適になることを保証した定理ではありません。</w:t>
      </w:r>
    </w:p>
    <w:p>
      <w:pPr>
        <w:snapToGrid w:val="0"/>
      </w:pPr>
      <w:r>
        <w:t>実験は8データセットと7モデルです。電力、交通、変圧器、気象などの多変量時系列で、適応後のMSEとMAEを評価しています。89.3%という結果もありますが、これは「適応によりMAEが1%以上改善する組合せ」を判別した精度です。異常入力の検出率ではない点に注意が必要です。また、周期に基づく診断は改善量と強く相関しましたが、時間区間による診断との相関は弱い結果でした。</w:t>
      </w:r>
    </w:p>
    <w:p>
      <w:pPr>
        <w:snapToGrid w:val="0"/>
      </w:pPr>
      <w:r>
        <w:t>今回の研究への応用としては、末端圧力モデルの残差を時間帯や運転モード別に確認する用途が考えられます。入力値が通常範囲でも、ある運転条件だけで予測がずれる問題を見つける手掛かりになります。一方で、実測圧力が得られない場合や、全く新しい運転状態では、そのまま適用することは難しいです。</w:t>
      </w:r>
    </w:p>
    <w:p>
      <w:pPr>
        <w:snapToGrid w:val="0"/>
      </w:pPr>
      <w:r>
        <w:t>次に検証するなら、まずモデルを固定した残差診断を行い、その後に、利用可能な過去データだけを使った予測層適応を比較したいです。入力のOOD検知、残差の診断、モデル適応を別の機能として整理することが、この論文から得られた重要な点です。</w:t>
      </w:r>
    </w:p>
    <w:p>
      <w:pPr>
        <w:pStyle w:val="Heading2"/>
        <w:snapToGrid w:val="0"/>
      </w:pPr>
      <w:r>
        <w:t>2　带教可能追问什么？</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400"/>
        <w:gridCol w:w="6960"/>
      </w:tblGrid>
      <w:tr>
        <w:trPr>
          <w:cantSplit/>
          <w:tblHeader/>
        </w:trPr>
        <w:tc>
          <w:tcPr>
            <w:tcW w:type="dxa" w:w="2400"/>
            <w:vAlign w:val="center"/>
            <w:shd w:fill="E8EEF5"/>
          </w:tcPr>
          <w:p>
            <w:pPr>
              <w:pStyle w:val="TableText"/>
            </w:pPr>
            <w:r>
              <w:rPr>
                <w:b/>
                <w:color w:val="1F4D78"/>
              </w:rPr>
              <w:t>質問</w:t>
            </w:r>
          </w:p>
        </w:tc>
        <w:tc>
          <w:tcPr>
            <w:tcW w:type="dxa" w:w="6960"/>
            <w:vAlign w:val="center"/>
            <w:shd w:fill="E8EEF5"/>
          </w:tcPr>
          <w:p>
            <w:pPr>
              <w:pStyle w:val="TableText"/>
            </w:pPr>
            <w:r>
              <w:rPr>
                <w:b/>
                <w:color w:val="1F4D78"/>
              </w:rPr>
              <w:t>回答例</w:t>
            </w:r>
          </w:p>
        </w:tc>
      </w:tr>
      <w:tr>
        <w:trPr>
          <w:cantSplit/>
        </w:trPr>
        <w:tc>
          <w:tcPr>
            <w:tcW w:type="dxa" w:w="2400"/>
            <w:vAlign w:val="center"/>
          </w:tcPr>
          <w:p>
            <w:pPr>
              <w:pStyle w:val="TableText"/>
            </w:pPr>
            <w:r>
              <w:t>これは学習外入力の検知ですか。</w:t>
            </w:r>
          </w:p>
        </w:tc>
        <w:tc>
          <w:tcPr>
            <w:tcW w:type="dxa" w:w="6960"/>
            <w:vAlign w:val="center"/>
          </w:tcPr>
          <w:p>
            <w:pPr>
              <w:pStyle w:val="TableText"/>
            </w:pPr>
            <w:r>
              <w:t>広い意味で分布変化の診断ですが、個々の入力のID／OOD判定ではありません。残差と文脈の依存を測ります。</w:t>
            </w:r>
          </w:p>
        </w:tc>
      </w:tr>
      <w:tr>
        <w:trPr>
          <w:cantSplit/>
        </w:trPr>
        <w:tc>
          <w:tcPr>
            <w:tcW w:type="dxa" w:w="2400"/>
            <w:vAlign w:val="center"/>
          </w:tcPr>
          <w:p>
            <w:pPr>
              <w:pStyle w:val="TableText"/>
            </w:pPr>
            <w:r>
              <w:t>入力だけで使えますか。</w:t>
            </w:r>
          </w:p>
        </w:tc>
        <w:tc>
          <w:tcPr>
            <w:tcW w:type="dxa" w:w="6960"/>
            <w:vAlign w:val="center"/>
          </w:tcPr>
          <w:p>
            <w:pPr>
              <w:pStyle w:val="TableText"/>
            </w:pPr>
            <w:r>
              <w:t>いいえ。Reconditionorは予測と実測の差が必要です。SOLIDも過去の実測出力が必要です。</w:t>
            </w:r>
          </w:p>
        </w:tc>
      </w:tr>
      <w:tr>
        <w:trPr>
          <w:cantSplit/>
        </w:trPr>
        <w:tc>
          <w:tcPr>
            <w:tcW w:type="dxa" w:w="2400"/>
            <w:vAlign w:val="center"/>
          </w:tcPr>
          <w:p>
            <w:pPr>
              <w:pStyle w:val="TableText"/>
            </w:pPr>
            <w:r>
              <w:t>現在の正解がないのに適応できますか。</w:t>
            </w:r>
          </w:p>
        </w:tc>
        <w:tc>
          <w:tcPr>
            <w:tcW w:type="dxa" w:w="6960"/>
            <w:vAlign w:val="center"/>
          </w:tcPr>
          <w:p>
            <w:pPr>
              <w:pStyle w:val="TableText"/>
            </w:pPr>
            <w:r>
              <w:t>現在ではなく、将来区間がすでに観測済みの過去サンプルを使います。</w:t>
            </w:r>
          </w:p>
        </w:tc>
      </w:tr>
      <w:tr>
        <w:trPr>
          <w:cantSplit/>
        </w:trPr>
        <w:tc>
          <w:tcPr>
            <w:tcW w:type="dxa" w:w="2400"/>
            <w:vAlign w:val="center"/>
          </w:tcPr>
          <w:p>
            <w:pPr>
              <w:pStyle w:val="TableText"/>
            </w:pPr>
            <w:r>
              <w:t>89.3%は何ですか。</w:t>
            </w:r>
          </w:p>
        </w:tc>
        <w:tc>
          <w:tcPr>
            <w:tcW w:type="dxa" w:w="6960"/>
            <w:vAlign w:val="center"/>
          </w:tcPr>
          <w:p>
            <w:pPr>
              <w:pStyle w:val="TableText"/>
            </w:pPr>
            <w:r>
              <w:t>MAE改善が1%を超えるかを56個のモデル×データの組合せで判別した精度です。</w:t>
            </w:r>
          </w:p>
        </w:tc>
      </w:tr>
      <w:tr>
        <w:trPr>
          <w:cantSplit/>
        </w:trPr>
        <w:tc>
          <w:tcPr>
            <w:tcW w:type="dxa" w:w="2400"/>
            <w:vAlign w:val="center"/>
          </w:tcPr>
          <w:p>
            <w:pPr>
              <w:pStyle w:val="TableText"/>
            </w:pPr>
            <w:r>
              <w:t>δが高ければ必ず改善しますか。</w:t>
            </w:r>
          </w:p>
        </w:tc>
        <w:tc>
          <w:tcPr>
            <w:tcW w:type="dxa" w:w="6960"/>
            <w:vAlign w:val="center"/>
          </w:tcPr>
          <w:p>
            <w:pPr>
              <w:pStyle w:val="TableText"/>
            </w:pPr>
            <w:r>
              <w:t>保証はありません。異分散ノイズや未知文脈、誤った近傍でも高くなり得ます。</w:t>
            </w:r>
          </w:p>
        </w:tc>
      </w:tr>
      <w:tr>
        <w:trPr>
          <w:cantSplit/>
        </w:trPr>
        <w:tc>
          <w:tcPr>
            <w:tcW w:type="dxa" w:w="2400"/>
            <w:vAlign w:val="center"/>
          </w:tcPr>
          <w:p>
            <w:pPr>
              <w:pStyle w:val="TableText"/>
            </w:pPr>
            <w:r>
              <w:t>閾値はどう決めますか。</w:t>
            </w:r>
          </w:p>
        </w:tc>
        <w:tc>
          <w:tcPr>
            <w:tcW w:type="dxa" w:w="6960"/>
            <w:vAlign w:val="center"/>
          </w:tcPr>
          <w:p>
            <w:pPr>
              <w:pStyle w:val="TableText"/>
            </w:pPr>
            <w:r>
              <w:t>原論文の−3.2は経験的な分界です。社内データでは独立期間で目的に合わせて再検証します。</w:t>
            </w:r>
          </w:p>
        </w:tc>
      </w:tr>
      <w:tr>
        <w:trPr>
          <w:cantSplit/>
        </w:trPr>
        <w:tc>
          <w:tcPr>
            <w:tcW w:type="dxa" w:w="2400"/>
            <w:vAlign w:val="center"/>
          </w:tcPr>
          <w:p>
            <w:pPr>
              <w:pStyle w:val="TableText"/>
            </w:pPr>
            <w:r>
              <w:t>③の入力間相関変化を扱っていますか。</w:t>
            </w:r>
          </w:p>
        </w:tc>
        <w:tc>
          <w:tcPr>
            <w:tcW w:type="dxa" w:w="6960"/>
            <w:vAlign w:val="center"/>
          </w:tcPr>
          <w:p>
            <w:pPr>
              <w:pStyle w:val="TableText"/>
            </w:pPr>
            <w:r>
              <w:t>関係はありますが、本文は主に入力―出力関係の文脈依存です。入力相関だけの変化は未検証です。</w:t>
            </w:r>
          </w:p>
        </w:tc>
      </w:tr>
      <w:tr>
        <w:trPr>
          <w:cantSplit/>
        </w:trPr>
        <w:tc>
          <w:tcPr>
            <w:tcW w:type="dxa" w:w="2400"/>
            <w:vAlign w:val="center"/>
          </w:tcPr>
          <w:p>
            <w:pPr>
              <w:pStyle w:val="TableText"/>
            </w:pPr>
            <w:r>
              <w:t>時間系列は一時刻入力ですか。</w:t>
            </w:r>
          </w:p>
        </w:tc>
        <w:tc>
          <w:tcPr>
            <w:tcW w:type="dxa" w:w="6960"/>
            <w:vAlign w:val="center"/>
          </w:tcPr>
          <w:p>
            <w:pPr>
              <w:pStyle w:val="TableText"/>
            </w:pPr>
            <w:r>
              <w:t>複数時刻の窓を入力し、複数時刻の未来を予測します。</w:t>
            </w:r>
          </w:p>
        </w:tc>
      </w:tr>
      <w:tr>
        <w:trPr>
          <w:cantSplit/>
        </w:trPr>
        <w:tc>
          <w:tcPr>
            <w:tcW w:type="dxa" w:w="2400"/>
            <w:vAlign w:val="center"/>
          </w:tcPr>
          <w:p>
            <w:pPr>
              <w:pStyle w:val="TableText"/>
            </w:pPr>
            <w:r>
              <w:t>どんなモデルにも使えますか。</w:t>
            </w:r>
          </w:p>
        </w:tc>
        <w:tc>
          <w:tcPr>
            <w:tcW w:type="dxa" w:w="6960"/>
            <w:vAlign w:val="center"/>
          </w:tcPr>
          <w:p>
            <w:pPr>
              <w:pStyle w:val="TableText"/>
            </w:pPr>
            <w:r>
              <w:t>診断は予測が得られれば可能ですが、SOLIDには更新可能な予測層が必要です。</w:t>
            </w:r>
          </w:p>
        </w:tc>
      </w:tr>
      <w:tr>
        <w:trPr>
          <w:cantSplit/>
        </w:trPr>
        <w:tc>
          <w:tcPr>
            <w:tcW w:type="dxa" w:w="2400"/>
            <w:vAlign w:val="center"/>
          </w:tcPr>
          <w:p>
            <w:pPr>
              <w:pStyle w:val="TableText"/>
            </w:pPr>
            <w:r>
              <w:t>なぜ全体を学習し直さないのですか。</w:t>
            </w:r>
          </w:p>
        </w:tc>
        <w:tc>
          <w:tcPr>
            <w:tcW w:type="dxa" w:w="6960"/>
            <w:vAlign w:val="center"/>
          </w:tcPr>
          <w:p>
            <w:pPr>
              <w:pStyle w:val="TableText"/>
            </w:pPr>
            <w:r>
              <w:t>少数データの過学習と計算費用を抑えるためです。本文の比較では予測層のみが有利でした。</w:t>
            </w:r>
          </w:p>
        </w:tc>
      </w:tr>
      <w:tr>
        <w:trPr>
          <w:cantSplit/>
        </w:trPr>
        <w:tc>
          <w:tcPr>
            <w:tcW w:type="dxa" w:w="2400"/>
            <w:vAlign w:val="center"/>
          </w:tcPr>
          <w:p>
            <w:pPr>
              <w:pStyle w:val="TableText"/>
            </w:pPr>
            <w:r>
              <w:t>OutProとの違いは何ですか。</w:t>
            </w:r>
          </w:p>
        </w:tc>
        <w:tc>
          <w:tcPr>
            <w:tcW w:type="dxa" w:w="6960"/>
            <w:vAlign w:val="center"/>
          </w:tcPr>
          <w:p>
            <w:pPr>
              <w:pStyle w:val="TableText"/>
            </w:pPr>
            <w:r>
              <w:t>OutProは現在入力の距離型スコア、今回は実測出力を使う残差診断と適応です。</w:t>
            </w:r>
          </w:p>
        </w:tc>
      </w:tr>
      <w:tr>
        <w:trPr>
          <w:cantSplit/>
        </w:trPr>
        <w:tc>
          <w:tcPr>
            <w:tcW w:type="dxa" w:w="2400"/>
            <w:vAlign w:val="center"/>
          </w:tcPr>
          <w:p>
            <w:pPr>
              <w:pStyle w:val="TableText"/>
            </w:pPr>
            <w:r>
              <w:t>山原氏のモデルに適用できますか。</w:t>
            </w:r>
          </w:p>
        </w:tc>
        <w:tc>
          <w:tcPr>
            <w:tcW w:type="dxa" w:w="6960"/>
            <w:vAlign w:val="center"/>
          </w:tcPr>
          <w:p>
            <w:pPr>
              <w:pStyle w:val="TableText"/>
            </w:pPr>
            <w:r>
              <w:t>原文と実装条件が未確認です。実測出力の有無、入力窓、予測対象、内部変更可否を先に確認します。</w:t>
            </w:r>
          </w:p>
        </w:tc>
      </w:tr>
    </w:tbl>
    <w:p>
      <w:pPr>
        <w:spacing w:after="0"/>
        <w:snapToGrid w:val="0"/>
      </w:pPr>
    </w:p>
    <w:p>
      <w:pPr>
        <w:pStyle w:val="Heading2"/>
        <w:snapToGrid w:val="0"/>
      </w:pPr>
      <w:r>
        <w:t>3　中文自测：能够答出来才算真正理解</w:t>
      </w:r>
    </w:p>
    <w:p>
      <w:pPr>
        <w:pStyle w:val="ReportBullet"/>
        <w:keepNext/>
        <w:numPr>
          <w:ilvl w:val="0"/>
          <w:numId w:val="51"/>
        </w:numPr>
        <w:snapToGrid w:val="0"/>
      </w:pPr>
      <w:r>
        <w:t>为什么总体残差均值为0，仍可能在每个情境中都预测错误？</w:t>
      </w:r>
    </w:p>
    <w:p>
      <w:pPr>
        <w:pStyle w:val="ReportBullet"/>
        <w:keepNext/>
        <w:numPr>
          <w:ilvl w:val="0"/>
          <w:numId w:val="51"/>
        </w:numPr>
        <w:snapToGrid w:val="0"/>
      </w:pPr>
      <w:r>
        <w:t>δ_P、δ_T、λ_P分别是什么？哪些是诊断分数，哪个是候选筛选阈值？</w:t>
      </w:r>
    </w:p>
    <w:p>
      <w:pPr>
        <w:pStyle w:val="ReportBullet"/>
        <w:keepNext/>
        <w:numPr>
          <w:ilvl w:val="0"/>
          <w:numId w:val="51"/>
        </w:numPr>
        <w:snapToGrid w:val="0"/>
      </w:pPr>
      <w:r>
        <w:t>当前t=100、T=24时，历史起点t′=90能否用于完整标签适配？为什么？</w:t>
      </w:r>
    </w:p>
    <w:p>
      <w:pPr>
        <w:pStyle w:val="ReportBullet"/>
        <w:keepNext/>
        <w:numPr>
          <w:ilvl w:val="0"/>
          <w:numId w:val="51"/>
        </w:numPr>
        <w:snapToGrid w:val="0"/>
      </w:pPr>
      <w:r>
        <w:t>为什么训练集里所有情境都见过，仍可能存在本文所说的问题？</w:t>
      </w:r>
    </w:p>
    <w:p>
      <w:pPr>
        <w:pStyle w:val="ReportBullet"/>
        <w:keepNext/>
        <w:numPr>
          <w:ilvl w:val="0"/>
          <w:numId w:val="51"/>
        </w:numPr>
        <w:snapToGrid w:val="0"/>
      </w:pPr>
      <w:r>
        <w:t>为什么“输入之间的关系变化”和“输入到未来输出的关系变化”不能直接画等号？</w:t>
      </w:r>
    </w:p>
    <w:p>
      <w:pPr>
        <w:pStyle w:val="ReportBullet"/>
        <w:keepNext/>
        <w:numPr>
          <w:ilvl w:val="0"/>
          <w:numId w:val="51"/>
        </w:numPr>
        <w:snapToGrid w:val="0"/>
      </w:pPr>
      <w:r>
        <w:t>如果只有噪声方差变化，δ可能变高吗？点预测是否一定能改善？</w:t>
      </w:r>
    </w:p>
    <w:p>
      <w:pPr>
        <w:pStyle w:val="ReportBullet"/>
        <w:numPr>
          <w:ilvl w:val="0"/>
          <w:numId w:val="51"/>
        </w:numPr>
        <w:snapToGrid w:val="0"/>
      </w:pPr>
      <w:r>
        <w:t>原模型速度为100 samples/s，适配后80 samples/s，平均每样本耗时增加多少？</w:t>
      </w:r>
    </w:p>
    <w:p>
      <w:pPr>
        <w:snapToGrid w:val="0"/>
      </w:pPr>
      <w:r>
        <w:t>参考答案提示：t′=90时，标签结束于113，当前只能观测到99，不能使用；80%吞吐量对应耗时增加25%；δ依赖分布，不仅依赖均值。</w:t>
      </w:r>
    </w:p>
    <w:p>
      <w:pPr>
        <w:pStyle w:val="Heading1"/>
        <w:pageBreakBefore/>
        <w:snapToGrid w:val="0"/>
      </w:pPr>
      <w:r>
        <w:t>证据索引与后续核对清单</w:t>
      </w:r>
    </w:p>
    <w:p>
      <w:pPr>
        <w:pStyle w:val="Heading2"/>
        <w:snapToGrid w:val="0"/>
      </w:pPr>
      <w:r>
        <w:t>1　论文与数据来源</w:t>
      </w:r>
    </w:p>
    <w:p>
      <w:pPr>
        <w:snapToGrid w:val="0"/>
      </w:pPr>
      <w:r>
        <w:t>S1．用户上传正式版：Calibration of Time-Series Forecasting.pdf，会议页码341–352。方法：§4、§5；理论：§6；主结果：Table 1、Table 3；消融与速度：Fig.5；参数：Table 2；局限：§8。</w:t>
      </w:r>
    </w:p>
    <w:p>
      <w:pPr>
        <w:pStyle w:val="SourceText"/>
        <w:snapToGrid w:val="0"/>
      </w:pPr>
      <w:r/>
      <w:hyperlink r:id="rId11">
        <w:r>
          <w:rPr>
            <w:color w:val="2E74B5"/>
          </w:rPr>
          <w:t>https://doi.org/10.1145/3637528.3671926</w:t>
        </w:r>
      </w:hyperlink>
      <w:r/>
    </w:p>
    <w:p>
      <w:pPr>
        <w:snapToGrid w:val="0"/>
      </w:pPr>
      <w:r>
        <w:t>S2．作者完整版arXiv v2：补读Appendix A证明、B.1数据说明、Table 2数据统计；其他表号以版本分别记录。内容与正式版个别单元格有差异时，本报告主结果优先采用正式版。</w:t>
      </w:r>
    </w:p>
    <w:p>
      <w:pPr>
        <w:pStyle w:val="SourceText"/>
        <w:snapToGrid w:val="0"/>
      </w:pPr>
      <w:r/>
      <w:hyperlink r:id="rId12">
        <w:r>
          <w:rPr>
            <w:color w:val="2E74B5"/>
          </w:rPr>
          <w:t>https://arxiv.org/abs/2310.14838v2</w:t>
        </w:r>
      </w:hyperlink>
      <w:r/>
    </w:p>
    <w:p>
      <w:pPr>
        <w:snapToGrid w:val="0"/>
      </w:pPr>
      <w:r>
        <w:t>S3．作者代码与复现入口。README说明训练、残差提取、Reconditionor计算、SOLID适配的流程。</w:t>
      </w:r>
    </w:p>
    <w:p>
      <w:pPr>
        <w:pStyle w:val="SourceText"/>
        <w:snapToGrid w:val="0"/>
      </w:pPr>
      <w:r/>
      <w:hyperlink r:id="rId13">
        <w:r>
          <w:rPr>
            <w:color w:val="2E74B5"/>
          </w:rPr>
          <w:t>https://github.com/HALF111/calibration_CDS</w:t>
        </w:r>
      </w:hyperlink>
      <w:r/>
    </w:p>
    <w:p>
      <w:pPr>
        <w:snapToGrid w:val="0"/>
      </w:pPr>
      <w:r>
        <w:t>S4．ETT原提供仓库：字段与数据来源；ETT-small含CSV。LICENSE为CC BY-ND 4.0。</w:t>
      </w:r>
    </w:p>
    <w:p>
      <w:pPr>
        <w:pStyle w:val="SourceText"/>
        <w:snapToGrid w:val="0"/>
      </w:pPr>
      <w:r/>
      <w:hyperlink r:id="rId14">
        <w:r>
          <w:rPr>
            <w:color w:val="2E74B5"/>
          </w:rPr>
          <w:t>https://github.com/zhouhaoyi/ETDataset</w:t>
        </w:r>
      </w:hyperlink>
      <w:r/>
    </w:p>
    <w:p>
      <w:pPr>
        <w:pStyle w:val="SourceText"/>
        <w:snapToGrid w:val="0"/>
      </w:pPr>
      <w:r/>
      <w:hyperlink r:id="rId15">
        <w:r>
          <w:rPr>
            <w:color w:val="2E74B5"/>
          </w:rPr>
          <w:t>https://github.com/zhouhaoyi/ETDataset/blob/main/LICENSE</w:t>
        </w:r>
      </w:hyperlink>
      <w:r/>
    </w:p>
    <w:p>
      <w:pPr>
        <w:snapToGrid w:val="0"/>
      </w:pPr>
      <w:r>
        <w:t>S5．作者指向的数据入口：Autoformer的Get Started包含前处理数据下载链接；Informer2020提供相应基准资料。本报告没有将这些代码库的许可自动套用于全部原数据。</w:t>
      </w:r>
    </w:p>
    <w:p>
      <w:pPr>
        <w:pStyle w:val="SourceText"/>
        <w:snapToGrid w:val="0"/>
      </w:pPr>
      <w:r/>
      <w:hyperlink r:id="rId16">
        <w:r>
          <w:rPr>
            <w:color w:val="2E74B5"/>
          </w:rPr>
          <w:t>https://github.com/thuml/Autoformer</w:t>
        </w:r>
      </w:hyperlink>
      <w:r/>
    </w:p>
    <w:p>
      <w:pPr>
        <w:pStyle w:val="SourceText"/>
        <w:snapToGrid w:val="0"/>
      </w:pPr>
      <w:r/>
      <w:hyperlink r:id="rId17">
        <w:r>
          <w:rPr>
            <w:color w:val="2E74B5"/>
          </w:rPr>
          <w:t>https://github.com/zhouhaoyi/Informer2020</w:t>
        </w:r>
      </w:hyperlink>
      <w:r/>
    </w:p>
    <w:p>
      <w:pPr>
        <w:pStyle w:val="Heading2"/>
        <w:snapToGrid w:val="0"/>
      </w:pPr>
      <w:r>
        <w:t>2　公开代码定位（固定提交）</w:t>
      </w:r>
    </w:p>
    <w:p>
      <w:pPr>
        <w:snapToGrid w:val="0"/>
      </w:pPr>
      <w:r>
        <w:t>C1．残差估计器：reconditionor/calc_distribution.py。固定周期、完整周期切分、flatten、直方图、KL平均。</w:t>
      </w:r>
    </w:p>
    <w:p>
      <w:pPr>
        <w:pStyle w:val="SourceText"/>
        <w:snapToGrid w:val="0"/>
      </w:pPr>
      <w:r/>
      <w:hyperlink r:id="rId18">
        <w:r>
          <w:rPr>
            <w:color w:val="2E74B5"/>
          </w:rPr>
          <w:t>作者公开代码（固定提交）</w:t>
        </w:r>
      </w:hyperlink>
      <w:r/>
    </w:p>
    <w:p>
      <w:pPr>
        <w:snapToGrid w:val="0"/>
      </w:pPr>
      <w:r>
        <w:t>C2．模型复制、参数冻结、候选选择与梯度更新：exp/exp_main.py。重点函数get_data_error、select_with_distance、select_with_distance_caching。未执行全部分支。</w:t>
      </w:r>
    </w:p>
    <w:p>
      <w:pPr>
        <w:pStyle w:val="SourceText"/>
        <w:snapToGrid w:val="0"/>
      </w:pPr>
      <w:r/>
      <w:hyperlink r:id="rId19">
        <w:r>
          <w:rPr>
            <w:color w:val="2E74B5"/>
          </w:rPr>
          <w:t>作者公开代码（固定提交）</w:t>
        </w:r>
      </w:hyperlink>
      <w:r/>
    </w:p>
    <w:p>
      <w:pPr>
        <w:snapToGrid w:val="0"/>
      </w:pPr>
      <w:r>
        <w:t>C3．数据边界、标准化和候选历史块：data_provider/data_loader.py；批量与drop_last：data_factory.py。</w:t>
      </w:r>
    </w:p>
    <w:p>
      <w:pPr>
        <w:pStyle w:val="SourceText"/>
        <w:snapToGrid w:val="0"/>
      </w:pPr>
      <w:r/>
      <w:hyperlink r:id="rId20">
        <w:r>
          <w:rPr>
            <w:color w:val="2E74B5"/>
          </w:rPr>
          <w:t>作者公开代码（固定提交）</w:t>
        </w:r>
      </w:hyperlink>
      <w:r/>
    </w:p>
    <w:p>
      <w:pPr>
        <w:pStyle w:val="SourceText"/>
        <w:snapToGrid w:val="0"/>
      </w:pPr>
      <w:r/>
      <w:hyperlink r:id="rId21">
        <w:r>
          <w:rPr>
            <w:color w:val="2E74B5"/>
          </w:rPr>
          <w:t>作者公开代码（固定提交）</w:t>
        </w:r>
      </w:hyperlink>
      <w:r/>
    </w:p>
    <w:p>
      <w:pPr>
        <w:snapToGrid w:val="0"/>
      </w:pPr>
      <w:r>
        <w:t>C4．PatchTST的ETTh1适配脚本与默认配置。</w:t>
      </w:r>
    </w:p>
    <w:p>
      <w:pPr>
        <w:pStyle w:val="SourceText"/>
        <w:snapToGrid w:val="0"/>
      </w:pPr>
      <w:r/>
      <w:hyperlink r:id="rId22">
        <w:r>
          <w:rPr>
            <w:color w:val="2E74B5"/>
          </w:rPr>
          <w:t>作者公开代码（固定提交）</w:t>
        </w:r>
      </w:hyperlink>
      <w:r/>
    </w:p>
    <w:p>
      <w:pPr>
        <w:pStyle w:val="SourceText"/>
        <w:snapToGrid w:val="0"/>
      </w:pPr>
      <w:r/>
      <w:hyperlink r:id="rId23">
        <w:r>
          <w:rPr>
            <w:color w:val="2E74B5"/>
          </w:rPr>
          <w:t>作者公开代码（固定提交）</w:t>
        </w:r>
      </w:hyperlink>
      <w:r/>
    </w:p>
    <w:p>
      <w:pPr>
        <w:snapToGrid w:val="0"/>
      </w:pPr>
      <w:r>
        <w:t>C5．代码LICENSE与依赖列表；包含torch 1.9.0等历史版本。本报告仅读取，未声称已在当前环境成功复现。</w:t>
      </w:r>
    </w:p>
    <w:p>
      <w:pPr>
        <w:pStyle w:val="SourceText"/>
        <w:snapToGrid w:val="0"/>
      </w:pPr>
      <w:r/>
      <w:hyperlink r:id="rId24">
        <w:r>
          <w:rPr>
            <w:color w:val="2E74B5"/>
          </w:rPr>
          <w:t>作者公开代码（固定提交）</w:t>
        </w:r>
      </w:hyperlink>
      <w:r/>
    </w:p>
    <w:p>
      <w:pPr>
        <w:pStyle w:val="SourceText"/>
        <w:snapToGrid w:val="0"/>
      </w:pPr>
      <w:r/>
      <w:hyperlink r:id="rId25">
        <w:r>
          <w:rPr>
            <w:color w:val="2E74B5"/>
          </w:rPr>
          <w:t>作者公开代码（固定提交）</w:t>
        </w:r>
      </w:hyperlink>
      <w:r/>
    </w:p>
    <w:p>
      <w:pPr>
        <w:pStyle w:val="Heading2"/>
        <w:snapToGrid w:val="0"/>
      </w:pPr>
      <w:r>
        <w:t>3　下一步优先核对事项</w:t>
      </w:r>
    </w:p>
    <w:tbl>
      <w:tblPr>
        <w:tblW w:type="dxa" w:w="9360"/>
        <w:jc w:val="left"/>
        <w:tblLayout w:type="fixed"/>
        <w:tblLook w:firstColumn="1" w:firstRow="1" w:lastColumn="0" w:lastRow="0" w:noHBand="0" w:noVBand="1" w:val="04A0"/>
        <w:tblInd w:w="120" w:type="dxa"/>
        <w:tblCellMar>
          <w:top w:w="80" w:type="dxa"/>
          <w:bottom w:w="80" w:type="dxa"/>
          <w:start w:w="120" w:type="dxa"/>
          <w:end w:w="120" w:type="dxa"/>
        </w:tblCellMar>
        <w:tblBorders>
          <w:top w:val="single" w:sz="4" w:color="C9D3DF"/>
          <w:left w:val="single" w:sz="4" w:color="C9D3DF"/>
          <w:bottom w:val="single" w:sz="4" w:color="C9D3DF"/>
          <w:right w:val="single" w:sz="4" w:color="C9D3DF"/>
          <w:insideH w:val="single" w:sz="4" w:color="C9D3DF"/>
          <w:insideV w:val="single" w:sz="4" w:color="C9D3DF"/>
        </w:tblBorders>
      </w:tblPr>
      <w:tblGrid>
        <w:gridCol w:w="2050"/>
        <w:gridCol w:w="3500"/>
        <w:gridCol w:w="3810"/>
      </w:tblGrid>
      <w:tr>
        <w:trPr>
          <w:cantSplit/>
          <w:tblHeader/>
        </w:trPr>
        <w:tc>
          <w:tcPr>
            <w:tcW w:type="dxa" w:w="2050"/>
            <w:vAlign w:val="center"/>
            <w:shd w:fill="E8EEF5"/>
          </w:tcPr>
          <w:p>
            <w:pPr>
              <w:pStyle w:val="TableText"/>
            </w:pPr>
            <w:r>
              <w:rPr>
                <w:b/>
                <w:color w:val="1F4D78"/>
              </w:rPr>
              <w:t>优先级</w:t>
            </w:r>
          </w:p>
        </w:tc>
        <w:tc>
          <w:tcPr>
            <w:tcW w:type="dxa" w:w="3500"/>
            <w:vAlign w:val="center"/>
            <w:shd w:fill="E8EEF5"/>
          </w:tcPr>
          <w:p>
            <w:pPr>
              <w:pStyle w:val="TableText"/>
            </w:pPr>
            <w:r>
              <w:rPr>
                <w:b/>
                <w:color w:val="1F4D78"/>
              </w:rPr>
              <w:t>待确认问题</w:t>
            </w:r>
          </w:p>
        </w:tc>
        <w:tc>
          <w:tcPr>
            <w:tcW w:type="dxa" w:w="3810"/>
            <w:vAlign w:val="center"/>
            <w:shd w:fill="E8EEF5"/>
          </w:tcPr>
          <w:p>
            <w:pPr>
              <w:pStyle w:val="TableText"/>
            </w:pPr>
            <w:r>
              <w:rPr>
                <w:b/>
                <w:color w:val="1F4D78"/>
              </w:rPr>
              <w:t>为什么重要</w:t>
            </w:r>
          </w:p>
        </w:tc>
      </w:tr>
      <w:tr>
        <w:trPr>
          <w:cantSplit/>
        </w:trPr>
        <w:tc>
          <w:tcPr>
            <w:tcW w:type="dxa" w:w="2050"/>
            <w:vAlign w:val="center"/>
          </w:tcPr>
          <w:p>
            <w:pPr>
              <w:pStyle w:val="TableText"/>
            </w:pPr>
            <w:r>
              <w:t>高</w:t>
            </w:r>
          </w:p>
        </w:tc>
        <w:tc>
          <w:tcPr>
            <w:tcW w:type="dxa" w:w="3500"/>
            <w:vAlign w:val="center"/>
          </w:tcPr>
          <w:p>
            <w:pPr>
              <w:pStyle w:val="TableText"/>
            </w:pPr>
            <w:r>
              <w:t>山原氏模型的输入窗、真实输出、预测层是否可访问。</w:t>
            </w:r>
          </w:p>
        </w:tc>
        <w:tc>
          <w:tcPr>
            <w:tcW w:type="dxa" w:w="3810"/>
            <w:vAlign w:val="center"/>
          </w:tcPr>
          <w:p>
            <w:pPr>
              <w:pStyle w:val="TableText"/>
            </w:pPr>
            <w:r>
              <w:t>决定能否诊断与适配。</w:t>
            </w:r>
          </w:p>
        </w:tc>
      </w:tr>
      <w:tr>
        <w:trPr>
          <w:cantSplit/>
        </w:trPr>
        <w:tc>
          <w:tcPr>
            <w:tcW w:type="dxa" w:w="2050"/>
            <w:vAlign w:val="center"/>
          </w:tcPr>
          <w:p>
            <w:pPr>
              <w:pStyle w:val="TableText"/>
            </w:pPr>
            <w:r>
              <w:t>高</w:t>
            </w:r>
          </w:p>
        </w:tc>
        <w:tc>
          <w:tcPr>
            <w:tcW w:type="dxa" w:w="3500"/>
            <w:vAlign w:val="center"/>
          </w:tcPr>
          <w:p>
            <w:pPr>
              <w:pStyle w:val="TableText"/>
            </w:pPr>
            <w:r>
              <w:t>选择高斯还是直方图估计器，残差按哪些轴聚合。</w:t>
            </w:r>
          </w:p>
        </w:tc>
        <w:tc>
          <w:tcPr>
            <w:tcW w:type="dxa" w:w="3810"/>
            <w:vAlign w:val="center"/>
          </w:tcPr>
          <w:p>
            <w:pPr>
              <w:pStyle w:val="TableText"/>
            </w:pPr>
            <w:r>
              <w:t>决定分数含义和阈值可比性。</w:t>
            </w:r>
          </w:p>
        </w:tc>
      </w:tr>
      <w:tr>
        <w:trPr>
          <w:cantSplit/>
        </w:trPr>
        <w:tc>
          <w:tcPr>
            <w:tcW w:type="dxa" w:w="2050"/>
            <w:vAlign w:val="center"/>
          </w:tcPr>
          <w:p>
            <w:pPr>
              <w:pStyle w:val="TableText"/>
            </w:pPr>
            <w:r>
              <w:t>高</w:t>
            </w:r>
          </w:p>
        </w:tc>
        <w:tc>
          <w:tcPr>
            <w:tcW w:type="dxa" w:w="3500"/>
            <w:vAlign w:val="center"/>
          </w:tcPr>
          <w:p>
            <w:pPr>
              <w:pStyle w:val="TableText"/>
            </w:pPr>
            <w:r>
              <w:t>按起点审计标签可用时刻与预测比较样本集合。</w:t>
            </w:r>
          </w:p>
        </w:tc>
        <w:tc>
          <w:tcPr>
            <w:tcW w:type="dxa" w:w="3810"/>
            <w:vAlign w:val="center"/>
          </w:tcPr>
          <w:p>
            <w:pPr>
              <w:pStyle w:val="TableText"/>
            </w:pPr>
            <w:r>
              <w:t>保证没有未来信息和评价数量差异。</w:t>
            </w:r>
          </w:p>
        </w:tc>
      </w:tr>
      <w:tr>
        <w:trPr>
          <w:cantSplit/>
        </w:trPr>
        <w:tc>
          <w:tcPr>
            <w:tcW w:type="dxa" w:w="2050"/>
            <w:vAlign w:val="center"/>
          </w:tcPr>
          <w:p>
            <w:pPr>
              <w:pStyle w:val="TableText"/>
            </w:pPr>
            <w:r>
              <w:t>高</w:t>
            </w:r>
          </w:p>
        </w:tc>
        <w:tc>
          <w:tcPr>
            <w:tcW w:type="dxa" w:w="3500"/>
            <w:vAlign w:val="center"/>
          </w:tcPr>
          <w:p>
            <w:pPr>
              <w:pStyle w:val="TableText"/>
            </w:pPr>
            <w:r>
              <w:t>实际CSV行数、字段、时间范围、许可与版本。</w:t>
            </w:r>
          </w:p>
        </w:tc>
        <w:tc>
          <w:tcPr>
            <w:tcW w:type="dxa" w:w="3810"/>
            <w:vAlign w:val="center"/>
          </w:tcPr>
          <w:p>
            <w:pPr>
              <w:pStyle w:val="TableText"/>
            </w:pPr>
            <w:r>
              <w:t>避免用论文统计代替实测配置。</w:t>
            </w:r>
          </w:p>
        </w:tc>
      </w:tr>
      <w:tr>
        <w:trPr>
          <w:cantSplit/>
        </w:trPr>
        <w:tc>
          <w:tcPr>
            <w:tcW w:type="dxa" w:w="2050"/>
            <w:vAlign w:val="center"/>
          </w:tcPr>
          <w:p>
            <w:pPr>
              <w:pStyle w:val="TableText"/>
            </w:pPr>
            <w:r>
              <w:t>中</w:t>
            </w:r>
          </w:p>
        </w:tc>
        <w:tc>
          <w:tcPr>
            <w:tcW w:type="dxa" w:w="3500"/>
            <w:vAlign w:val="center"/>
          </w:tcPr>
          <w:p>
            <w:pPr>
              <w:pStyle w:val="TableText"/>
            </w:pPr>
            <w:r>
              <w:t>周期与候选边界按论文还是代码实现。</w:t>
            </w:r>
          </w:p>
        </w:tc>
        <w:tc>
          <w:tcPr>
            <w:tcW w:type="dxa" w:w="3810"/>
            <w:vAlign w:val="center"/>
          </w:tcPr>
          <w:p>
            <w:pPr>
              <w:pStyle w:val="TableText"/>
            </w:pPr>
            <w:r>
              <w:t>候选集合不同会改变适配结果。</w:t>
            </w:r>
          </w:p>
        </w:tc>
      </w:tr>
      <w:tr>
        <w:trPr>
          <w:cantSplit/>
        </w:trPr>
        <w:tc>
          <w:tcPr>
            <w:tcW w:type="dxa" w:w="2050"/>
            <w:vAlign w:val="center"/>
          </w:tcPr>
          <w:p>
            <w:pPr>
              <w:pStyle w:val="TableText"/>
            </w:pPr>
            <w:r>
              <w:t>中</w:t>
            </w:r>
          </w:p>
        </w:tc>
        <w:tc>
          <w:tcPr>
            <w:tcW w:type="dxa" w:w="3500"/>
            <w:vAlign w:val="center"/>
          </w:tcPr>
          <w:p>
            <w:pPr>
              <w:pStyle w:val="TableText"/>
            </w:pPr>
            <w:r>
              <w:t>少样本、零方差、候选不足和突变情境的回退。</w:t>
            </w:r>
          </w:p>
        </w:tc>
        <w:tc>
          <w:tcPr>
            <w:tcW w:type="dxa" w:w="3810"/>
            <w:vAlign w:val="center"/>
          </w:tcPr>
          <w:p>
            <w:pPr>
              <w:pStyle w:val="TableText"/>
            </w:pPr>
            <w:r>
              <w:t>保证实际运行可用性。</w:t>
            </w:r>
          </w:p>
        </w:tc>
      </w:tr>
      <w:tr>
        <w:trPr>
          <w:cantSplit/>
        </w:trPr>
        <w:tc>
          <w:tcPr>
            <w:tcW w:type="dxa" w:w="2050"/>
            <w:vAlign w:val="center"/>
          </w:tcPr>
          <w:p>
            <w:pPr>
              <w:pStyle w:val="TableText"/>
            </w:pPr>
            <w:r>
              <w:t>中</w:t>
            </w:r>
          </w:p>
        </w:tc>
        <w:tc>
          <w:tcPr>
            <w:tcW w:type="dxa" w:w="3500"/>
            <w:vAlign w:val="center"/>
          </w:tcPr>
          <w:p>
            <w:pPr>
              <w:pStyle w:val="TableText"/>
            </w:pPr>
            <w:r>
              <w:t>单变量、逐预测步诊断与整体聚合的比较。</w:t>
            </w:r>
          </w:p>
        </w:tc>
        <w:tc>
          <w:tcPr>
            <w:tcW w:type="dxa" w:w="3810"/>
            <w:vAlign w:val="center"/>
          </w:tcPr>
          <w:p>
            <w:pPr>
              <w:pStyle w:val="TableText"/>
            </w:pPr>
            <w:r>
              <w:t>检验多变量关系是否被汇总掩盖。</w:t>
            </w:r>
          </w:p>
        </w:tc>
      </w:tr>
      <w:tr>
        <w:trPr>
          <w:cantSplit/>
        </w:trPr>
        <w:tc>
          <w:tcPr>
            <w:tcW w:type="dxa" w:w="2050"/>
            <w:vAlign w:val="center"/>
          </w:tcPr>
          <w:p>
            <w:pPr>
              <w:pStyle w:val="TableText"/>
            </w:pPr>
            <w:r>
              <w:t>中</w:t>
            </w:r>
          </w:p>
        </w:tc>
        <w:tc>
          <w:tcPr>
            <w:tcW w:type="dxa" w:w="3500"/>
            <w:vAlign w:val="center"/>
          </w:tcPr>
          <w:p>
            <w:pPr>
              <w:pStyle w:val="TableText"/>
            </w:pPr>
            <w:r>
              <w:t>真正ID/OOD标签下的误报、漏报、延迟评价。</w:t>
            </w:r>
          </w:p>
        </w:tc>
        <w:tc>
          <w:tcPr>
            <w:tcW w:type="dxa" w:w="3810"/>
            <w:vAlign w:val="center"/>
          </w:tcPr>
          <w:p>
            <w:pPr>
              <w:pStyle w:val="TableText"/>
            </w:pPr>
            <w:r>
              <w:t>补足当前论文没有直接回答的研究目标。</w:t>
            </w:r>
          </w:p>
        </w:tc>
      </w:tr>
    </w:tbl>
    <w:p>
      <w:pPr>
        <w:spacing w:after="0"/>
        <w:snapToGrid w:val="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8788A"/>
        <w:sz w:val="16"/>
      </w:rPr>
      <w:t xml:space="preserve">2026-09-08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ourceText"/>
    </w:pPr>
    <w:r>
      <w:rPr>
        <w:color w:val="68788A"/>
        <w:sz w:val="16"/>
      </w:rPr>
      <w:t>P03  /  Reconditionor・SOLID     论文精读・研究報告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51">
    <w:lvl w:ilvl="0">
      <w:start w:val="1"/>
      <w:numFmt w:val="bullet"/>
      <w:lvlText w:val="•"/>
      <w:lvlJc w:val="left"/>
      <w:pPr>
        <w:tabs>
          <w:tab w:val="num" w:pos="540"/>
        </w:tabs>
        <w:ind w:left="540" w:hanging="271"/>
        <w:spacing w:before="0" w:after="80" w:line="300"/>
      </w:pPr>
    </w:lvl>
  </w:abstractNum>
  <w:num w:numId="51">
    <w:abstractNumId w:val="5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00" w:line="320" w:lineRule="exact"/>
    </w:pPr>
    <w:rPr>
      <w:rFonts w:ascii="Noto Sans CJK SC" w:hAnsi="Noto Sans CJK SC" w:eastAsia="Noto Sans CJK SC"/>
      <w:b w:val="0"/>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300" w:lineRule="auto"/>
      <w:outlineLvl w:val="0"/>
    </w:pPr>
    <w:rPr>
      <w:rFonts w:asciiTheme="majorHAnsi" w:eastAsiaTheme="majorEastAsia" w:hAnsiTheme="majorHAnsi" w:cstheme="majorBidi" w:ascii="Noto Sans CJK SC" w:hAnsi="Noto Sans CJK SC" w:eastAsia="Noto Sans CJK S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300" w:lineRule="auto"/>
      <w:outlineLvl w:val="1"/>
    </w:pPr>
    <w:rPr>
      <w:rFonts w:asciiTheme="majorHAnsi" w:eastAsiaTheme="majorEastAsia" w:hAnsiTheme="majorHAnsi" w:cstheme="majorBidi" w:ascii="Noto Sans CJK SC" w:hAnsi="Noto Sans CJK SC" w:eastAsia="Noto Sans CJK S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300" w:lineRule="auto"/>
      <w:outlineLvl w:val="2"/>
    </w:pPr>
    <w:rPr>
      <w:rFonts w:asciiTheme="majorHAnsi" w:eastAsiaTheme="majorEastAsia" w:hAnsiTheme="majorHAnsi" w:cstheme="majorBidi" w:ascii="Noto Sans CJK SC" w:hAnsi="Noto Sans CJK SC" w:eastAsia="Noto Sans CJK S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88" w:lineRule="auto" w:before="0"/>
      <w:contextualSpacing/>
    </w:pPr>
    <w:rPr>
      <w:rFonts w:asciiTheme="majorHAnsi" w:eastAsiaTheme="majorEastAsia" w:hAnsiTheme="majorHAnsi" w:cstheme="majorBidi" w:ascii="Noto Sans CJK SC" w:hAnsi="Noto Sans CJK SC" w:eastAsia="Noto Sans CJK SC"/>
      <w:b/>
      <w:color w:val="0B2545"/>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Text">
    <w:name w:val="Table Text"/>
    <w:pPr>
      <w:spacing w:before="0" w:after="80" w:line="260" w:lineRule="exact"/>
    </w:pPr>
    <w:rPr>
      <w:rFonts w:ascii="Noto Sans CJK SC" w:hAnsi="Noto Sans CJK SC" w:eastAsia="Noto Sans CJK SC"/>
      <w:b w:val="0"/>
      <w:color w:val="222222"/>
      <w:sz w:val="19"/>
    </w:rPr>
  </w:style>
  <w:style w:type="paragraph" w:customStyle="1" w:styleId="EquationText">
    <w:name w:val="Equation Text"/>
    <w:pPr>
      <w:keepNext/>
      <w:spacing w:before="100" w:after="140" w:line="320" w:lineRule="exact"/>
    </w:pPr>
    <w:rPr>
      <w:rFonts w:ascii="Noto Sans CJK SC" w:hAnsi="Noto Sans CJK SC" w:eastAsia="Noto Sans CJK SC"/>
      <w:b w:val="0"/>
      <w:color w:val="222222"/>
      <w:sz w:val="22"/>
    </w:rPr>
  </w:style>
  <w:style w:type="paragraph" w:customStyle="1" w:styleId="SourceText">
    <w:name w:val="Source Text"/>
    <w:pPr>
      <w:spacing w:before="80" w:after="80" w:line="320" w:lineRule="exact"/>
    </w:pPr>
    <w:rPr>
      <w:rFonts w:ascii="Noto Sans CJK SC" w:hAnsi="Noto Sans CJK SC" w:eastAsia="Noto Sans CJK SC"/>
      <w:b w:val="0"/>
      <w:color w:val="222222"/>
      <w:sz w:val="18"/>
    </w:rPr>
  </w:style>
  <w:style w:type="paragraph" w:customStyle="1" w:styleId="ReportBullet">
    <w:name w:val="Report Bullet"/>
    <w:pPr>
      <w:spacing w:before="0" w:after="80" w:line="320" w:lineRule="exact"/>
    </w:pPr>
    <w:rPr>
      <w:rFonts w:ascii="Noto Sans CJK SC" w:hAnsi="Noto Sans CJK SC" w:eastAsia="Noto Sans CJK SC"/>
      <w:b w:val="0"/>
      <w:color w:val="222222"/>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i.org/10.1145/3637528.3671926" TargetMode="External"/><Relationship Id="rId12" Type="http://schemas.openxmlformats.org/officeDocument/2006/relationships/hyperlink" Target="https://arxiv.org/abs/2310.14838v2" TargetMode="External"/><Relationship Id="rId13" Type="http://schemas.openxmlformats.org/officeDocument/2006/relationships/hyperlink" Target="https://github.com/HALF111/calibration_CDS" TargetMode="External"/><Relationship Id="rId14" Type="http://schemas.openxmlformats.org/officeDocument/2006/relationships/hyperlink" Target="https://github.com/zhouhaoyi/ETDataset" TargetMode="External"/><Relationship Id="rId15" Type="http://schemas.openxmlformats.org/officeDocument/2006/relationships/hyperlink" Target="https://github.com/zhouhaoyi/ETDataset/blob/main/LICENSE" TargetMode="External"/><Relationship Id="rId16" Type="http://schemas.openxmlformats.org/officeDocument/2006/relationships/hyperlink" Target="https://github.com/thuml/Autoformer" TargetMode="External"/><Relationship Id="rId17" Type="http://schemas.openxmlformats.org/officeDocument/2006/relationships/hyperlink" Target="https://github.com/zhouhaoyi/Informer2020" TargetMode="External"/><Relationship Id="rId18" Type="http://schemas.openxmlformats.org/officeDocument/2006/relationships/hyperlink" Target="https://github.com/HALF111/calibration_CDS/blob/3c74e5f8b3c921a2e7cda30f36117c295bf8c112/reconditionor/calc_distribution.py" TargetMode="External"/><Relationship Id="rId19" Type="http://schemas.openxmlformats.org/officeDocument/2006/relationships/hyperlink" Target="https://github.com/HALF111/calibration_CDS/blob/3c74e5f8b3c921a2e7cda30f36117c295bf8c112/exp/exp_main.py" TargetMode="External"/><Relationship Id="rId20" Type="http://schemas.openxmlformats.org/officeDocument/2006/relationships/hyperlink" Target="https://github.com/HALF111/calibration_CDS/blob/3c74e5f8b3c921a2e7cda30f36117c295bf8c112/data_provider/data_loader.py" TargetMode="External"/><Relationship Id="rId21" Type="http://schemas.openxmlformats.org/officeDocument/2006/relationships/hyperlink" Target="https://github.com/HALF111/calibration_CDS/blob/3c74e5f8b3c921a2e7cda30f36117c295bf8c112/data_provider/data_factory.py" TargetMode="External"/><Relationship Id="rId22" Type="http://schemas.openxmlformats.org/officeDocument/2006/relationships/hyperlink" Target="https://github.com/HALF111/calibration_CDS/blob/3c74e5f8b3c921a2e7cda30f36117c295bf8c112/scripts/PatchTST/adaptation/etth1.sh" TargetMode="External"/><Relationship Id="rId23" Type="http://schemas.openxmlformats.org/officeDocument/2006/relationships/hyperlink" Target="https://github.com/HALF111/calibration_CDS/blob/3c74e5f8b3c921a2e7cda30f36117c295bf8c112/run_longExp.py" TargetMode="External"/><Relationship Id="rId24" Type="http://schemas.openxmlformats.org/officeDocument/2006/relationships/hyperlink" Target="https://github.com/HALF111/calibration_CDS/blob/3c74e5f8b3c921a2e7cda30f36117c295bf8c112/LICENSE" TargetMode="External"/><Relationship Id="rId25" Type="http://schemas.openxmlformats.org/officeDocument/2006/relationships/hyperlink" Target="https://github.com/HALF111/calibration_CDS/blob/3c74e5f8b3c921a2e7cda30f36117c295bf8c112/requirements.tx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Reconditionor・SOLID 论文精读与研究分析</dc:title>
  <dc:subject>中文精读／日本語研究報告／口頭説明</dc:subject>
  <dc:creator>研究整理</dc:creator>
  <cp:keywords>学習外入力データ, Reconditionor, SOLID, CDS, 時系列予測</cp:keywords>
  <dc:description>generated by python-docx</dc:description>
  <cp:lastModifiedBy/>
  <cp:revision>1</cp:revision>
  <dcterms:created xsi:type="dcterms:W3CDTF">2013-12-23T23:15:00Z</dcterms:created>
  <dcterms:modified xsi:type="dcterms:W3CDTF">2013-12-23T23:15:00Z</dcterms:modified>
  <cp:category/>
</cp:coreProperties>
</file>