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多变量时序异常检测综述精读与研究报告</w:t>
      </w:r>
    </w:p>
    <w:p>
      <w:pPr>
        <w:snapToGrid w:val="0"/>
      </w:pPr>
      <w:r>
        <w:t>P04　中文精读与日本語研究報告　2026年9月8日</w:t>
      </w:r>
    </w:p>
    <w:p>
      <w:pPr>
        <w:snapToGrid w:val="0"/>
      </w:pPr>
      <w:r>
        <w:t>A Survey of Deep Anomaly Detection in Multivariate Time Series: Taxonomy, Applications, and Directions</w:t>
      </w:r>
    </w:p>
    <w:p>
      <w:pPr>
        <w:snapToGrid w:val="0"/>
      </w:pPr>
      <w:r>
        <w:t>本篇最有用的成果是为后续文献比较建立框架：先辨别异常发生在单变量时间规律还是变量间关系，再区分预测、重构、对比学习，最后检查数据、阈值和在线可用性。与实习主题最接近的是变量关系异常，以及用正常输入序列训练独立检测器的方法。</w:t>
      </w:r>
    </w:p>
    <w:p>
      <w:pPr>
        <w:snapToGrid w:val="0"/>
      </w:pPr>
      <w:r>
        <w:t>这是一篇综述，不能从中得到一个统一的检测算法、训练集或性能排名。文中讨论46个模型条目，数据集表列出33个条目；具体方法的结果来自被引用研究，作者没有在统一条件下重新比较全部模型。[S1，第3至8节]</w:t>
      </w:r>
    </w:p>
    <w:p>
      <w:pPr>
        <w:snapToGrid w:val="0"/>
      </w:pPr>
      <w:r>
        <w:t>阅读顺序建议：先读中文第1至8节理解概念和算法，再用日文研究报告整理汇报，最后练习口头稿。方法目录与数据集目录用于选择下一篇精读对象。</w:t>
      </w:r>
    </w:p>
    <w:p>
      <w:pPr>
        <w:snapToGrid w:val="0"/>
      </w:pPr>
      <w:r>
        <w:t>证据标记：[S1]为本综述；[S2]以后为补充核对的原始来源。标为“说明例”“研究建议”的公式或方案用于理解和设计实验，不是本综述新增的算法或实验结果。表中“未统一规定”表示需要回到具体方法和数据版本，不能用一个数字代替。</w:t>
      </w:r>
    </w:p>
    <w:p>
      <w:pPr>
        <w:pStyle w:val="Heading1"/>
        <w:pageBreakBefore/>
        <w:snapToGrid w:val="0"/>
      </w:pPr>
      <w:r>
        <w:t>第一部分 中文精读</w:t>
      </w:r>
    </w:p>
    <w:p>
      <w:pPr>
        <w:pStyle w:val="Heading2"/>
        <w:snapToGrid w:val="0"/>
      </w:pPr>
      <w:r>
        <w:t>1 论文解决的问题和研究定位</w:t>
      </w:r>
    </w:p>
    <w:p>
      <w:pPr>
        <w:snapToGrid w:val="0"/>
      </w:pPr>
      <w:r>
        <w:t>多台传感器同时记录压力、流量、温度、阀门状态等，构成多变量时间序列。一个读数可能完全处于历史范围内，但出现在错误的时间、持续太久，或者与其他传感器不协调。因此，对每列分别设上下限会漏掉一部分异常。[S1，第1至2节]</w:t>
      </w:r>
    </w:p>
    <w:p>
      <w:pPr>
        <w:snapToGrid w:val="0"/>
      </w:pPr>
      <w:r>
        <w:t>作者面对的是方法数量多、术语和建模角度分散的问题：有的方法预测下一时刻，有的重建当前窗口，有的比较两种表示；网络又涉及CNN、RNN、GNN和Transformer。只按网络名字分类，难以看出检测依据。</w:t>
      </w:r>
    </w:p>
    <w:p>
      <w:pPr>
        <w:snapToGrid w:val="0"/>
      </w:pPr>
      <w:r>
        <w:t>核心问题可以概括为：异常有哪些形态，各种深度学习方法利用什么信息识别它们，哪些数据和应用可支持验证？作者的基本立场是，时间依赖、变量依赖以及多尺度信息有助于描述复杂系统正常规律。它是综述的组织依据，没有对应一条被统一实验证明的数学假设。</w:t>
      </w:r>
    </w:p>
    <w:p>
      <w:pPr>
        <w:snapToGrid w:val="0"/>
      </w:pPr>
      <w:r>
        <w:t>本文的贡献是异常类型、方法分类、应用与数据资源整理，以及未来方向。它没有证明“Transformer总是最好”，也没有证明某方法一定能识别用户定义的所有学習外输入。</w:t>
      </w:r>
    </w:p>
    <w:p>
      <w:pPr>
        <w:pStyle w:val="Heading3"/>
        <w:snapToGrid w:val="0"/>
      </w:pPr>
      <w:r>
        <w:t>三个检索条件如何标记</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条件</w:t>
            </w:r>
          </w:p>
        </w:tc>
        <w:tc>
          <w:tcPr>
            <w:tcW w:type="dxa" w:w="3500"/>
            <w:vAlign w:val="center"/>
            <w:shd w:fill="E8EEF5"/>
          </w:tcPr>
          <w:p>
            <w:pPr>
              <w:pStyle w:val="TableText"/>
              <w:keepNext/>
            </w:pPr>
            <w:r>
              <w:rPr>
                <w:b/>
                <w:color w:val="1F4D78"/>
              </w:rPr>
              <w:t>本篇的匹配情况</w:t>
            </w:r>
          </w:p>
        </w:tc>
        <w:tc>
          <w:tcPr>
            <w:tcW w:type="dxa" w:w="3810"/>
            <w:vAlign w:val="center"/>
            <w:shd w:fill="E8EEF5"/>
          </w:tcPr>
          <w:p>
            <w:pPr>
              <w:pStyle w:val="TableText"/>
              <w:keepNext/>
            </w:pPr>
            <w:r>
              <w:rPr>
                <w:b/>
                <w:color w:val="1F4D78"/>
              </w:rPr>
              <w:t>必须保留的说明</w:t>
            </w:r>
          </w:p>
        </w:tc>
      </w:tr>
      <w:tr>
        <w:trPr>
          <w:cantSplit/>
        </w:trPr>
        <w:tc>
          <w:tcPr>
            <w:tcW w:type="dxa" w:w="2050"/>
            <w:vAlign w:val="center"/>
          </w:tcPr>
          <w:p>
            <w:pPr>
              <w:pStyle w:val="TableText"/>
              <w:keepNext/>
            </w:pPr>
            <w:r>
              <w:t>Anomaly detection 或 OOD</w:t>
            </w:r>
          </w:p>
        </w:tc>
        <w:tc>
          <w:tcPr>
            <w:tcW w:type="dxa" w:w="3500"/>
            <w:vAlign w:val="center"/>
          </w:tcPr>
          <w:p>
            <w:pPr>
              <w:pStyle w:val="TableText"/>
              <w:keepNext/>
            </w:pPr>
            <w:r>
              <w:t>✓ 异常检测是核心主题</w:t>
            </w:r>
          </w:p>
        </w:tc>
        <w:tc>
          <w:tcPr>
            <w:tcW w:type="dxa" w:w="3810"/>
            <w:vAlign w:val="center"/>
          </w:tcPr>
          <w:p>
            <w:pPr>
              <w:pStyle w:val="TableText"/>
              <w:keepNext/>
            </w:pPr>
            <w:r>
              <w:t>异常相对正常行为定义，不等同所有形式的OOD</w:t>
            </w:r>
          </w:p>
        </w:tc>
      </w:tr>
      <w:tr>
        <w:trPr>
          <w:cantSplit/>
        </w:trPr>
        <w:tc>
          <w:tcPr>
            <w:tcW w:type="dxa" w:w="2050"/>
            <w:vAlign w:val="center"/>
          </w:tcPr>
          <w:p>
            <w:pPr>
              <w:pStyle w:val="TableText"/>
              <w:keepNext/>
            </w:pPr>
            <w:r>
              <w:t>多变量时间序列</w:t>
            </w:r>
          </w:p>
        </w:tc>
        <w:tc>
          <w:tcPr>
            <w:tcW w:type="dxa" w:w="3500"/>
            <w:vAlign w:val="center"/>
          </w:tcPr>
          <w:p>
            <w:pPr>
              <w:pStyle w:val="TableText"/>
              <w:keepNext/>
            </w:pPr>
            <w:r>
              <w:t>✓ 核心对象</w:t>
            </w:r>
          </w:p>
        </w:tc>
        <w:tc>
          <w:tcPr>
            <w:tcW w:type="dxa" w:w="3810"/>
            <w:vAlign w:val="center"/>
          </w:tcPr>
          <w:p>
            <w:pPr>
              <w:pStyle w:val="TableText"/>
              <w:keepNext/>
            </w:pPr>
            <w:r>
              <w:t>部分引用数据是表格或转换后的异常检测数据</w:t>
            </w:r>
          </w:p>
        </w:tc>
      </w:tr>
      <w:tr>
        <w:trPr>
          <w:cantSplit/>
        </w:trPr>
        <w:tc>
          <w:tcPr>
            <w:tcW w:type="dxa" w:w="2050"/>
            <w:vAlign w:val="center"/>
          </w:tcPr>
          <w:p>
            <w:pPr>
              <w:pStyle w:val="TableText"/>
            </w:pPr>
            <w:r>
              <w:t>多变量回归模型</w:t>
            </w:r>
          </w:p>
        </w:tc>
        <w:tc>
          <w:tcPr>
            <w:tcW w:type="dxa" w:w="3500"/>
            <w:vAlign w:val="center"/>
          </w:tcPr>
          <w:p>
            <w:pPr>
              <w:pStyle w:val="TableText"/>
            </w:pPr>
            <w:r>
              <w:t>△ 包含连续值预测方法</w:t>
            </w:r>
          </w:p>
        </w:tc>
        <w:tc>
          <w:tcPr>
            <w:tcW w:type="dxa" w:w="3810"/>
            <w:vAlign w:val="center"/>
          </w:tcPr>
          <w:p>
            <w:pPr>
              <w:pStyle w:val="TableText"/>
            </w:pPr>
            <w:r>
              <w:t>没有把一个既有业务回归模型作为全篇统一检测对象</w:t>
            </w:r>
          </w:p>
        </w:tc>
      </w:tr>
    </w:tbl>
    <w:p>
      <w:pPr>
        <w:spacing w:after="0"/>
        <w:snapToGrid w:val="0"/>
      </w:pPr>
    </w:p>
    <w:p>
      <w:pPr>
        <w:snapToGrid w:val="0"/>
      </w:pPr>
      <w:r>
        <w:t>预测式检测器可以同时预测多个连续变量，但“检测器本身做回归”和“判断既有末端压力回归模型的输入是否学習外”是两个不同问题。后者还要检查检测得分能否指示业务预测失效。</w:t>
      </w:r>
    </w:p>
    <w:p>
      <w:pPr>
        <w:pStyle w:val="Heading3"/>
        <w:snapToGrid w:val="0"/>
      </w:pPr>
      <w:r>
        <w:t>本节结论</w:t>
      </w:r>
    </w:p>
    <w:p>
      <w:pPr>
        <w:pStyle w:val="ReportBullet"/>
        <w:keepNext/>
        <w:numPr>
          <w:ilvl w:val="0"/>
          <w:numId w:val="51"/>
        </w:numPr>
        <w:snapToGrid w:val="0"/>
      </w:pPr>
      <w:r>
        <w:t>本篇是方法地图，适合用作总报告的分类依据。</w:t>
      </w:r>
    </w:p>
    <w:p>
      <w:pPr>
        <w:pStyle w:val="ReportBullet"/>
        <w:keepNext/>
        <w:numPr>
          <w:ilvl w:val="0"/>
          <w:numId w:val="51"/>
        </w:numPr>
        <w:snapToGrid w:val="0"/>
      </w:pPr>
      <w:r>
        <w:t>多变量数据不自动意味着算法利用了变量间相关性。</w:t>
      </w:r>
    </w:p>
    <w:p>
      <w:pPr>
        <w:pStyle w:val="ReportBullet"/>
        <w:numPr>
          <w:ilvl w:val="0"/>
          <w:numId w:val="51"/>
        </w:numPr>
        <w:snapToGrid w:val="0"/>
      </w:pPr>
      <w:r>
        <w:t>异常标签、分布外标签和业务模型误差超限标签应分开保存。</w:t>
      </w:r>
    </w:p>
    <w:p>
      <w:pPr>
        <w:pStyle w:val="Heading2"/>
        <w:snapToGrid w:val="0"/>
      </w:pPr>
      <w:r>
        <w:t>2 论文结构和各章作用</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原文结构</w:t>
            </w:r>
          </w:p>
        </w:tc>
        <w:tc>
          <w:tcPr>
            <w:tcW w:type="dxa" w:w="3500"/>
            <w:vAlign w:val="center"/>
            <w:shd w:fill="E8EEF5"/>
          </w:tcPr>
          <w:p>
            <w:pPr>
              <w:pStyle w:val="TableText"/>
            </w:pPr>
            <w:r>
              <w:rPr>
                <w:b/>
                <w:color w:val="1F4D78"/>
              </w:rPr>
              <w:t>主要内容</w:t>
            </w:r>
          </w:p>
        </w:tc>
        <w:tc>
          <w:tcPr>
            <w:tcW w:type="dxa" w:w="3810"/>
            <w:vAlign w:val="center"/>
            <w:shd w:fill="E8EEF5"/>
          </w:tcPr>
          <w:p>
            <w:pPr>
              <w:pStyle w:val="TableText"/>
            </w:pPr>
            <w:r>
              <w:rPr>
                <w:b/>
                <w:color w:val="1F4D78"/>
              </w:rPr>
              <w:t>在整体中的作用</w:t>
            </w:r>
          </w:p>
        </w:tc>
      </w:tr>
      <w:tr>
        <w:trPr>
          <w:cantSplit/>
        </w:trPr>
        <w:tc>
          <w:tcPr>
            <w:tcW w:type="dxa" w:w="2050"/>
            <w:vAlign w:val="center"/>
          </w:tcPr>
          <w:p>
            <w:pPr>
              <w:pStyle w:val="TableText"/>
            </w:pPr>
            <w:r>
              <w:t>1 Introduction 页1至2</w:t>
            </w:r>
          </w:p>
        </w:tc>
        <w:tc>
          <w:tcPr>
            <w:tcW w:type="dxa" w:w="3500"/>
            <w:vAlign w:val="center"/>
          </w:tcPr>
          <w:p>
            <w:pPr>
              <w:pStyle w:val="TableText"/>
            </w:pPr>
            <w:r>
              <w:t>背景、挑战、贡献</w:t>
            </w:r>
          </w:p>
        </w:tc>
        <w:tc>
          <w:tcPr>
            <w:tcW w:type="dxa" w:w="3810"/>
            <w:vAlign w:val="center"/>
          </w:tcPr>
          <w:p>
            <w:pPr>
              <w:pStyle w:val="TableText"/>
            </w:pPr>
            <w:r>
              <w:t>说明为什么需要综述</w:t>
            </w:r>
          </w:p>
        </w:tc>
      </w:tr>
      <w:tr>
        <w:trPr>
          <w:cantSplit/>
        </w:trPr>
        <w:tc>
          <w:tcPr>
            <w:tcW w:type="dxa" w:w="2050"/>
            <w:vAlign w:val="center"/>
          </w:tcPr>
          <w:p>
            <w:pPr>
              <w:pStyle w:val="TableText"/>
            </w:pPr>
            <w:r>
              <w:t>2 Background and Preliminary 页2至6</w:t>
            </w:r>
          </w:p>
        </w:tc>
        <w:tc>
          <w:tcPr>
            <w:tcW w:type="dxa" w:w="3500"/>
            <w:vAlign w:val="center"/>
          </w:tcPr>
          <w:p>
            <w:pPr>
              <w:pStyle w:val="TableText"/>
            </w:pPr>
            <w:r>
              <w:t>问题定义、异常类型、时间和频率</w:t>
            </w:r>
          </w:p>
        </w:tc>
        <w:tc>
          <w:tcPr>
            <w:tcW w:type="dxa" w:w="3810"/>
            <w:vAlign w:val="center"/>
          </w:tcPr>
          <w:p>
            <w:pPr>
              <w:pStyle w:val="TableText"/>
            </w:pPr>
            <w:r>
              <w:t>规定要检测什么</w:t>
            </w:r>
          </w:p>
        </w:tc>
      </w:tr>
      <w:tr>
        <w:trPr>
          <w:cantSplit/>
        </w:trPr>
        <w:tc>
          <w:tcPr>
            <w:tcW w:type="dxa" w:w="2050"/>
            <w:vAlign w:val="center"/>
          </w:tcPr>
          <w:p>
            <w:pPr>
              <w:pStyle w:val="TableText"/>
            </w:pPr>
            <w:r>
              <w:t>3 Taxonomy 页6至8</w:t>
            </w:r>
          </w:p>
        </w:tc>
        <w:tc>
          <w:tcPr>
            <w:tcW w:type="dxa" w:w="3500"/>
            <w:vAlign w:val="center"/>
          </w:tcPr>
          <w:p>
            <w:pPr>
              <w:pStyle w:val="TableText"/>
            </w:pPr>
            <w:r>
              <w:t>三大类及多个辅助维度</w:t>
            </w:r>
          </w:p>
        </w:tc>
        <w:tc>
          <w:tcPr>
            <w:tcW w:type="dxa" w:w="3810"/>
            <w:vAlign w:val="center"/>
          </w:tcPr>
          <w:p>
            <w:pPr>
              <w:pStyle w:val="TableText"/>
            </w:pPr>
            <w:r>
              <w:t>搭建方法比较框架</w:t>
            </w:r>
          </w:p>
        </w:tc>
      </w:tr>
      <w:tr>
        <w:trPr>
          <w:cantSplit/>
        </w:trPr>
        <w:tc>
          <w:tcPr>
            <w:tcW w:type="dxa" w:w="2050"/>
            <w:vAlign w:val="center"/>
          </w:tcPr>
          <w:p>
            <w:pPr>
              <w:pStyle w:val="TableText"/>
            </w:pPr>
            <w:r>
              <w:t>4 Forecasting 页8至10</w:t>
            </w:r>
          </w:p>
        </w:tc>
        <w:tc>
          <w:tcPr>
            <w:tcW w:type="dxa" w:w="3500"/>
            <w:vAlign w:val="center"/>
          </w:tcPr>
          <w:p>
            <w:pPr>
              <w:pStyle w:val="TableText"/>
            </w:pPr>
            <w:r>
              <w:t>CNN RNN GNN Transformer</w:t>
            </w:r>
          </w:p>
        </w:tc>
        <w:tc>
          <w:tcPr>
            <w:tcW w:type="dxa" w:w="3810"/>
            <w:vAlign w:val="center"/>
          </w:tcPr>
          <w:p>
            <w:pPr>
              <w:pStyle w:val="TableText"/>
            </w:pPr>
            <w:r>
              <w:t>根据预测误差识别偏离</w:t>
            </w:r>
          </w:p>
        </w:tc>
      </w:tr>
      <w:tr>
        <w:trPr>
          <w:cantSplit/>
        </w:trPr>
        <w:tc>
          <w:tcPr>
            <w:tcW w:type="dxa" w:w="2050"/>
            <w:vAlign w:val="center"/>
          </w:tcPr>
          <w:p>
            <w:pPr>
              <w:pStyle w:val="TableText"/>
            </w:pPr>
            <w:r>
              <w:t>5 Reconstruction 页11至13</w:t>
            </w:r>
          </w:p>
        </w:tc>
        <w:tc>
          <w:tcPr>
            <w:tcW w:type="dxa" w:w="3500"/>
            <w:vAlign w:val="center"/>
          </w:tcPr>
          <w:p>
            <w:pPr>
              <w:pStyle w:val="TableText"/>
            </w:pPr>
            <w:r>
              <w:t>AE VAE GAN Transformer Diffusion</w:t>
            </w:r>
          </w:p>
        </w:tc>
        <w:tc>
          <w:tcPr>
            <w:tcW w:type="dxa" w:w="3810"/>
            <w:vAlign w:val="center"/>
          </w:tcPr>
          <w:p>
            <w:pPr>
              <w:pStyle w:val="TableText"/>
            </w:pPr>
            <w:r>
              <w:t>根据恢复正常模式的困难识别异常</w:t>
            </w:r>
          </w:p>
        </w:tc>
      </w:tr>
      <w:tr>
        <w:trPr>
          <w:cantSplit/>
        </w:trPr>
        <w:tc>
          <w:tcPr>
            <w:tcW w:type="dxa" w:w="2050"/>
            <w:vAlign w:val="center"/>
          </w:tcPr>
          <w:p>
            <w:pPr>
              <w:pStyle w:val="TableText"/>
            </w:pPr>
            <w:r>
              <w:t>6 Contrastive 页13至15</w:t>
            </w:r>
          </w:p>
        </w:tc>
        <w:tc>
          <w:tcPr>
            <w:tcW w:type="dxa" w:w="3500"/>
            <w:vAlign w:val="center"/>
          </w:tcPr>
          <w:p>
            <w:pPr>
              <w:pStyle w:val="TableText"/>
            </w:pPr>
            <w:r>
              <w:t>LLM MLP Mixer Transformer</w:t>
            </w:r>
          </w:p>
        </w:tc>
        <w:tc>
          <w:tcPr>
            <w:tcW w:type="dxa" w:w="3810"/>
            <w:vAlign w:val="center"/>
          </w:tcPr>
          <w:p>
            <w:pPr>
              <w:pStyle w:val="TableText"/>
            </w:pPr>
            <w:r>
              <w:t>根据表示差异或一致性识别异常</w:t>
            </w:r>
          </w:p>
        </w:tc>
      </w:tr>
      <w:tr>
        <w:trPr>
          <w:cantSplit/>
        </w:trPr>
        <w:tc>
          <w:tcPr>
            <w:tcW w:type="dxa" w:w="2050"/>
            <w:vAlign w:val="center"/>
          </w:tcPr>
          <w:p>
            <w:pPr>
              <w:pStyle w:val="TableText"/>
            </w:pPr>
            <w:r>
              <w:t>7 Datasets 页15至20</w:t>
            </w:r>
          </w:p>
        </w:tc>
        <w:tc>
          <w:tcPr>
            <w:tcW w:type="dxa" w:w="3500"/>
            <w:vAlign w:val="center"/>
          </w:tcPr>
          <w:p>
            <w:pPr>
              <w:pStyle w:val="TableText"/>
            </w:pPr>
            <w:r>
              <w:t>33个数据条目与10个应用领域</w:t>
            </w:r>
          </w:p>
        </w:tc>
        <w:tc>
          <w:tcPr>
            <w:tcW w:type="dxa" w:w="3810"/>
            <w:vAlign w:val="center"/>
          </w:tcPr>
          <w:p>
            <w:pPr>
              <w:pStyle w:val="TableText"/>
            </w:pPr>
            <w:r>
              <w:t>提供验证和应用资源</w:t>
            </w:r>
          </w:p>
        </w:tc>
      </w:tr>
      <w:tr>
        <w:trPr>
          <w:cantSplit/>
        </w:trPr>
        <w:tc>
          <w:tcPr>
            <w:tcW w:type="dxa" w:w="2050"/>
            <w:vAlign w:val="center"/>
          </w:tcPr>
          <w:p>
            <w:pPr>
              <w:pStyle w:val="TableText"/>
            </w:pPr>
            <w:r>
              <w:t>8 Conclusions and Future Direction 页20至21</w:t>
            </w:r>
          </w:p>
        </w:tc>
        <w:tc>
          <w:tcPr>
            <w:tcW w:type="dxa" w:w="3500"/>
            <w:vAlign w:val="center"/>
          </w:tcPr>
          <w:p>
            <w:pPr>
              <w:pStyle w:val="TableText"/>
            </w:pPr>
            <w:r>
              <w:t>差异建模、领域知识、评价、LLM</w:t>
            </w:r>
          </w:p>
        </w:tc>
        <w:tc>
          <w:tcPr>
            <w:tcW w:type="dxa" w:w="3810"/>
            <w:vAlign w:val="center"/>
          </w:tcPr>
          <w:p>
            <w:pPr>
              <w:pStyle w:val="TableText"/>
            </w:pPr>
            <w:r>
              <w:t>指出尚未解决的问题</w:t>
            </w:r>
          </w:p>
        </w:tc>
      </w:tr>
    </w:tbl>
    <w:p>
      <w:pPr>
        <w:spacing w:after="0"/>
        <w:snapToGrid w:val="0"/>
      </w:pPr>
    </w:p>
    <w:p>
      <w:pPr>
        <w:snapToGrid w:val="0"/>
      </w:pPr>
      <w:r>
        <w:t>正文之后为参考文献，全文27页。没有单独的统一Experiment、Results章节。阅读时应把第4至6节的优缺点视为文献综合判断，而非控制变量实验的结论。</w:t>
      </w:r>
    </w:p>
    <w:p>
      <w:pPr>
        <w:pStyle w:val="Heading2"/>
        <w:snapToGrid w:val="0"/>
      </w:pPr>
      <w:r>
        <w:t>3 背景章节的关键概念和公式</w:t>
      </w:r>
    </w:p>
    <w:p>
      <w:pPr>
        <w:pStyle w:val="Heading3"/>
        <w:snapToGrid w:val="0"/>
      </w:pPr>
      <w:r>
        <w:t>这一节在讲什么以及为什么需要它</w:t>
      </w:r>
    </w:p>
    <w:p>
      <w:pPr>
        <w:snapToGrid w:val="0"/>
      </w:pPr>
      <w:r>
        <w:t>第2节先规定数据的形状，再把“异常”拆成时间上的异常和变量之间的异常。这样才能解释为什么单点阈值、窗口模型和关系模型会检测出不同对象。[S1，第2节]</w:t>
      </w:r>
    </w:p>
    <w:p>
      <w:pPr>
        <w:pStyle w:val="Heading3"/>
        <w:snapToGrid w:val="0"/>
      </w:pPr>
      <w:r>
        <w:t>多变量序列和输入窗口</w:t>
      </w:r>
    </w:p>
    <w:p>
      <w:pPr>
        <w:snapToGrid w:val="0"/>
      </w:pPr>
      <w:r>
        <w:t>用便于本研究的统一记号表示：x_t是时刻t的C维观测，X_t是最近L个时刻组成的矩阵。C是变量数，L是窗口长度，采样间隔为Δt。</w:t>
      </w:r>
    </w:p>
    <w:p>
      <w:pPr>
        <w:pStyle w:val="EquationText"/>
        <w:jc w:val="center"/>
        <w:snapToGrid w:val="0"/>
      </w:pPr>
      <w:r/>
      <m:oMath>
        <m:sSub>
          <m:e>
            <m:r>
              <m:t>x</m:t>
            </m:r>
          </m:e>
          <m:sub>
            <m:r>
              <m:t>t</m:t>
            </m:r>
          </m:sub>
        </m:sSub>
        <m:r>
          <m:t> </m:t>
        </m:r>
        <m:r>
          <m:t>∈</m:t>
        </m:r>
        <m:r>
          <m:t> </m:t>
        </m:r>
        <m:sSup>
          <m:e>
            <m:r>
              <m:t>ℝ</m:t>
            </m:r>
          </m:e>
          <m:sup>
            <m:r>
              <m:t>C</m:t>
            </m:r>
          </m:sup>
        </m:sSup>
        <m:r>
          <m:t> </m:t>
        </m:r>
        <m:r>
          <m:t>;</m:t>
        </m:r>
        <m:r>
          <m:t> </m:t>
        </m:r>
        <m:sSub>
          <m:e>
            <m:r>
              <m:t>X</m:t>
            </m:r>
          </m:e>
          <m:sub>
            <m:r>
              <m:t>t</m:t>
            </m:r>
          </m:sub>
        </m:sSub>
        <m:r>
          <m:t> </m:t>
        </m:r>
        <m:r>
          <m:t>=</m:t>
        </m:r>
        <m:r>
          <m:t> </m:t>
        </m:r>
        <m:r>
          <m:t>(</m:t>
        </m:r>
        <m:sSub>
          <m:e>
            <m:r>
              <m:t>x</m:t>
            </m:r>
          </m:e>
          <m:sub>
            <m:r>
              <m:t>t</m:t>
            </m:r>
            <m:r>
              <m:t>−</m:t>
            </m:r>
            <m:r>
              <m:t>L</m:t>
            </m:r>
            <m:r>
              <m:t>+</m:t>
            </m:r>
            <m:r>
              <m:t>1</m:t>
            </m:r>
          </m:sub>
        </m:sSub>
        <m:r>
          <m:t>,</m:t>
        </m:r>
        <m:r>
          <m:t> </m:t>
        </m:r>
        <m:r>
          <m:t>…</m:t>
        </m:r>
        <m:r>
          <m:t>,</m:t>
        </m:r>
        <m:r>
          <m:t> </m:t>
        </m:r>
        <m:sSub>
          <m:e>
            <m:r>
              <m:t>x</m:t>
            </m:r>
          </m:e>
          <m:sub>
            <m:r>
              <m:t>t</m:t>
            </m:r>
          </m:sub>
        </m:sSub>
        <m:r>
          <m:t>)</m:t>
        </m:r>
        <m:r>
          <m:t> </m:t>
        </m:r>
        <m:r>
          <m:t>∈</m:t>
        </m:r>
        <m:r>
          <m:t> </m:t>
        </m:r>
        <m:sSup>
          <m:e>
            <m:r>
              <m:t>ℝ</m:t>
            </m:r>
          </m:e>
          <m:sup>
            <m:r>
              <m:t>L</m:t>
            </m:r>
            <m:r>
              <m:t>×</m:t>
            </m:r>
            <m:r>
              <m:t>C</m:t>
            </m:r>
          </m:sup>
        </m:sSup>
      </m:oMath>
    </w:p>
    <w:p>
      <w:pPr>
        <w:snapToGrid w:val="0"/>
      </w:pPr>
      <w:r>
        <w:t>例如每分钟记录压力和流量，L=60时一次输入60×2个数。窗口覆盖的名义时长是60分钟，首尾时间戳差为59分钟。输入窗口和输出粒度是两条轴：输入60个时刻，也可以只输出最后一个时刻的异常分数。</w:t>
      </w:r>
    </w:p>
    <w:p>
      <w:pPr>
        <w:snapToGrid w:val="0"/>
      </w:pPr>
      <w:r>
        <w:t>原文用T表示序列长度，并给出每个时刻的分数S。这里改用L强调滑动窗口，避免把整个数据集长度与一次输入长度混为一谈。</w:t>
      </w:r>
    </w:p>
    <w:p>
      <w:pPr>
        <w:pStyle w:val="Heading3"/>
        <w:snapToGrid w:val="0"/>
      </w:pPr>
      <w:r>
        <w:t>异常类型与三类学習外的对应</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原文类别</w:t>
            </w:r>
          </w:p>
        </w:tc>
        <w:tc>
          <w:tcPr>
            <w:tcW w:type="dxa" w:w="3500"/>
            <w:vAlign w:val="center"/>
            <w:shd w:fill="E8EEF5"/>
          </w:tcPr>
          <w:p>
            <w:pPr>
              <w:pStyle w:val="TableText"/>
            </w:pPr>
            <w:r>
              <w:rPr>
                <w:b/>
                <w:color w:val="1F4D78"/>
              </w:rPr>
              <w:t>直观解释及常规分类</w:t>
            </w:r>
          </w:p>
        </w:tc>
        <w:tc>
          <w:tcPr>
            <w:tcW w:type="dxa" w:w="3810"/>
            <w:vAlign w:val="center"/>
            <w:shd w:fill="E8EEF5"/>
          </w:tcPr>
          <w:p>
            <w:pPr>
              <w:pStyle w:val="TableText"/>
            </w:pPr>
            <w:r>
              <w:rPr>
                <w:b/>
                <w:color w:val="1F4D78"/>
              </w:rPr>
              <w:t>与本研究的关系</w:t>
            </w:r>
          </w:p>
        </w:tc>
      </w:tr>
      <w:tr>
        <w:trPr>
          <w:cantSplit/>
        </w:trPr>
        <w:tc>
          <w:tcPr>
            <w:tcW w:type="dxa" w:w="2050"/>
            <w:vAlign w:val="center"/>
          </w:tcPr>
          <w:p>
            <w:pPr>
              <w:pStyle w:val="TableText"/>
            </w:pPr>
            <w:r>
              <w:t>Global pointwise</w:t>
            </w:r>
          </w:p>
        </w:tc>
        <w:tc>
          <w:tcPr>
            <w:tcW w:type="dxa" w:w="3500"/>
            <w:vAlign w:val="center"/>
          </w:tcPr>
          <w:p>
            <w:pPr>
              <w:pStyle w:val="TableText"/>
            </w:pPr>
            <w:r>
              <w:t>相对整体历史明显突出的点 通常是point anomaly</w:t>
            </w:r>
          </w:p>
        </w:tc>
        <w:tc>
          <w:tcPr>
            <w:tcW w:type="dxa" w:w="3810"/>
            <w:vAlign w:val="center"/>
          </w:tcPr>
          <w:p>
            <w:pPr>
              <w:pStyle w:val="TableText"/>
            </w:pPr>
            <w:r>
              <w:t>常对应①范围或分布偏离</w:t>
            </w:r>
          </w:p>
        </w:tc>
      </w:tr>
      <w:tr>
        <w:trPr>
          <w:cantSplit/>
        </w:trPr>
        <w:tc>
          <w:tcPr>
            <w:tcW w:type="dxa" w:w="2050"/>
            <w:vAlign w:val="center"/>
          </w:tcPr>
          <w:p>
            <w:pPr>
              <w:pStyle w:val="TableText"/>
            </w:pPr>
            <w:r>
              <w:t>Local pointwise</w:t>
            </w:r>
          </w:p>
        </w:tc>
        <w:tc>
          <w:tcPr>
            <w:tcW w:type="dxa" w:w="3500"/>
            <w:vAlign w:val="center"/>
          </w:tcPr>
          <w:p>
            <w:pPr>
              <w:pStyle w:val="TableText"/>
            </w:pPr>
            <w:r>
              <w:t>整体范围内但当前上下文不合理 通常是contextual anomaly</w:t>
            </w:r>
          </w:p>
        </w:tc>
        <w:tc>
          <w:tcPr>
            <w:tcW w:type="dxa" w:w="3810"/>
            <w:vAlign w:val="center"/>
          </w:tcPr>
          <w:p>
            <w:pPr>
              <w:pStyle w:val="TableText"/>
            </w:pPr>
            <w:r>
              <w:t>可能属于①条件分布偏离 不一定越界</w:t>
            </w:r>
          </w:p>
        </w:tc>
      </w:tr>
      <w:tr>
        <w:trPr>
          <w:cantSplit/>
        </w:trPr>
        <w:tc>
          <w:tcPr>
            <w:tcW w:type="dxa" w:w="2050"/>
            <w:vAlign w:val="center"/>
          </w:tcPr>
          <w:p>
            <w:pPr>
              <w:pStyle w:val="TableText"/>
            </w:pPr>
            <w:r>
              <w:t>Shapelet patternwise</w:t>
            </w:r>
          </w:p>
        </w:tc>
        <w:tc>
          <w:tcPr>
            <w:tcW w:type="dxa" w:w="3500"/>
            <w:vAlign w:val="center"/>
          </w:tcPr>
          <w:p>
            <w:pPr>
              <w:pStyle w:val="TableText"/>
            </w:pPr>
            <w:r>
              <w:t>某段形状不同 如波形变平或畸变 通常是collective</w:t>
            </w:r>
          </w:p>
        </w:tc>
        <w:tc>
          <w:tcPr>
            <w:tcW w:type="dxa" w:w="3810"/>
            <w:vAlign w:val="center"/>
          </w:tcPr>
          <w:p>
            <w:pPr>
              <w:pStyle w:val="TableText"/>
            </w:pPr>
            <w:r>
              <w:t>需把窗口当输入来定义①或③</w:t>
            </w:r>
          </w:p>
        </w:tc>
      </w:tr>
      <w:tr>
        <w:trPr>
          <w:cantSplit/>
        </w:trPr>
        <w:tc>
          <w:tcPr>
            <w:tcW w:type="dxa" w:w="2050"/>
            <w:vAlign w:val="center"/>
          </w:tcPr>
          <w:p>
            <w:pPr>
              <w:pStyle w:val="TableText"/>
            </w:pPr>
            <w:r>
              <w:t>Trend patternwise</w:t>
            </w:r>
          </w:p>
        </w:tc>
        <w:tc>
          <w:tcPr>
            <w:tcW w:type="dxa" w:w="3500"/>
            <w:vAlign w:val="center"/>
          </w:tcPr>
          <w:p>
            <w:pPr>
              <w:pStyle w:val="TableText"/>
            </w:pPr>
            <w:r>
              <w:t>趋势改变或持续漂移 通常是collective</w:t>
            </w:r>
          </w:p>
        </w:tc>
        <w:tc>
          <w:tcPr>
            <w:tcW w:type="dxa" w:w="3810"/>
            <w:vAlign w:val="center"/>
          </w:tcPr>
          <w:p>
            <w:pPr>
              <w:pStyle w:val="TableText"/>
            </w:pPr>
            <w:r>
              <w:t>可能分布变化 也可能正常工况切换</w:t>
            </w:r>
          </w:p>
        </w:tc>
      </w:tr>
      <w:tr>
        <w:trPr>
          <w:cantSplit/>
        </w:trPr>
        <w:tc>
          <w:tcPr>
            <w:tcW w:type="dxa" w:w="2050"/>
            <w:vAlign w:val="center"/>
          </w:tcPr>
          <w:p>
            <w:pPr>
              <w:pStyle w:val="TableText"/>
            </w:pPr>
            <w:r>
              <w:t>Seasonal patternwise</w:t>
            </w:r>
          </w:p>
        </w:tc>
        <w:tc>
          <w:tcPr>
            <w:tcW w:type="dxa" w:w="3500"/>
            <w:vAlign w:val="center"/>
          </w:tcPr>
          <w:p>
            <w:pPr>
              <w:pStyle w:val="TableText"/>
            </w:pPr>
            <w:r>
              <w:t>周期或周期强度改变 通常是contextual或collective</w:t>
            </w:r>
          </w:p>
        </w:tc>
        <w:tc>
          <w:tcPr>
            <w:tcW w:type="dxa" w:w="3810"/>
            <w:vAlign w:val="center"/>
          </w:tcPr>
          <w:p>
            <w:pPr>
              <w:pStyle w:val="TableText"/>
            </w:pPr>
            <w:r>
              <w:t>频率变化不必导致单列范围越界</w:t>
            </w:r>
          </w:p>
        </w:tc>
      </w:tr>
      <w:tr>
        <w:trPr>
          <w:cantSplit/>
        </w:trPr>
        <w:tc>
          <w:tcPr>
            <w:tcW w:type="dxa" w:w="2050"/>
            <w:vAlign w:val="center"/>
          </w:tcPr>
          <w:p>
            <w:pPr>
              <w:pStyle w:val="TableText"/>
            </w:pPr>
            <w:r>
              <w:t>Global 或 local intermetric</w:t>
            </w:r>
          </w:p>
        </w:tc>
        <w:tc>
          <w:tcPr>
            <w:tcW w:type="dxa" w:w="3500"/>
            <w:vAlign w:val="center"/>
          </w:tcPr>
          <w:p>
            <w:pPr>
              <w:pStyle w:val="TableText"/>
            </w:pPr>
            <w:r>
              <w:t>整段或局部的变量依赖发生改变</w:t>
            </w:r>
          </w:p>
        </w:tc>
        <w:tc>
          <w:tcPr>
            <w:tcW w:type="dxa" w:w="3810"/>
            <w:vAlign w:val="center"/>
          </w:tcPr>
          <w:p>
            <w:pPr>
              <w:pStyle w:val="TableText"/>
            </w:pPr>
            <w:r>
              <w:t>与③最直接相关</w:t>
            </w:r>
          </w:p>
        </w:tc>
      </w:tr>
      <w:tr>
        <w:trPr>
          <w:cantSplit/>
        </w:trPr>
        <w:tc>
          <w:tcPr>
            <w:tcW w:type="dxa" w:w="2050"/>
            <w:vAlign w:val="center"/>
          </w:tcPr>
          <w:p>
            <w:pPr>
              <w:pStyle w:val="TableText"/>
            </w:pPr>
            <w:r>
              <w:t>Temporal local intermetric</w:t>
            </w:r>
          </w:p>
        </w:tc>
        <w:tc>
          <w:tcPr>
            <w:tcW w:type="dxa" w:w="3500"/>
            <w:vAlign w:val="center"/>
          </w:tcPr>
          <w:p>
            <w:pPr>
              <w:pStyle w:val="TableText"/>
            </w:pPr>
            <w:r>
              <w:t>时间规律和变量关系同时改变</w:t>
            </w:r>
          </w:p>
        </w:tc>
        <w:tc>
          <w:tcPr>
            <w:tcW w:type="dxa" w:w="3810"/>
            <w:vAlign w:val="center"/>
          </w:tcPr>
          <w:p>
            <w:pPr>
              <w:pStyle w:val="TableText"/>
            </w:pPr>
            <w:r>
              <w:t>可能同时落入①与③</w:t>
            </w:r>
          </w:p>
        </w:tc>
      </w:tr>
    </w:tbl>
    <w:p>
      <w:pPr>
        <w:spacing w:after="0"/>
        <w:snapToGrid w:val="0"/>
      </w:pPr>
    </w:p>
    <w:p>
      <w:pPr>
        <w:snapToGrid w:val="0"/>
      </w:pPr>
      <w:r>
        <w:t>②低密度、学习不足没有被列为一个独立异常形态。稀少工况可能正常；检测器对该工况的重构误差也可能很小。不能把“稀有”直接替换成“异常”或“模型不可靠”。用户①若包含整个联合分布，那么③是①的一种具体形式；为了实验归因，可以单列③，但不要声称它们数学上互斥。</w:t>
      </w:r>
    </w:p>
    <w:p>
      <w:pPr>
        <w:pStyle w:val="Heading3"/>
        <w:snapToGrid w:val="0"/>
      </w:pPr>
      <w:r>
        <w:t>单点阈值公式的理解</w:t>
      </w:r>
    </w:p>
    <w:p>
      <w:pPr>
        <w:snapToGrid w:val="0"/>
      </w:pPr>
      <w:r>
        <w:t>原文式4的核心形式是偏差超过阈值δ；式5让阈值依赖局部窗口。[S1，式4至5]</w:t>
      </w:r>
    </w:p>
    <w:p>
      <w:pPr>
        <w:pStyle w:val="EquationText"/>
        <w:jc w:val="center"/>
        <w:snapToGrid w:val="0"/>
      </w:pPr>
      <w:r/>
      <m:oMath>
        <m:r>
          <m:t>|</m:t>
        </m:r>
        <m:sSub>
          <m:e>
            <m:r>
              <m:t>x</m:t>
            </m:r>
          </m:e>
          <m:sub>
            <m:r>
              <m:t>t</m:t>
            </m:r>
          </m:sub>
        </m:sSub>
        <m:r>
          <m:t> </m:t>
        </m:r>
        <m:r>
          <m:t>−</m:t>
        </m:r>
        <m:r>
          <m:t> </m:t>
        </m:r>
        <m:sSub>
          <m:e>
            <m:acc>
              <m:accPr>
                <m:chr m:val="̂"/>
              </m:accPr>
              <m:e>
                <m:r>
                  <m:t>x</m:t>
                </m:r>
              </m:e>
            </m:acc>
          </m:e>
          <m:sub>
            <m:r>
              <m:t>t</m:t>
            </m:r>
          </m:sub>
        </m:sSub>
        <m:r>
          <m:t>|</m:t>
        </m:r>
        <m:r>
          <m:t> </m:t>
        </m:r>
        <m:r>
          <m:t>&gt;</m:t>
        </m:r>
        <m:r>
          <m:t> </m:t>
        </m:r>
        <m:r>
          <m:t>δ</m:t>
        </m:r>
      </m:oMath>
    </w:p>
    <w:p>
      <w:pPr>
        <w:snapToGrid w:val="0"/>
      </w:pPr>
      <w:r>
        <w:t>x_t在本报告解释为当前实际观测，x̂_t为预期或参考值。它表达“偏离正常预期”，并没有唯一指定如何得到预期值和阈值。</w:t>
      </w:r>
    </w:p>
    <w:p>
      <w:pPr>
        <w:snapToGrid w:val="0"/>
      </w:pPr>
      <w:r>
        <w:t>原文用方差函数构造δ，数值偏差和方差的单位不相同，因此实际实现时必须说明缩放系数的单位，或使用标准差进行同量纲标准化。原文局部窗口含t之后的数据，不能直接用作严格实时检测。</w:t>
      </w:r>
    </w:p>
    <w:p>
      <w:pPr>
        <w:snapToGrid w:val="0"/>
      </w:pPr>
      <w:r>
        <w:t>说明例：正常压力均值50、标准差2，观测56，则标准化偏差为3。使用2.5阈值会报警，使用3.5不会。局部正常均值若已经升到55，同一个56可能不异常。这个例子说明上下文决定正常性，不是本文的实验结果。</w:t>
      </w:r>
    </w:p>
    <w:p>
      <w:pPr>
        <w:pStyle w:val="Heading3"/>
        <w:snapToGrid w:val="0"/>
      </w:pPr>
      <w:r>
        <w:t>变量关系异常的二维例子</w:t>
      </w:r>
    </w:p>
    <w:p>
      <w:pPr>
        <w:snapToGrid w:val="0"/>
      </w:pPr>
      <w:r>
        <w:t>正常样本为(1,1)、(2,2)、(3,3)，两列范围都为[1,3]。新样本(1,3)的每列都在范围内，但偏离正常关系x₂=x₁。到该直线的正交距离为：</w:t>
      </w:r>
    </w:p>
    <w:p>
      <w:pPr>
        <w:pStyle w:val="EquationText"/>
        <w:jc w:val="center"/>
        <w:snapToGrid w:val="0"/>
      </w:pPr>
      <w:r/>
      <m:oMath>
        <m:r>
          <m:t>d</m:t>
        </m:r>
        <m:r>
          <m:t> </m:t>
        </m:r>
        <m:r>
          <m:t>=</m:t>
        </m:r>
        <m:r>
          <m:t> </m:t>
        </m:r>
        <m:r>
          <m:t>|</m:t>
        </m:r>
        <m:r>
          <m:t>x</m:t>
        </m:r>
        <m:r>
          <m:t>₂</m:t>
        </m:r>
        <m:r>
          <m:t> </m:t>
        </m:r>
        <m:r>
          <m:t>−</m:t>
        </m:r>
        <m:r>
          <m:t> </m:t>
        </m:r>
        <m:r>
          <m:t>x</m:t>
        </m:r>
        <m:r>
          <m:t>₁</m:t>
        </m:r>
        <m:r>
          <m:t>|</m:t>
        </m:r>
        <m:r>
          <m:t> </m:t>
        </m:r>
        <m:r>
          <m:t>/</m:t>
        </m:r>
        <m:r>
          <m:t> </m:t>
        </m:r>
        <m:r>
          <m:t>√</m:t>
        </m:r>
        <m:r>
          <m:t>2</m:t>
        </m:r>
        <m:r>
          <m:t> </m:t>
        </m:r>
        <m:r>
          <m:t>=</m:t>
        </m:r>
        <m:r>
          <m:t> </m:t>
        </m:r>
        <m:r>
          <m:t>2</m:t>
        </m:r>
        <m:r>
          <m:t> </m:t>
        </m:r>
        <m:r>
          <m:t>/</m:t>
        </m:r>
        <m:r>
          <m:t> </m:t>
        </m:r>
        <m:r>
          <m:t>√</m:t>
        </m:r>
        <m:r>
          <m:t>2</m:t>
        </m:r>
        <m:r>
          <m:t> </m:t>
        </m:r>
        <m:r>
          <m:t>≈</m:t>
        </m:r>
        <m:r>
          <m:t> </m:t>
        </m:r>
        <m:r>
          <m:t>1</m:t>
        </m:r>
        <m:r>
          <m:t>.</m:t>
        </m:r>
        <m:r>
          <m:t>4</m:t>
        </m:r>
        <m:r>
          <m:t>1</m:t>
        </m:r>
        <m:r>
          <m:t>4</m:t>
        </m:r>
      </m:oMath>
    </w:p>
    <w:p>
      <w:pPr>
        <w:snapToGrid w:val="0"/>
      </w:pPr>
      <w:r>
        <w:t>这是③的简化例。独立上下限检测距离为零的意义只是没有越界；联合几何或关系模型则可能识别异常。真实系统关系可以是非线性、滞后或受阀门状态影响，不能只看同一时刻的Pearson相关系数。</w:t>
      </w:r>
    </w:p>
    <w:p>
      <w:pPr>
        <w:snapToGrid w:val="0"/>
      </w:pPr>
      <w:r>
        <w:t>原文式9至10用相关性差异表达跨变量异常，没有给出一个通用且完整可实现的相关距离和阈值算法。因此这里的距离例是辅助理解，不是作者指定的方法。</w:t>
      </w:r>
    </w:p>
    <w:p>
      <w:pPr>
        <w:pStyle w:val="Heading3"/>
        <w:snapToGrid w:val="0"/>
      </w:pPr>
      <w:r>
        <w:t>时间域和频率域</w:t>
      </w:r>
    </w:p>
    <w:p>
      <w:pPr>
        <w:snapToGrid w:val="0"/>
      </w:pPr>
      <w:r>
        <w:t>时间域回答“什么时候变化、怎么变化”；频率域回答“主要有哪些周期成分”。原文式11是离散傅里叶变换：</w:t>
      </w:r>
    </w:p>
    <w:p>
      <w:pPr>
        <w:pStyle w:val="EquationText"/>
        <w:jc w:val="center"/>
        <w:snapToGrid w:val="0"/>
      </w:pPr>
      <w:r/>
      <m:oMath>
        <m:sSub>
          <m:e>
            <m:r>
              <m:t>X</m:t>
            </m:r>
          </m:e>
          <m:sub>
            <m:r>
              <m:t>k</m:t>
            </m:r>
          </m:sub>
        </m:sSub>
        <m:r>
          <m:t> </m:t>
        </m:r>
        <m:r>
          <m:t>=</m:t>
        </m:r>
        <m:r>
          <m:t> </m:t>
        </m:r>
        <m:sSup>
          <m:e>
            <m:sSub>
              <m:e>
                <m:r>
                  <m:t>Σ</m:t>
                </m:r>
              </m:e>
              <m:sub>
                <m:r>
                  <m:t>t</m:t>
                </m:r>
                <m:r>
                  <m:t>=</m:t>
                </m:r>
                <m:r>
                  <m:t>0</m:t>
                </m:r>
              </m:sub>
            </m:sSub>
          </m:e>
          <m:sup>
            <m:r>
              <m:t>T</m:t>
            </m:r>
            <m:r>
              <m:t>−</m:t>
            </m:r>
            <m:r>
              <m:t>1</m:t>
            </m:r>
          </m:sup>
        </m:sSup>
        <m:r>
          <m:t> </m:t>
        </m:r>
        <m:sSub>
          <m:e>
            <m:r>
              <m:t>x</m:t>
            </m:r>
          </m:e>
          <m:sub>
            <m:r>
              <m:t>t</m:t>
            </m:r>
          </m:sub>
        </m:sSub>
        <m:r>
          <m:t> </m:t>
        </m:r>
        <m:r>
          <m:t>e</m:t>
        </m:r>
        <m:r>
          <m:t>x</m:t>
        </m:r>
        <m:r>
          <m:t>p</m:t>
        </m:r>
        <m:r>
          <m:t>(</m:t>
        </m:r>
        <m:r>
          <m:t>−</m:t>
        </m:r>
        <m:r>
          <m:t>i</m:t>
        </m:r>
        <m:r>
          <m:t> </m:t>
        </m:r>
        <m:r>
          <m:t>2</m:t>
        </m:r>
        <m:r>
          <m:t>π</m:t>
        </m:r>
        <m:r>
          <m:t>k</m:t>
        </m:r>
        <m:r>
          <m:t>t</m:t>
        </m:r>
        <m:r>
          <m:t>/</m:t>
        </m:r>
        <m:r>
          <m:t>T</m:t>
        </m:r>
        <m:r>
          <m:t>)</m:t>
        </m:r>
      </m:oMath>
    </w:p>
    <w:p>
      <w:pPr>
        <w:snapToGrid w:val="0"/>
      </w:pPr>
      <w:r>
        <w:t>x_t是输入序列，T是点数，k是频率索引，i是虚数单位；X_k包含幅值和相位。频率为k/(TΔt)，对应周期为TΔt/k，k非零。应找具有显著幅值的频率，不能把“最高频率”直接当作主周期。</w:t>
      </w:r>
    </w:p>
    <w:p>
      <w:pPr>
        <w:snapToGrid w:val="0"/>
      </w:pPr>
      <w:r>
        <w:t>说明例：两列分别为[1,0,−1,0]和[0,1,0,−1]，周期相同但相位不同。如果正常要求同相，这种关系变化仅比较幅度谱可能漏检。这与③有关。整窗傅里叶变换也会损失异常发生时间的直接定位，因而Dual-TF等引入局部窗口和分数对齐。</w:t>
      </w:r>
    </w:p>
    <w:p>
      <w:pPr>
        <w:pStyle w:val="Heading3"/>
        <w:snapToGrid w:val="0"/>
      </w:pPr>
      <w:r>
        <w:t>本节结论</w:t>
      </w:r>
    </w:p>
    <w:p>
      <w:pPr>
        <w:pStyle w:val="ReportBullet"/>
        <w:keepNext/>
        <w:numPr>
          <w:ilvl w:val="0"/>
          <w:numId w:val="51"/>
        </w:numPr>
        <w:snapToGrid w:val="0"/>
      </w:pPr>
      <w:r>
        <w:t>时间异常、关系异常和稀疏区域不是同一条分类轴。</w:t>
      </w:r>
    </w:p>
    <w:p>
      <w:pPr>
        <w:pStyle w:val="ReportBullet"/>
        <w:keepNext/>
        <w:numPr>
          <w:ilvl w:val="0"/>
          <w:numId w:val="51"/>
        </w:numPr>
        <w:snapToGrid w:val="0"/>
      </w:pPr>
      <w:r>
        <w:t>每时刻分数不代表模型只输入一个时刻。</w:t>
      </w:r>
    </w:p>
    <w:p>
      <w:pPr>
        <w:pStyle w:val="ReportBullet"/>
        <w:numPr>
          <w:ilvl w:val="0"/>
          <w:numId w:val="51"/>
        </w:numPr>
        <w:snapToGrid w:val="0"/>
      </w:pPr>
      <w:r>
        <w:t>在线应用必须检查窗口是否使用未来信息。</w:t>
      </w:r>
    </w:p>
    <w:p>
      <w:pPr>
        <w:pStyle w:val="Heading2"/>
        <w:snapToGrid w:val="0"/>
      </w:pPr>
      <w:r>
        <w:t>4 分类章节如何用于总报告</w:t>
      </w:r>
    </w:p>
    <w:p>
      <w:pPr>
        <w:snapToGrid w:val="0"/>
      </w:pPr>
      <w:r>
        <w:t>第3节以预测、重构、对比学习为主要分类，另按网络、监督信息、时间或变量依赖、时间或频率域、点或窗口输入标记。其作用是从“网络名”推进到“异常证据是什么”。[S1，第3节及表1]</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分类轴</w:t>
            </w:r>
          </w:p>
        </w:tc>
        <w:tc>
          <w:tcPr>
            <w:tcW w:type="dxa" w:w="3500"/>
            <w:vAlign w:val="center"/>
            <w:shd w:fill="E8EEF5"/>
          </w:tcPr>
          <w:p>
            <w:pPr>
              <w:pStyle w:val="TableText"/>
            </w:pPr>
            <w:r>
              <w:rPr>
                <w:b/>
                <w:color w:val="1F4D78"/>
              </w:rPr>
              <w:t>建议统一标签</w:t>
            </w:r>
          </w:p>
        </w:tc>
        <w:tc>
          <w:tcPr>
            <w:tcW w:type="dxa" w:w="3810"/>
            <w:vAlign w:val="center"/>
            <w:shd w:fill="E8EEF5"/>
          </w:tcPr>
          <w:p>
            <w:pPr>
              <w:pStyle w:val="TableText"/>
            </w:pPr>
            <w:r>
              <w:rPr>
                <w:b/>
                <w:color w:val="1F4D78"/>
              </w:rPr>
              <w:t>为什么单独保存</w:t>
            </w:r>
          </w:p>
        </w:tc>
      </w:tr>
      <w:tr>
        <w:trPr>
          <w:cantSplit/>
        </w:trPr>
        <w:tc>
          <w:tcPr>
            <w:tcW w:type="dxa" w:w="2050"/>
            <w:vAlign w:val="center"/>
          </w:tcPr>
          <w:p>
            <w:pPr>
              <w:pStyle w:val="TableText"/>
            </w:pPr>
            <w:r>
              <w:t>检测依据</w:t>
            </w:r>
          </w:p>
        </w:tc>
        <w:tc>
          <w:tcPr>
            <w:tcW w:type="dxa" w:w="3500"/>
            <w:vAlign w:val="center"/>
          </w:tcPr>
          <w:p>
            <w:pPr>
              <w:pStyle w:val="TableText"/>
            </w:pPr>
            <w:r>
              <w:t>范围 距离 密度 预测误差 重构误差 表示差异 不确定性</w:t>
            </w:r>
          </w:p>
        </w:tc>
        <w:tc>
          <w:tcPr>
            <w:tcW w:type="dxa" w:w="3810"/>
            <w:vAlign w:val="center"/>
          </w:tcPr>
          <w:p>
            <w:pPr>
              <w:pStyle w:val="TableText"/>
            </w:pPr>
            <w:r>
              <w:t>同一网络可以产生不同异常分数</w:t>
            </w:r>
          </w:p>
        </w:tc>
      </w:tr>
      <w:tr>
        <w:trPr>
          <w:cantSplit/>
        </w:trPr>
        <w:tc>
          <w:tcPr>
            <w:tcW w:type="dxa" w:w="2050"/>
            <w:vAlign w:val="center"/>
          </w:tcPr>
          <w:p>
            <w:pPr>
              <w:pStyle w:val="TableText"/>
            </w:pPr>
            <w:r>
              <w:t>数据结构</w:t>
            </w:r>
          </w:p>
        </w:tc>
        <w:tc>
          <w:tcPr>
            <w:tcW w:type="dxa" w:w="3500"/>
            <w:vAlign w:val="center"/>
          </w:tcPr>
          <w:p>
            <w:pPr>
              <w:pStyle w:val="TableText"/>
            </w:pPr>
            <w:r>
              <w:t>单时刻向量 时间窗口 关系矩阵 动态图</w:t>
            </w:r>
          </w:p>
        </w:tc>
        <w:tc>
          <w:tcPr>
            <w:tcW w:type="dxa" w:w="3810"/>
            <w:vAlign w:val="center"/>
          </w:tcPr>
          <w:p>
            <w:pPr>
              <w:pStyle w:val="TableText"/>
            </w:pPr>
            <w:r>
              <w:t>决定是否满足社内输入条件</w:t>
            </w:r>
          </w:p>
        </w:tc>
      </w:tr>
      <w:tr>
        <w:trPr>
          <w:cantSplit/>
        </w:trPr>
        <w:tc>
          <w:tcPr>
            <w:tcW w:type="dxa" w:w="2050"/>
            <w:vAlign w:val="center"/>
          </w:tcPr>
          <w:p>
            <w:pPr>
              <w:pStyle w:val="TableText"/>
            </w:pPr>
            <w:r>
              <w:t>利用的依赖</w:t>
            </w:r>
          </w:p>
        </w:tc>
        <w:tc>
          <w:tcPr>
            <w:tcW w:type="dxa" w:w="3500"/>
            <w:vAlign w:val="center"/>
          </w:tcPr>
          <w:p>
            <w:pPr>
              <w:pStyle w:val="TableText"/>
            </w:pPr>
            <w:r>
              <w:t>时间 变量 同时利用</w:t>
            </w:r>
          </w:p>
        </w:tc>
        <w:tc>
          <w:tcPr>
            <w:tcW w:type="dxa" w:w="3810"/>
            <w:vAlign w:val="center"/>
          </w:tcPr>
          <w:p>
            <w:pPr>
              <w:pStyle w:val="TableText"/>
            </w:pPr>
            <w:r>
              <w:t>多变量输入不保证联合建模</w:t>
            </w:r>
          </w:p>
        </w:tc>
      </w:tr>
      <w:tr>
        <w:trPr>
          <w:cantSplit/>
        </w:trPr>
        <w:tc>
          <w:tcPr>
            <w:tcW w:type="dxa" w:w="2050"/>
            <w:vAlign w:val="center"/>
          </w:tcPr>
          <w:p>
            <w:pPr>
              <w:pStyle w:val="TableText"/>
            </w:pPr>
            <w:r>
              <w:t>监督信息</w:t>
            </w:r>
          </w:p>
        </w:tc>
        <w:tc>
          <w:tcPr>
            <w:tcW w:type="dxa" w:w="3500"/>
            <w:vAlign w:val="center"/>
          </w:tcPr>
          <w:p>
            <w:pPr>
              <w:pStyle w:val="TableText"/>
            </w:pPr>
            <w:r>
              <w:t>正常专用 无标签混合 少量异常标签 完整标签 自监督任务</w:t>
            </w:r>
          </w:p>
        </w:tc>
        <w:tc>
          <w:tcPr>
            <w:tcW w:type="dxa" w:w="3810"/>
            <w:vAlign w:val="center"/>
          </w:tcPr>
          <w:p>
            <w:pPr>
              <w:pStyle w:val="TableText"/>
            </w:pPr>
            <w:r>
              <w:t>自监督和无监督可以同时成立</w:t>
            </w:r>
          </w:p>
        </w:tc>
      </w:tr>
      <w:tr>
        <w:trPr>
          <w:cantSplit/>
        </w:trPr>
        <w:tc>
          <w:tcPr>
            <w:tcW w:type="dxa" w:w="2050"/>
            <w:vAlign w:val="center"/>
          </w:tcPr>
          <w:p>
            <w:pPr>
              <w:pStyle w:val="TableText"/>
            </w:pPr>
            <w:r>
              <w:t>对象模型依赖</w:t>
            </w:r>
          </w:p>
        </w:tc>
        <w:tc>
          <w:tcPr>
            <w:tcW w:type="dxa" w:w="3500"/>
            <w:vAlign w:val="center"/>
          </w:tcPr>
          <w:p>
            <w:pPr>
              <w:pStyle w:val="TableText"/>
            </w:pPr>
            <w:r>
              <w:t>输入独立 对象模型输出 对象模型内部 真实业务输出</w:t>
            </w:r>
          </w:p>
        </w:tc>
        <w:tc>
          <w:tcPr>
            <w:tcW w:type="dxa" w:w="3810"/>
            <w:vAlign w:val="center"/>
          </w:tcPr>
          <w:p>
            <w:pPr>
              <w:pStyle w:val="TableText"/>
            </w:pPr>
            <w:r>
              <w:t>决定能否不改现有回归系统直接接入</w:t>
            </w:r>
          </w:p>
        </w:tc>
      </w:tr>
      <w:tr>
        <w:trPr>
          <w:cantSplit/>
        </w:trPr>
        <w:tc>
          <w:tcPr>
            <w:tcW w:type="dxa" w:w="2050"/>
            <w:vAlign w:val="center"/>
          </w:tcPr>
          <w:p>
            <w:pPr>
              <w:pStyle w:val="TableText"/>
            </w:pPr>
            <w:r>
              <w:t>检测粒度</w:t>
            </w:r>
          </w:p>
        </w:tc>
        <w:tc>
          <w:tcPr>
            <w:tcW w:type="dxa" w:w="3500"/>
            <w:vAlign w:val="center"/>
          </w:tcPr>
          <w:p>
            <w:pPr>
              <w:pStyle w:val="TableText"/>
            </w:pPr>
            <w:r>
              <w:t>时刻 窗口 事件 数据批次</w:t>
            </w:r>
          </w:p>
        </w:tc>
        <w:tc>
          <w:tcPr>
            <w:tcW w:type="dxa" w:w="3810"/>
            <w:vAlign w:val="center"/>
          </w:tcPr>
          <w:p>
            <w:pPr>
              <w:pStyle w:val="TableText"/>
            </w:pPr>
            <w:r>
              <w:t>决定报告中的检测率分母</w:t>
            </w:r>
          </w:p>
        </w:tc>
      </w:tr>
      <w:tr>
        <w:trPr>
          <w:cantSplit/>
        </w:trPr>
        <w:tc>
          <w:tcPr>
            <w:tcW w:type="dxa" w:w="2050"/>
            <w:vAlign w:val="center"/>
          </w:tcPr>
          <w:p>
            <w:pPr>
              <w:pStyle w:val="TableText"/>
            </w:pPr>
            <w:r>
              <w:t>运行方式</w:t>
            </w:r>
          </w:p>
        </w:tc>
        <w:tc>
          <w:tcPr>
            <w:tcW w:type="dxa" w:w="3500"/>
            <w:vAlign w:val="center"/>
          </w:tcPr>
          <w:p>
            <w:pPr>
              <w:pStyle w:val="TableText"/>
            </w:pPr>
            <w:r>
              <w:t>离线 因果在线 滑窗延迟 在线更新</w:t>
            </w:r>
          </w:p>
        </w:tc>
        <w:tc>
          <w:tcPr>
            <w:tcW w:type="dxa" w:w="3810"/>
            <w:vAlign w:val="center"/>
          </w:tcPr>
          <w:p>
            <w:pPr>
              <w:pStyle w:val="TableText"/>
            </w:pPr>
            <w:r>
              <w:t>决定可否用于实时控制</w:t>
            </w:r>
          </w:p>
        </w:tc>
      </w:tr>
    </w:tbl>
    <w:p>
      <w:pPr>
        <w:spacing w:after="0"/>
        <w:snapToGrid w:val="0"/>
      </w:pPr>
    </w:p>
    <w:p>
      <w:pPr>
        <w:snapToGrid w:val="0"/>
      </w:pPr>
      <w:r>
        <w:t>本文监督学习术语需要谨慎：第3节把无监督训练描述为没有异常标签且仅正常数据，但一般“无标签”不能保证正常。其表1对监督类型的标签不应替代原论文的训练数据检查。</w:t>
      </w:r>
    </w:p>
    <w:p>
      <w:pPr>
        <w:snapToGrid w:val="0"/>
      </w:pPr>
      <w:r>
        <w:t>同理，表1把MSCRED标为时间依赖T，但正文和MSCRED原文明确包含传感器间关系矩阵。因此不应根据一个T标签断言该方法无法处理③。[S1，第5.1节；S2]</w:t>
      </w:r>
    </w:p>
    <w:p>
      <w:pPr>
        <w:pStyle w:val="Heading3"/>
        <w:snapToGrid w:val="0"/>
      </w:pPr>
      <w:r>
        <w:t>本节结论</w:t>
      </w:r>
    </w:p>
    <w:p>
      <w:pPr>
        <w:pStyle w:val="ReportBullet"/>
        <w:keepNext/>
        <w:numPr>
          <w:ilvl w:val="0"/>
          <w:numId w:val="51"/>
        </w:numPr>
        <w:snapToGrid w:val="0"/>
      </w:pPr>
      <w:r>
        <w:t>方法应允许多标签，预测加重构等混合方案不能强行只归一类。</w:t>
      </w:r>
    </w:p>
    <w:p>
      <w:pPr>
        <w:pStyle w:val="ReportBullet"/>
        <w:keepNext/>
        <w:numPr>
          <w:ilvl w:val="0"/>
          <w:numId w:val="51"/>
        </w:numPr>
        <w:snapToGrid w:val="0"/>
      </w:pPr>
      <w:r>
        <w:t>监督标签要按实际训练信息判断。</w:t>
      </w:r>
    </w:p>
    <w:p>
      <w:pPr>
        <w:pStyle w:val="ReportBullet"/>
        <w:numPr>
          <w:ilvl w:val="0"/>
          <w:numId w:val="51"/>
        </w:numPr>
        <w:snapToGrid w:val="0"/>
      </w:pPr>
      <w:r>
        <w:t>本综述的分类适合作为检索索引，具体实现仍要回到原论文。</w:t>
      </w:r>
    </w:p>
    <w:p>
      <w:pPr>
        <w:pStyle w:val="Heading2"/>
        <w:snapToGrid w:val="0"/>
      </w:pPr>
      <w:r>
        <w:t>5 预测方法的精读</w:t>
      </w:r>
    </w:p>
    <w:p>
      <w:pPr>
        <w:pStyle w:val="Heading3"/>
        <w:snapToGrid w:val="0"/>
      </w:pPr>
      <w:r>
        <w:t>这一节在讲什么以及为什么讲</w:t>
      </w:r>
    </w:p>
    <w:p>
      <w:pPr>
        <w:snapToGrid w:val="0"/>
      </w:pPr>
      <w:r>
        <w:t>第4节把正常动态看作可预测规律：给过去窗口，预测未来或当前待观测值；观测到来后比较预测与实际。如果误差大，就认为正常模型解释不了当前状态。这把时间信息变成异常证据。[S1，第4节]</w:t>
      </w:r>
    </w:p>
    <w:p>
      <w:pPr>
        <w:pStyle w:val="Heading3"/>
        <w:snapToGrid w:val="0"/>
      </w:pPr>
      <w:r>
        <w:t>核心假设和必要公式</w:t>
      </w:r>
    </w:p>
    <w:p>
      <w:pPr>
        <w:snapToGrid w:val="0"/>
      </w:pPr>
      <w:r>
        <w:t>以下是预测式检测的一般化表达，不是综述中某一个模型的完整公式。</w:t>
      </w:r>
    </w:p>
    <w:p>
      <w:pPr>
        <w:pStyle w:val="EquationText"/>
        <w:jc w:val="center"/>
        <w:snapToGrid w:val="0"/>
      </w:pPr>
      <w:r/>
      <m:oMath>
        <m:sSub>
          <m:e>
            <m:acc>
              <m:accPr>
                <m:chr m:val="̂"/>
              </m:accPr>
              <m:e>
                <m:r>
                  <m:t>x</m:t>
                </m:r>
              </m:e>
            </m:acc>
          </m:e>
          <m:sub>
            <m:r>
              <m:t>t</m:t>
            </m:r>
          </m:sub>
        </m:sSub>
        <m:r>
          <m:t> </m:t>
        </m:r>
        <m:r>
          <m:t>=</m:t>
        </m:r>
        <m:r>
          <m:t> </m:t>
        </m:r>
        <m:sSub>
          <m:e>
            <m:r>
              <m:t>f</m:t>
            </m:r>
          </m:e>
          <m:sub>
            <m:r>
              <m:t>θ</m:t>
            </m:r>
          </m:sub>
        </m:sSub>
        <m:r>
          <m:t>(</m:t>
        </m:r>
        <m:sSub>
          <m:e>
            <m:r>
              <m:t>x</m:t>
            </m:r>
          </m:e>
          <m:sub>
            <m:r>
              <m:t>t</m:t>
            </m:r>
            <m:r>
              <m:t>−</m:t>
            </m:r>
            <m:r>
              <m:t>L</m:t>
            </m:r>
          </m:sub>
        </m:sSub>
        <m:r>
          <m:t>,</m:t>
        </m:r>
        <m:r>
          <m:t> </m:t>
        </m:r>
        <m:r>
          <m:t>…</m:t>
        </m:r>
        <m:r>
          <m:t>,</m:t>
        </m:r>
        <m:r>
          <m:t> </m:t>
        </m:r>
        <m:sSub>
          <m:e>
            <m:r>
              <m:t>x</m:t>
            </m:r>
          </m:e>
          <m:sub>
            <m:r>
              <m:t>t</m:t>
            </m:r>
            <m:r>
              <m:t>−</m:t>
            </m:r>
            <m:r>
              <m:t>1</m:t>
            </m:r>
          </m:sub>
        </m:sSub>
        <m:r>
          <m:t>)</m:t>
        </m:r>
      </m:oMath>
    </w:p>
    <w:p>
      <w:pPr>
        <w:pStyle w:val="EquationText"/>
        <w:jc w:val="center"/>
        <w:snapToGrid w:val="0"/>
      </w:pPr>
      <w:r/>
      <m:oMath>
        <m:sSub>
          <m:e>
            <m:r>
              <m:t>s</m:t>
            </m:r>
          </m:e>
          <m:sub>
            <m:r>
              <m:t>t</m:t>
            </m:r>
          </m:sub>
        </m:sSub>
        <m:r>
          <m:t> </m:t>
        </m:r>
        <m:r>
          <m:t>=</m:t>
        </m:r>
        <m:r>
          <m:t> </m:t>
        </m:r>
        <m:sSup>
          <m:e>
            <m:sSub>
              <m:e>
                <m:r>
                  <m:t>Σ</m:t>
                </m:r>
              </m:e>
              <m:sub>
                <m:r>
                  <m:t>j</m:t>
                </m:r>
                <m:r>
                  <m:t>=</m:t>
                </m:r>
                <m:r>
                  <m:t>1</m:t>
                </m:r>
              </m:sub>
            </m:sSub>
          </m:e>
          <m:sup>
            <m:r>
              <m:t>C</m:t>
            </m:r>
          </m:sup>
        </m:sSup>
        <m:r>
          <m:t> </m:t>
        </m:r>
        <m:sSub>
          <m:e>
            <m:r>
              <m:t>w</m:t>
            </m:r>
          </m:e>
          <m:sub>
            <m:r>
              <m:t>j</m:t>
            </m:r>
          </m:sub>
        </m:sSub>
        <m:r>
          <m:t> </m:t>
        </m:r>
        <m:r>
          <m:t>(</m:t>
        </m:r>
        <m:r>
          <m:t>(</m:t>
        </m:r>
        <m:sSub>
          <m:e>
            <m:r>
              <m:t>x</m:t>
            </m:r>
          </m:e>
          <m:sub>
            <m:r>
              <m:t>t</m:t>
            </m:r>
            <m:r>
              <m:t>,</m:t>
            </m:r>
            <m:r>
              <m:t>j</m:t>
            </m:r>
          </m:sub>
        </m:sSub>
        <m:r>
          <m:t> </m:t>
        </m:r>
        <m:r>
          <m:t>−</m:t>
        </m:r>
        <m:r>
          <m:t> </m:t>
        </m:r>
        <m:sSub>
          <m:e>
            <m:acc>
              <m:accPr>
                <m:chr m:val="̂"/>
              </m:accPr>
              <m:e>
                <m:r>
                  <m:t>x</m:t>
                </m:r>
              </m:e>
            </m:acc>
          </m:e>
          <m:sub>
            <m:r>
              <m:t>t</m:t>
            </m:r>
            <m:r>
              <m:t>,</m:t>
            </m:r>
            <m:r>
              <m:t>j</m:t>
            </m:r>
          </m:sub>
        </m:sSub>
        <m:r>
          <m:t>)</m:t>
        </m:r>
        <m:r>
          <m:t>/</m:t>
        </m:r>
        <m:sSub>
          <m:e>
            <m:r>
              <m:t>σ</m:t>
            </m:r>
          </m:e>
          <m:sub>
            <m:r>
              <m:t>j</m:t>
            </m:r>
          </m:sub>
        </m:sSub>
        <m:r>
          <m:t>)</m:t>
        </m:r>
        <m:r>
          <m:t>²</m:t>
        </m:r>
      </m:oMath>
    </w:p>
    <w:p>
      <w:pPr>
        <w:snapToGrid w:val="0"/>
      </w:pPr>
      <w:r>
        <w:t>θ是检测器参数，w_j是变量权重，σ_j是从正常训练或校准数据得到的尺度。先以正常历史序列训练预测器，再将残差转成分数，最后与阈值比较。标准化避免流量的大单位掩盖压力的小幅异常。</w:t>
      </w:r>
    </w:p>
    <w:p>
      <w:pPr>
        <w:snapToGrid w:val="0"/>
      </w:pPr>
      <w:r>
        <w:t>二维说明例：预测为(10,20)，实际为(11,24)，σ=(1,2)，权重均为1，分数为1²+2²=5。若另一点为(12,22)，分数同样为5，但异常贡献不同，解释时应保留每列残差。</w:t>
      </w:r>
    </w:p>
    <w:p>
      <w:pPr>
        <w:snapToGrid w:val="0"/>
      </w:pPr>
      <w:r>
        <w:t>关键假设是异常比正常更难预测。可预测的持续故障可能逐渐产生小残差；正常的突发切换可能产生大残差。因此预测误差不是异常真值，也不是OOD的充分必要条件。</w:t>
      </w:r>
    </w:p>
    <w:p>
      <w:pPr>
        <w:pStyle w:val="Heading3"/>
        <w:snapToGrid w:val="0"/>
      </w:pPr>
      <w:r>
        <w:t>各网络在算法中做什么</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网络及代表</w:t>
            </w:r>
          </w:p>
        </w:tc>
        <w:tc>
          <w:tcPr>
            <w:tcW w:type="dxa" w:w="3500"/>
            <w:vAlign w:val="center"/>
            <w:shd w:fill="E8EEF5"/>
          </w:tcPr>
          <w:p>
            <w:pPr>
              <w:pStyle w:val="TableText"/>
              <w:keepNext/>
            </w:pPr>
            <w:r>
              <w:rPr>
                <w:b/>
                <w:color w:val="1F4D78"/>
              </w:rPr>
              <w:t>直观作用</w:t>
            </w:r>
          </w:p>
        </w:tc>
        <w:tc>
          <w:tcPr>
            <w:tcW w:type="dxa" w:w="3810"/>
            <w:vAlign w:val="center"/>
            <w:shd w:fill="E8EEF5"/>
          </w:tcPr>
          <w:p>
            <w:pPr>
              <w:pStyle w:val="TableText"/>
              <w:keepNext/>
            </w:pPr>
            <w:r>
              <w:rPr>
                <w:b/>
                <w:color w:val="1F4D78"/>
              </w:rPr>
              <w:t>限制和学習外关联</w:t>
            </w:r>
          </w:p>
        </w:tc>
      </w:tr>
      <w:tr>
        <w:trPr>
          <w:cantSplit/>
        </w:trPr>
        <w:tc>
          <w:tcPr>
            <w:tcW w:type="dxa" w:w="2050"/>
            <w:vAlign w:val="center"/>
          </w:tcPr>
          <w:p>
            <w:pPr>
              <w:pStyle w:val="TableText"/>
              <w:keepNext/>
            </w:pPr>
            <w:r>
              <w:t>CNN DeepAnt TCN</w:t>
            </w:r>
          </w:p>
        </w:tc>
        <w:tc>
          <w:tcPr>
            <w:tcW w:type="dxa" w:w="3500"/>
            <w:vAlign w:val="center"/>
          </w:tcPr>
          <w:p>
            <w:pPr>
              <w:pStyle w:val="TableText"/>
              <w:keepNext/>
            </w:pPr>
            <w:r>
              <w:t>从局部片段提取模式 膨胀卷积扩大历史范围</w:t>
            </w:r>
          </w:p>
        </w:tc>
        <w:tc>
          <w:tcPr>
            <w:tcW w:type="dxa" w:w="3810"/>
            <w:vAlign w:val="center"/>
          </w:tcPr>
          <w:p>
            <w:pPr>
              <w:pStyle w:val="TableText"/>
              <w:keepNext/>
            </w:pPr>
            <w:r>
              <w:t>局部特征有效 长期与跨变量关系取决于结构</w:t>
            </w:r>
          </w:p>
        </w:tc>
      </w:tr>
      <w:tr>
        <w:trPr>
          <w:cantSplit/>
        </w:trPr>
        <w:tc>
          <w:tcPr>
            <w:tcW w:type="dxa" w:w="2050"/>
            <w:vAlign w:val="center"/>
          </w:tcPr>
          <w:p>
            <w:pPr>
              <w:pStyle w:val="TableText"/>
              <w:keepNext/>
            </w:pPr>
            <w:r>
              <w:t>RNN LSTM NDT THOC</w:t>
            </w:r>
          </w:p>
        </w:tc>
        <w:tc>
          <w:tcPr>
            <w:tcW w:type="dxa" w:w="3500"/>
            <w:vAlign w:val="center"/>
          </w:tcPr>
          <w:p>
            <w:pPr>
              <w:pStyle w:val="TableText"/>
              <w:keepNext/>
            </w:pPr>
            <w:r>
              <w:t>递推积累时间状态或多尺度状态</w:t>
            </w:r>
          </w:p>
        </w:tc>
        <w:tc>
          <w:tcPr>
            <w:tcW w:type="dxa" w:w="3810"/>
            <w:vAlign w:val="center"/>
          </w:tcPr>
          <w:p>
            <w:pPr>
              <w:pStyle w:val="TableText"/>
              <w:keepNext/>
            </w:pPr>
            <w:r>
              <w:t>顺序计算影响速度 状态可能逐渐吸收异常</w:t>
            </w:r>
          </w:p>
        </w:tc>
      </w:tr>
      <w:tr>
        <w:trPr>
          <w:cantSplit/>
        </w:trPr>
        <w:tc>
          <w:tcPr>
            <w:tcW w:type="dxa" w:w="2050"/>
            <w:vAlign w:val="center"/>
          </w:tcPr>
          <w:p>
            <w:pPr>
              <w:pStyle w:val="TableText"/>
              <w:keepNext/>
            </w:pPr>
            <w:r>
              <w:t>GNN GDN MTAD GAT</w:t>
            </w:r>
          </w:p>
        </w:tc>
        <w:tc>
          <w:tcPr>
            <w:tcW w:type="dxa" w:w="3500"/>
            <w:vAlign w:val="center"/>
          </w:tcPr>
          <w:p>
            <w:pPr>
              <w:pStyle w:val="TableText"/>
              <w:keepNext/>
            </w:pPr>
            <w:r>
              <w:t>学习变量依赖并结合历史预测</w:t>
            </w:r>
          </w:p>
        </w:tc>
        <w:tc>
          <w:tcPr>
            <w:tcW w:type="dxa" w:w="3810"/>
            <w:vAlign w:val="center"/>
          </w:tcPr>
          <w:p>
            <w:pPr>
              <w:pStyle w:val="TableText"/>
              <w:keepNext/>
            </w:pPr>
            <w:r>
              <w:t>关系变化对应③ 但学到的图不自动是因果图</w:t>
            </w:r>
          </w:p>
        </w:tc>
      </w:tr>
      <w:tr>
        <w:trPr>
          <w:cantSplit/>
        </w:trPr>
        <w:tc>
          <w:tcPr>
            <w:tcW w:type="dxa" w:w="2050"/>
            <w:vAlign w:val="center"/>
          </w:tcPr>
          <w:p>
            <w:pPr>
              <w:pStyle w:val="TableText"/>
            </w:pPr>
            <w:r>
              <w:t>Transformer MAD AnomalyBERT等</w:t>
            </w:r>
          </w:p>
        </w:tc>
        <w:tc>
          <w:tcPr>
            <w:tcW w:type="dxa" w:w="3500"/>
            <w:vAlign w:val="center"/>
          </w:tcPr>
          <w:p>
            <w:pPr>
              <w:pStyle w:val="TableText"/>
            </w:pPr>
            <w:r>
              <w:t>用注意力或掩码学习上下文</w:t>
            </w:r>
          </w:p>
        </w:tc>
        <w:tc>
          <w:tcPr>
            <w:tcW w:type="dxa" w:w="3810"/>
            <w:vAlign w:val="center"/>
          </w:tcPr>
          <w:p>
            <w:pPr>
              <w:pStyle w:val="TableText"/>
            </w:pPr>
            <w:r>
              <w:t>是否使用未来取决于掩码和部署方式</w:t>
            </w:r>
          </w:p>
        </w:tc>
      </w:tr>
    </w:tbl>
    <w:p>
      <w:pPr>
        <w:spacing w:after="0"/>
        <w:snapToGrid w:val="0"/>
      </w:pPr>
    </w:p>
    <w:p>
      <w:pPr>
        <w:snapToGrid w:val="0"/>
      </w:pPr>
      <w:r>
        <w:t>GDN的原论文把结构学习与图神经网络结合，并用传感器偏差进行检测，是优先研究③的候选。[S3] MTAD-GAT在综述中明确描述为联合优化，不能只凭所在章节把它当成纯预测器。</w:t>
      </w:r>
    </w:p>
    <w:p>
      <w:pPr>
        <w:snapToGrid w:val="0"/>
      </w:pPr>
      <w:r>
        <w:t>第4.1节对DeepAnt使用了“重构误差”的措辞，与本节整体预测定义不一致；表内分类只能作为导航。TimesNet也属于可用于多任务的骨干，具体异常检测任务的损失须单独确认。</w:t>
      </w:r>
    </w:p>
    <w:p>
      <w:pPr>
        <w:pStyle w:val="Heading3"/>
        <w:snapToGrid w:val="0"/>
      </w:pPr>
      <w:r>
        <w:t>学习和运行需要什么</w:t>
      </w:r>
    </w:p>
    <w:p>
      <w:pPr>
        <w:snapToGrid w:val="0"/>
      </w:pPr>
      <w:r>
        <w:t>训练需要历史输入变量序列，连续预测目标可以由序列的后续时刻自动构造，不必有异常标签。运行需要当前实际传感器向量来计算残差，但若检测器只预测输入变量，就不必等待业务目标“末端压力真实值”。如果改为直接比较业务压力预测与真实压力，则必须得到真实压力，部署条件随之改变。</w:t>
      </w:r>
    </w:p>
    <w:p>
      <w:pPr>
        <w:pStyle w:val="Heading3"/>
        <w:snapToGrid w:val="0"/>
      </w:pPr>
      <w:r>
        <w:t>本节结论</w:t>
      </w:r>
    </w:p>
    <w:p>
      <w:pPr>
        <w:pStyle w:val="ReportBullet"/>
        <w:keepNext/>
        <w:numPr>
          <w:ilvl w:val="0"/>
          <w:numId w:val="51"/>
        </w:numPr>
        <w:snapToGrid w:val="0"/>
      </w:pPr>
      <w:r>
        <w:t>预测式方法天然利用时间，但能否利用变量关系取决于模型。</w:t>
      </w:r>
    </w:p>
    <w:p>
      <w:pPr>
        <w:pStyle w:val="ReportBullet"/>
        <w:keepNext/>
        <w:numPr>
          <w:ilvl w:val="0"/>
          <w:numId w:val="51"/>
        </w:numPr>
        <w:snapToGrid w:val="0"/>
      </w:pPr>
      <w:r>
        <w:t>当前被预测变量的观测到来后才能计算该时刻残差。</w:t>
      </w:r>
    </w:p>
    <w:p>
      <w:pPr>
        <w:pStyle w:val="ReportBullet"/>
        <w:numPr>
          <w:ilvl w:val="0"/>
          <w:numId w:val="51"/>
        </w:numPr>
        <w:snapToGrid w:val="0"/>
      </w:pPr>
      <w:r>
        <w:t>GDN等适合研究③，仍需专门的③测试数据证明。</w:t>
      </w:r>
    </w:p>
    <w:p>
      <w:pPr>
        <w:pStyle w:val="Heading2"/>
        <w:snapToGrid w:val="0"/>
      </w:pPr>
      <w:r>
        <w:t>6 重构方法的精读</w:t>
      </w:r>
    </w:p>
    <w:p>
      <w:pPr>
        <w:pStyle w:val="Heading3"/>
        <w:snapToGrid w:val="0"/>
      </w:pPr>
      <w:r>
        <w:t>这一节在讲什么以及为什么讲</w:t>
      </w:r>
    </w:p>
    <w:p>
      <w:pPr>
        <w:snapToGrid w:val="0"/>
      </w:pPr>
      <w:r>
        <w:t>第5节让模型学习正常数据的压缩与恢复：输入当前窗口，经有限表示重建原窗口。正常模式应该较容易恢复，异常模式可能恢复不好。这不要求先预测下一时刻，适合直接对已观测输入窗口评分。[S1，第5节]</w:t>
      </w:r>
    </w:p>
    <w:p>
      <w:pPr>
        <w:pStyle w:val="Heading3"/>
        <w:snapToGrid w:val="0"/>
      </w:pPr>
      <w:r>
        <w:t>AE和必要公式</w:t>
      </w:r>
    </w:p>
    <w:p>
      <w:pPr>
        <w:pStyle w:val="EquationText"/>
        <w:jc w:val="center"/>
        <w:snapToGrid w:val="0"/>
      </w:pPr>
      <w:r/>
      <m:oMath>
        <m:r>
          <m:t>z</m:t>
        </m:r>
        <m:r>
          <m:t> </m:t>
        </m:r>
        <m:r>
          <m:t>=</m:t>
        </m:r>
        <m:r>
          <m:t> </m:t>
        </m:r>
        <m:sSub>
          <m:e>
            <m:r>
              <m:t>g</m:t>
            </m:r>
          </m:e>
          <m:sub>
            <m:r>
              <m:t>θ</m:t>
            </m:r>
          </m:sub>
        </m:sSub>
        <m:r>
          <m:t>(</m:t>
        </m:r>
        <m:sSub>
          <m:e>
            <m:r>
              <m:t>X</m:t>
            </m:r>
          </m:e>
          <m:sub>
            <m:r>
              <m:t>t</m:t>
            </m:r>
          </m:sub>
        </m:sSub>
        <m:r>
          <m:t>)</m:t>
        </m:r>
        <m:r>
          <m:t> </m:t>
        </m:r>
        <m:r>
          <m:t>;</m:t>
        </m:r>
        <m:r>
          <m:t> </m:t>
        </m:r>
        <m:sSub>
          <m:e>
            <m:acc>
              <m:accPr>
                <m:chr m:val="̂"/>
              </m:accPr>
              <m:e>
                <m:r>
                  <m:t>X</m:t>
                </m:r>
              </m:e>
            </m:acc>
          </m:e>
          <m:sub>
            <m:r>
              <m:t>t</m:t>
            </m:r>
          </m:sub>
        </m:sSub>
        <m:r>
          <m:t> </m:t>
        </m:r>
        <m:r>
          <m:t>=</m:t>
        </m:r>
        <m:r>
          <m:t> </m:t>
        </m:r>
        <m:sSub>
          <m:e>
            <m:r>
              <m:t>h</m:t>
            </m:r>
          </m:e>
          <m:sub>
            <m:r>
              <m:t>φ</m:t>
            </m:r>
          </m:sub>
        </m:sSub>
        <m:r>
          <m:t>(</m:t>
        </m:r>
        <m:r>
          <m:t>z</m:t>
        </m:r>
        <m:r>
          <m:t>)</m:t>
        </m:r>
      </m:oMath>
    </w:p>
    <w:p>
      <w:pPr>
        <w:pStyle w:val="EquationText"/>
        <w:jc w:val="center"/>
        <w:snapToGrid w:val="0"/>
      </w:pPr>
      <w:r/>
      <m:oMath>
        <m:sSub>
          <m:e>
            <m:r>
              <m:t>s</m:t>
            </m:r>
          </m:e>
          <m:sub>
            <m:r>
              <m:t>t</m:t>
            </m:r>
          </m:sub>
        </m:sSub>
        <m:r>
          <m:t> </m:t>
        </m:r>
        <m:r>
          <m:t>=</m:t>
        </m:r>
        <m:r>
          <m:t> </m:t>
        </m:r>
        <m:r>
          <m:t>‖</m:t>
        </m:r>
        <m:sSub>
          <m:e>
            <m:r>
              <m:t>X</m:t>
            </m:r>
          </m:e>
          <m:sub>
            <m:r>
              <m:t>t</m:t>
            </m:r>
          </m:sub>
        </m:sSub>
        <m:r>
          <m:t> </m:t>
        </m:r>
        <m:r>
          <m:t>−</m:t>
        </m:r>
        <m:r>
          <m:t> </m:t>
        </m:r>
        <m:sSub>
          <m:e>
            <m:acc>
              <m:accPr>
                <m:chr m:val="̂"/>
              </m:accPr>
              <m:e>
                <m:r>
                  <m:t>X</m:t>
                </m:r>
              </m:e>
            </m:acc>
          </m:e>
          <m:sub>
            <m:r>
              <m:t>t</m:t>
            </m:r>
          </m:sub>
        </m:sSub>
        <m:r>
          <m:t>‖</m:t>
        </m:r>
        <m:sSub>
          <m:e>
            <m:r>
              <m:t>²</m:t>
            </m:r>
          </m:e>
          <m:sub>
            <m:r>
              <m:t>F</m:t>
            </m:r>
          </m:sub>
        </m:sSub>
        <m:r>
          <m:t> </m:t>
        </m:r>
        <m:r>
          <m:t>/</m:t>
        </m:r>
        <m:r>
          <m:t> </m:t>
        </m:r>
        <m:r>
          <m:t>(</m:t>
        </m:r>
        <m:r>
          <m:t>L</m:t>
        </m:r>
        <m:r>
          <m:t>C</m:t>
        </m:r>
        <m:r>
          <m:t>)</m:t>
        </m:r>
      </m:oMath>
    </w:p>
    <w:p>
      <w:pPr>
        <w:snapToGrid w:val="0"/>
      </w:pPr>
      <w:r>
        <w:t>g是编码器，h是解码器，z是潜在表示，F范数平方是矩阵所有元素误差平方之和。上述为一般重构分数；实际模型可以只取末点、分通道加权或合并重叠窗口。</w:t>
      </w:r>
    </w:p>
    <w:p>
      <w:pPr>
        <w:snapToGrid w:val="0"/>
      </w:pPr>
      <w:r>
        <w:t>二维说明例：模型学习正常直线x₂=x₁。输入(1,3)若重建为(2,2)，平方误差和为2，平均为1；正常(2,2)若准确恢复则为0。如果网络容量过大，把(1,3)也原样复制出来，异常分数就为0。这叫过度泛化，是重构方法的重要失效方式。</w:t>
      </w:r>
    </w:p>
    <w:p>
      <w:pPr>
        <w:pStyle w:val="Heading3"/>
        <w:snapToGrid w:val="0"/>
      </w:pPr>
      <w:r>
        <w:t>VAE中的概率是什么</w:t>
      </w:r>
    </w:p>
    <w:p>
      <w:pPr>
        <w:snapToGrid w:val="0"/>
      </w:pPr>
      <w:r>
        <w:t>VAE使用概率编码分布q(z｜X)及生成分布p(X｜z)，常见训练目标为：</w:t>
      </w:r>
    </w:p>
    <w:p>
      <w:pPr>
        <w:pStyle w:val="EquationText"/>
        <w:jc w:val="center"/>
        <w:snapToGrid w:val="0"/>
      </w:pPr>
      <w:r/>
      <m:oMath>
        <m:r>
          <m:t>ℒ</m:t>
        </m:r>
        <m:r>
          <m:t> </m:t>
        </m:r>
        <m:r>
          <m:t>=</m:t>
        </m:r>
        <m:r>
          <m:t> </m:t>
        </m:r>
        <m:r>
          <m:t>−</m:t>
        </m:r>
        <m:sSub>
          <m:e>
            <m:r>
              <m:t>E</m:t>
            </m:r>
          </m:e>
          <m:sub>
            <m:r>
              <m:t>q</m:t>
            </m:r>
          </m:sub>
        </m:sSub>
        <m:r>
          <m:t>[</m:t>
        </m:r>
        <m:r>
          <m:t>l</m:t>
        </m:r>
        <m:r>
          <m:t>o</m:t>
        </m:r>
        <m:r>
          <m:t>g</m:t>
        </m:r>
        <m:r>
          <m:t> </m:t>
        </m:r>
        <m:sSub>
          <m:e>
            <m:r>
              <m:t>p</m:t>
            </m:r>
          </m:e>
          <m:sub>
            <m:r>
              <m:t>θ</m:t>
            </m:r>
          </m:sub>
        </m:sSub>
        <m:r>
          <m:t>(</m:t>
        </m:r>
        <m:r>
          <m:t>X</m:t>
        </m:r>
        <m:r>
          <m:t>｜</m:t>
        </m:r>
        <m:r>
          <m:t>z</m:t>
        </m:r>
        <m:r>
          <m:t>)</m:t>
        </m:r>
        <m:r>
          <m:t>]</m:t>
        </m:r>
        <m:r>
          <m:t> </m:t>
        </m:r>
        <m:r>
          <m:t>+</m:t>
        </m:r>
        <m:r>
          <m:t> </m:t>
        </m:r>
        <m:r>
          <m:t>K</m:t>
        </m:r>
        <m:r>
          <m:t>L</m:t>
        </m:r>
        <m:r>
          <m:t>(</m:t>
        </m:r>
        <m:sSub>
          <m:e>
            <m:r>
              <m:t>q</m:t>
            </m:r>
          </m:e>
          <m:sub>
            <m:r>
              <m:t>φ</m:t>
            </m:r>
          </m:sub>
        </m:sSub>
        <m:r>
          <m:t>(</m:t>
        </m:r>
        <m:r>
          <m:t>z</m:t>
        </m:r>
        <m:r>
          <m:t>｜</m:t>
        </m:r>
        <m:r>
          <m:t>X</m:t>
        </m:r>
        <m:r>
          <m:t>)</m:t>
        </m:r>
        <m:r>
          <m:t> </m:t>
        </m:r>
        <m:r>
          <m:t>‖</m:t>
        </m:r>
        <m:r>
          <m:t> </m:t>
        </m:r>
        <m:r>
          <m:t>p</m:t>
        </m:r>
        <m:r>
          <m:t>(</m:t>
        </m:r>
        <m:r>
          <m:t>z</m:t>
        </m:r>
        <m:r>
          <m:t>)</m:t>
        </m:r>
        <m:r>
          <m:t>)</m:t>
        </m:r>
      </m:oMath>
    </w:p>
    <w:p>
      <w:pPr>
        <w:snapToGrid w:val="0"/>
      </w:pPr>
      <w:r>
        <w:t>第一项鼓励恢复输入，第二项约束潜在分布接近先验。KL表示两个分布差异，不是空间欧氏距离。异常分数可能用负重构对数概率，但其定义、采样次数和聚合方式因方法而异。</w:t>
      </w:r>
    </w:p>
    <w:p>
      <w:pPr>
        <w:snapToGrid w:val="0"/>
      </w:pPr>
      <w:r>
        <w:t>说明例：若条件重构分布是单位协方差高斯，观测(1,3)、均值(2,2)，负对数似然中的平方项为1，加上常数；若模型同时把方差放大，分数会改变。因此“重构误差”和“概率低”不能无条件互换。VAE也不必在所有部分使用高斯分布，综述的高斯限制描述不应泛化成整个模型族的定理。</w:t>
      </w:r>
    </w:p>
    <w:p>
      <w:pPr>
        <w:pStyle w:val="Heading3"/>
        <w:snapToGrid w:val="0"/>
      </w:pPr>
      <w:r>
        <w:t>关系矩阵为什么特别相关</w:t>
      </w:r>
    </w:p>
    <w:p>
      <w:pPr>
        <w:snapToGrid w:val="0"/>
      </w:pPr>
      <w:r>
        <w:t>MSCRED先用不同尺度窗口构造signature matrices，再经卷积、ConvLSTM和解码器恢复矩阵；残差用于检测与诊断。[S1，第5.1节；S2]</w:t>
      </w:r>
    </w:p>
    <w:p>
      <w:pPr>
        <w:snapToGrid w:val="0"/>
      </w:pPr>
      <w:r>
        <w:t>其基本直觉可用窗口内交叉乘积说明：</w:t>
      </w:r>
    </w:p>
    <w:p>
      <w:pPr>
        <w:pStyle w:val="EquationText"/>
        <w:jc w:val="center"/>
        <w:snapToGrid w:val="0"/>
      </w:pPr>
      <w:r/>
      <m:oMath>
        <m:sSub>
          <m:e>
            <m:r>
              <m:t>M</m:t>
            </m:r>
          </m:e>
          <m:sub>
            <m:r>
              <m:t>i</m:t>
            </m:r>
            <m:r>
              <m:t>,</m:t>
            </m:r>
            <m:r>
              <m:t>j</m:t>
            </m:r>
          </m:sub>
        </m:sSub>
        <m:r>
          <m:t> </m:t>
        </m:r>
        <m:r>
          <m:t>=</m:t>
        </m:r>
        <m:r>
          <m:t> </m:t>
        </m:r>
        <m:r>
          <m:t>(</m:t>
        </m:r>
        <m:r>
          <m:t>1</m:t>
        </m:r>
        <m:r>
          <m:t>/</m:t>
        </m:r>
        <m:r>
          <m:t>L</m:t>
        </m:r>
        <m:r>
          <m:t>)</m:t>
        </m:r>
        <m:r>
          <m:t> </m:t>
        </m:r>
        <m:sSup>
          <m:e>
            <m:sSub>
              <m:e>
                <m:r>
                  <m:t>Σ</m:t>
                </m:r>
              </m:e>
              <m:sub>
                <m:r>
                  <m:t>τ</m:t>
                </m:r>
                <m:r>
                  <m:t>=</m:t>
                </m:r>
                <m:r>
                  <m:t>t</m:t>
                </m:r>
                <m:r>
                  <m:t>−</m:t>
                </m:r>
                <m:r>
                  <m:t>L</m:t>
                </m:r>
                <m:r>
                  <m:t>+</m:t>
                </m:r>
                <m:r>
                  <m:t>1</m:t>
                </m:r>
              </m:sub>
            </m:sSub>
          </m:e>
          <m:sup>
            <m:r>
              <m:t>t</m:t>
            </m:r>
          </m:sup>
        </m:sSup>
        <m:r>
          <m:t> </m:t>
        </m:r>
        <m:sSub>
          <m:e>
            <m:r>
              <m:t>x</m:t>
            </m:r>
          </m:e>
          <m:sub>
            <m:r>
              <m:t>τ</m:t>
            </m:r>
            <m:r>
              <m:t>,</m:t>
            </m:r>
            <m:r>
              <m:t>i</m:t>
            </m:r>
          </m:sub>
        </m:sSub>
        <m:sSub>
          <m:e>
            <m:r>
              <m:t>x</m:t>
            </m:r>
          </m:e>
          <m:sub>
            <m:r>
              <m:t>τ</m:t>
            </m:r>
            <m:r>
              <m:t>,</m:t>
            </m:r>
            <m:r>
              <m:t>j</m:t>
            </m:r>
          </m:sub>
        </m:sSub>
      </m:oMath>
    </w:p>
    <w:p>
      <w:pPr>
        <w:snapToGrid w:val="0"/>
      </w:pPr>
      <w:r>
        <w:t>M不是自动等于中心化并标准化后的Pearson相关矩阵。假设两列均值为零，正常窗口两列同向变化，异常窗口一列反向，M的非对角元素可能翻转，即使两列各自取值集合完全相同。这直接针对③。多尺度矩阵能够兼顾短事件与较长模式。</w:t>
      </w:r>
    </w:p>
    <w:p>
      <w:pPr>
        <w:pStyle w:val="Heading3"/>
        <w:snapToGrid w:val="0"/>
      </w:pPr>
      <w:r>
        <w:t>其他重构模型的作用</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代表</w:t>
            </w:r>
          </w:p>
        </w:tc>
        <w:tc>
          <w:tcPr>
            <w:tcW w:type="dxa" w:w="3500"/>
            <w:vAlign w:val="center"/>
            <w:shd w:fill="E8EEF5"/>
          </w:tcPr>
          <w:p>
            <w:pPr>
              <w:pStyle w:val="TableText"/>
            </w:pPr>
            <w:r>
              <w:rPr>
                <w:b/>
                <w:color w:val="1F4D78"/>
              </w:rPr>
              <w:t>增加的建模机制</w:t>
            </w:r>
          </w:p>
        </w:tc>
        <w:tc>
          <w:tcPr>
            <w:tcW w:type="dxa" w:w="3810"/>
            <w:vAlign w:val="center"/>
            <w:shd w:fill="E8EEF5"/>
          </w:tcPr>
          <w:p>
            <w:pPr>
              <w:pStyle w:val="TableText"/>
            </w:pPr>
            <w:r>
              <w:rPr>
                <w:b/>
                <w:color w:val="1F4D78"/>
              </w:rPr>
              <w:t>需注意的条件</w:t>
            </w:r>
          </w:p>
        </w:tc>
      </w:tr>
      <w:tr>
        <w:trPr>
          <w:cantSplit/>
        </w:trPr>
        <w:tc>
          <w:tcPr>
            <w:tcW w:type="dxa" w:w="2050"/>
            <w:vAlign w:val="center"/>
          </w:tcPr>
          <w:p>
            <w:pPr>
              <w:pStyle w:val="TableText"/>
            </w:pPr>
            <w:r>
              <w:t>DAGMM</w:t>
            </w:r>
          </w:p>
        </w:tc>
        <w:tc>
          <w:tcPr>
            <w:tcW w:type="dxa" w:w="3500"/>
            <w:vAlign w:val="center"/>
          </w:tcPr>
          <w:p>
            <w:pPr>
              <w:pStyle w:val="TableText"/>
            </w:pPr>
            <w:r>
              <w:t>压缩表示结合高斯混合密度</w:t>
            </w:r>
          </w:p>
        </w:tc>
        <w:tc>
          <w:tcPr>
            <w:tcW w:type="dxa" w:w="3810"/>
            <w:vAlign w:val="center"/>
          </w:tcPr>
          <w:p>
            <w:pPr>
              <w:pStyle w:val="TableText"/>
            </w:pPr>
            <w:r>
              <w:t>分数可为能量而非普通重构误差</w:t>
            </w:r>
          </w:p>
        </w:tc>
      </w:tr>
      <w:tr>
        <w:trPr>
          <w:cantSplit/>
        </w:trPr>
        <w:tc>
          <w:tcPr>
            <w:tcW w:type="dxa" w:w="2050"/>
            <w:vAlign w:val="center"/>
          </w:tcPr>
          <w:p>
            <w:pPr>
              <w:pStyle w:val="TableText"/>
            </w:pPr>
            <w:r>
              <w:t>OmniAnomaly InterFusion</w:t>
            </w:r>
          </w:p>
        </w:tc>
        <w:tc>
          <w:tcPr>
            <w:tcW w:type="dxa" w:w="3500"/>
            <w:vAlign w:val="center"/>
          </w:tcPr>
          <w:p>
            <w:pPr>
              <w:pStyle w:val="TableText"/>
            </w:pPr>
            <w:r>
              <w:t>概率时序模型与多层潜变量</w:t>
            </w:r>
          </w:p>
        </w:tc>
        <w:tc>
          <w:tcPr>
            <w:tcW w:type="dxa" w:w="3810"/>
            <w:vAlign w:val="center"/>
          </w:tcPr>
          <w:p>
            <w:pPr>
              <w:pStyle w:val="TableText"/>
            </w:pPr>
            <w:r>
              <w:t>概率假设 采样成本和两种依赖的表达</w:t>
            </w:r>
          </w:p>
        </w:tc>
      </w:tr>
      <w:tr>
        <w:trPr>
          <w:cantSplit/>
        </w:trPr>
        <w:tc>
          <w:tcPr>
            <w:tcW w:type="dxa" w:w="2050"/>
            <w:vAlign w:val="center"/>
          </w:tcPr>
          <w:p>
            <w:pPr>
              <w:pStyle w:val="TableText"/>
            </w:pPr>
            <w:r>
              <w:t>USAD MAD GAN TadGAN DAEMON</w:t>
            </w:r>
          </w:p>
        </w:tc>
        <w:tc>
          <w:tcPr>
            <w:tcW w:type="dxa" w:w="3500"/>
            <w:vAlign w:val="center"/>
          </w:tcPr>
          <w:p>
            <w:pPr>
              <w:pStyle w:val="TableText"/>
            </w:pPr>
            <w:r>
              <w:t>对抗训练改善表示或分布学习</w:t>
            </w:r>
          </w:p>
        </w:tc>
        <w:tc>
          <w:tcPr>
            <w:tcW w:type="dxa" w:w="3810"/>
            <w:vAlign w:val="center"/>
          </w:tcPr>
          <w:p>
            <w:pPr>
              <w:pStyle w:val="TableText"/>
            </w:pPr>
            <w:r>
              <w:t>训练稳定性 生成器与判别器分数不统一</w:t>
            </w:r>
          </w:p>
        </w:tc>
      </w:tr>
      <w:tr>
        <w:trPr>
          <w:cantSplit/>
        </w:trPr>
        <w:tc>
          <w:tcPr>
            <w:tcW w:type="dxa" w:w="2050"/>
            <w:vAlign w:val="center"/>
          </w:tcPr>
          <w:p>
            <w:pPr>
              <w:pStyle w:val="TableText"/>
            </w:pPr>
            <w:r>
              <w:t>Anomaly Transformer MEMTO TranAD</w:t>
            </w:r>
          </w:p>
        </w:tc>
        <w:tc>
          <w:tcPr>
            <w:tcW w:type="dxa" w:w="3500"/>
            <w:vAlign w:val="center"/>
          </w:tcPr>
          <w:p>
            <w:pPr>
              <w:pStyle w:val="TableText"/>
            </w:pPr>
            <w:r>
              <w:t>关联差异 记忆或自适应重构</w:t>
            </w:r>
          </w:p>
        </w:tc>
        <w:tc>
          <w:tcPr>
            <w:tcW w:type="dxa" w:w="3810"/>
            <w:vAlign w:val="center"/>
          </w:tcPr>
          <w:p>
            <w:pPr>
              <w:pStyle w:val="TableText"/>
            </w:pPr>
            <w:r>
              <w:t>混合分数和过度泛化问题</w:t>
            </w:r>
          </w:p>
        </w:tc>
      </w:tr>
      <w:tr>
        <w:trPr>
          <w:cantSplit/>
        </w:trPr>
        <w:tc>
          <w:tcPr>
            <w:tcW w:type="dxa" w:w="2050"/>
            <w:vAlign w:val="center"/>
          </w:tcPr>
          <w:p>
            <w:pPr>
              <w:pStyle w:val="TableText"/>
            </w:pPr>
            <w:r>
              <w:t>Dual TF CATCH</w:t>
            </w:r>
          </w:p>
        </w:tc>
        <w:tc>
          <w:tcPr>
            <w:tcW w:type="dxa" w:w="3500"/>
            <w:vAlign w:val="center"/>
          </w:tcPr>
          <w:p>
            <w:pPr>
              <w:pStyle w:val="TableText"/>
            </w:pPr>
            <w:r>
              <w:t>同时利用时间与频率信息</w:t>
            </w:r>
          </w:p>
        </w:tc>
        <w:tc>
          <w:tcPr>
            <w:tcW w:type="dxa" w:w="3810"/>
            <w:vAlign w:val="center"/>
          </w:tcPr>
          <w:p>
            <w:pPr>
              <w:pStyle w:val="TableText"/>
            </w:pPr>
            <w:r>
              <w:t>分数对齐 相位信息和窗口延迟</w:t>
            </w:r>
          </w:p>
        </w:tc>
      </w:tr>
      <w:tr>
        <w:trPr>
          <w:cantSplit/>
        </w:trPr>
        <w:tc>
          <w:tcPr>
            <w:tcW w:type="dxa" w:w="2050"/>
            <w:vAlign w:val="center"/>
          </w:tcPr>
          <w:p>
            <w:pPr>
              <w:pStyle w:val="TableText"/>
            </w:pPr>
            <w:r>
              <w:t>DiffusionAE D3R</w:t>
            </w:r>
          </w:p>
        </w:tc>
        <w:tc>
          <w:tcPr>
            <w:tcW w:type="dxa" w:w="3500"/>
            <w:vAlign w:val="center"/>
          </w:tcPr>
          <w:p>
            <w:pPr>
              <w:pStyle w:val="TableText"/>
            </w:pPr>
            <w:r>
              <w:t>加噪与去噪控制信息恢复</w:t>
            </w:r>
          </w:p>
        </w:tc>
        <w:tc>
          <w:tcPr>
            <w:tcW w:type="dxa" w:w="3810"/>
            <w:vAlign w:val="center"/>
          </w:tcPr>
          <w:p>
            <w:pPr>
              <w:pStyle w:val="TableText"/>
            </w:pPr>
            <w:r>
              <w:t>迭代去噪可能增加推理成本</w:t>
            </w:r>
          </w:p>
        </w:tc>
      </w:tr>
    </w:tbl>
    <w:p>
      <w:pPr>
        <w:spacing w:after="0"/>
        <w:snapToGrid w:val="0"/>
      </w:pPr>
    </w:p>
    <w:p>
      <w:pPr>
        <w:snapToGrid w:val="0"/>
      </w:pPr>
      <w:r>
        <w:t>GAN的判别器训练目标是区分真实与生成样本，并不自动等于正常与异常分类。Diffusion的“噪声”是建模手段，也不意味着现实噪声都应被视为异常。</w:t>
      </w:r>
    </w:p>
    <w:p>
      <w:pPr>
        <w:pStyle w:val="Heading3"/>
        <w:snapToGrid w:val="0"/>
      </w:pPr>
      <w:r>
        <w:t>本节结论</w:t>
      </w:r>
    </w:p>
    <w:p>
      <w:pPr>
        <w:pStyle w:val="ReportBullet"/>
        <w:keepNext/>
        <w:numPr>
          <w:ilvl w:val="0"/>
          <w:numId w:val="51"/>
        </w:numPr>
        <w:snapToGrid w:val="0"/>
      </w:pPr>
      <w:r>
        <w:t>重构检测常能仅用输入窗口独立部署。</w:t>
      </w:r>
    </w:p>
    <w:p>
      <w:pPr>
        <w:pStyle w:val="ReportBullet"/>
        <w:keepNext/>
        <w:numPr>
          <w:ilvl w:val="0"/>
          <w:numId w:val="51"/>
        </w:numPr>
        <w:snapToGrid w:val="0"/>
      </w:pPr>
      <w:r>
        <w:t>MSCRED和InterFusion值得优先精读其跨变量建模。</w:t>
      </w:r>
    </w:p>
    <w:p>
      <w:pPr>
        <w:pStyle w:val="ReportBullet"/>
        <w:numPr>
          <w:ilvl w:val="0"/>
          <w:numId w:val="51"/>
        </w:numPr>
        <w:snapToGrid w:val="0"/>
      </w:pPr>
      <w:r>
        <w:t>重构成功不能证明输入属于训练分布；重构失败也可能是正常新工况。</w:t>
      </w:r>
    </w:p>
    <w:p>
      <w:pPr>
        <w:pStyle w:val="Heading2"/>
        <w:snapToGrid w:val="0"/>
      </w:pPr>
      <w:r>
        <w:t>7 对比学习方法的精读</w:t>
      </w:r>
    </w:p>
    <w:p>
      <w:pPr>
        <w:pStyle w:val="Heading3"/>
        <w:snapToGrid w:val="0"/>
      </w:pPr>
      <w:r>
        <w:t>这一节在讲什么以及为什么讲</w:t>
      </w:r>
    </w:p>
    <w:p>
      <w:pPr>
        <w:snapToGrid w:val="0"/>
      </w:pPr>
      <w:r>
        <w:t>第6节把异常证据转到表示空间：同一窗口从不同视角得到的表示是否相符，或者学生模型能否模仿教师模型。它试图避免仅依赖重构误差。[S1，第6节]</w:t>
      </w:r>
    </w:p>
    <w:p>
      <w:pPr>
        <w:snapToGrid w:val="0"/>
      </w:pPr>
      <w:r>
        <w:t>关键概念包括视图、正样本对、负样本对和表示坍塌。视图是同一数据的不同切分或增强；正对被要求相似；负对被要求区分。坍塌是所有输入都输出相同表示，虽然一致却失去区分能力。</w:t>
      </w:r>
    </w:p>
    <w:p>
      <w:pPr>
        <w:pStyle w:val="Heading3"/>
        <w:snapToGrid w:val="0"/>
      </w:pPr>
      <w:r>
        <w:t>一个必要的说明公式</w:t>
      </w:r>
    </w:p>
    <w:p>
      <w:pPr>
        <w:snapToGrid w:val="0"/>
      </w:pPr>
      <w:r>
        <w:t>下面是帮助理解一致性评分的示意，不是DCdetector的原始完整损失。</w:t>
      </w:r>
    </w:p>
    <w:p>
      <w:pPr>
        <w:pStyle w:val="EquationText"/>
        <w:jc w:val="center"/>
        <w:snapToGrid w:val="0"/>
      </w:pPr>
      <w:r/>
      <m:oMath>
        <m:r>
          <m:t>s</m:t>
        </m:r>
        <m:r>
          <m:t>(</m:t>
        </m:r>
        <m:r>
          <m:t>X</m:t>
        </m:r>
        <m:r>
          <m:t>)</m:t>
        </m:r>
        <m:r>
          <m:t> </m:t>
        </m:r>
        <m:r>
          <m:t>=</m:t>
        </m:r>
        <m:r>
          <m:t> </m:t>
        </m:r>
        <m:r>
          <m:t>‖</m:t>
        </m:r>
        <m:r>
          <m:t>g</m:t>
        </m:r>
        <m:r>
          <m:t>₁</m:t>
        </m:r>
        <m:r>
          <m:t>(</m:t>
        </m:r>
        <m:r>
          <m:t>v</m:t>
        </m:r>
        <m:r>
          <m:t>₁</m:t>
        </m:r>
        <m:r>
          <m:t>(</m:t>
        </m:r>
        <m:r>
          <m:t>X</m:t>
        </m:r>
        <m:r>
          <m:t>)</m:t>
        </m:r>
        <m:r>
          <m:t>)</m:t>
        </m:r>
        <m:r>
          <m:t> </m:t>
        </m:r>
        <m:r>
          <m:t>−</m:t>
        </m:r>
        <m:r>
          <m:t> </m:t>
        </m:r>
        <m:r>
          <m:t>g</m:t>
        </m:r>
        <m:r>
          <m:t>₂</m:t>
        </m:r>
        <m:r>
          <m:t>(</m:t>
        </m:r>
        <m:r>
          <m:t>v</m:t>
        </m:r>
        <m:r>
          <m:t>₂</m:t>
        </m:r>
        <m:r>
          <m:t>(</m:t>
        </m:r>
        <m:r>
          <m:t>X</m:t>
        </m:r>
        <m:r>
          <m:t>)</m:t>
        </m:r>
        <m:r>
          <m:t>)</m:t>
        </m:r>
        <m:r>
          <m:t>‖</m:t>
        </m:r>
        <m:r>
          <m:t>²</m:t>
        </m:r>
      </m:oMath>
    </w:p>
    <w:p>
      <w:pPr>
        <w:snapToGrid w:val="0"/>
      </w:pPr>
      <w:r>
        <w:t>v₁、v₂产生视图，g₁、g₂得到对齐表示。假定训练设计使正常视图一致，那么正常表示(1,1)与(1.1,0.9)的差异为0.02；异常表示(1,1)与(2,0)的差异为2。分数方向必须由具体方法确认，不能把所有对比损失都直接当成异常分数。</w:t>
      </w:r>
    </w:p>
    <w:p>
      <w:pPr>
        <w:snapToGrid w:val="0"/>
      </w:pPr>
      <w:r>
        <w:t>增强必须保持要检测的异常语义。若随机打乱通道或时间被当作“正常等价变化”，可能恰好消除本研究希望识别的③或时间依赖异常。增强策略因此是一项实质假设。</w:t>
      </w:r>
    </w:p>
    <w:p>
      <w:pPr>
        <w:pStyle w:val="Heading3"/>
        <w:snapToGrid w:val="0"/>
      </w:pPr>
      <w:r>
        <w:t>方法之间的重要差异</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代表</w:t>
            </w:r>
          </w:p>
        </w:tc>
        <w:tc>
          <w:tcPr>
            <w:tcW w:type="dxa" w:w="3500"/>
            <w:vAlign w:val="center"/>
            <w:shd w:fill="E8EEF5"/>
          </w:tcPr>
          <w:p>
            <w:pPr>
              <w:pStyle w:val="TableText"/>
              <w:keepNext/>
            </w:pPr>
            <w:r>
              <w:rPr>
                <w:b/>
                <w:color w:val="1F4D78"/>
              </w:rPr>
              <w:t>综述描述的机制</w:t>
            </w:r>
          </w:p>
        </w:tc>
        <w:tc>
          <w:tcPr>
            <w:tcW w:type="dxa" w:w="3810"/>
            <w:vAlign w:val="center"/>
            <w:shd w:fill="E8EEF5"/>
          </w:tcPr>
          <w:p>
            <w:pPr>
              <w:pStyle w:val="TableText"/>
              <w:keepNext/>
            </w:pPr>
            <w:r>
              <w:rPr>
                <w:b/>
                <w:color w:val="1F4D78"/>
              </w:rPr>
              <w:t>不能混同的地方</w:t>
            </w:r>
          </w:p>
        </w:tc>
      </w:tr>
      <w:tr>
        <w:trPr>
          <w:cantSplit/>
        </w:trPr>
        <w:tc>
          <w:tcPr>
            <w:tcW w:type="dxa" w:w="2050"/>
            <w:vAlign w:val="center"/>
          </w:tcPr>
          <w:p>
            <w:pPr>
              <w:pStyle w:val="TableText"/>
              <w:keepNext/>
            </w:pPr>
            <w:r>
              <w:t>DCdetector</w:t>
            </w:r>
          </w:p>
        </w:tc>
        <w:tc>
          <w:tcPr>
            <w:tcW w:type="dxa" w:w="3500"/>
            <w:vAlign w:val="center"/>
          </w:tcPr>
          <w:p>
            <w:pPr>
              <w:pStyle w:val="TableText"/>
              <w:keepNext/>
            </w:pPr>
            <w:r>
              <w:t>patch内与patch间双注意力表示</w:t>
            </w:r>
          </w:p>
        </w:tc>
        <w:tc>
          <w:tcPr>
            <w:tcW w:type="dxa" w:w="3810"/>
            <w:vAlign w:val="center"/>
          </w:tcPr>
          <w:p>
            <w:pPr>
              <w:pStyle w:val="TableText"/>
              <w:keepNext/>
            </w:pPr>
            <w:r>
              <w:t>纯对比目标 不应套成普通AE重构分数</w:t>
            </w:r>
          </w:p>
        </w:tc>
      </w:tr>
      <w:tr>
        <w:trPr>
          <w:cantSplit/>
        </w:trPr>
        <w:tc>
          <w:tcPr>
            <w:tcW w:type="dxa" w:w="2050"/>
            <w:vAlign w:val="center"/>
          </w:tcPr>
          <w:p>
            <w:pPr>
              <w:pStyle w:val="TableText"/>
              <w:keepNext/>
            </w:pPr>
            <w:r>
              <w:t>PatchAD</w:t>
            </w:r>
          </w:p>
        </w:tc>
        <w:tc>
          <w:tcPr>
            <w:tcW w:type="dxa" w:w="3500"/>
            <w:vAlign w:val="center"/>
          </w:tcPr>
          <w:p>
            <w:pPr>
              <w:pStyle w:val="TableText"/>
              <w:keepNext/>
            </w:pPr>
            <w:r>
              <w:t>MLP Mixer与双投影约束</w:t>
            </w:r>
          </w:p>
        </w:tc>
        <w:tc>
          <w:tcPr>
            <w:tcW w:type="dxa" w:w="3810"/>
            <w:vAlign w:val="center"/>
          </w:tcPr>
          <w:p>
            <w:pPr>
              <w:pStyle w:val="TableText"/>
              <w:keepNext/>
            </w:pPr>
            <w:r>
              <w:t>简单骨干仍需检验增强和尺度选择</w:t>
            </w:r>
          </w:p>
        </w:tc>
      </w:tr>
      <w:tr>
        <w:trPr>
          <w:cantSplit/>
        </w:trPr>
        <w:tc>
          <w:tcPr>
            <w:tcW w:type="dxa" w:w="2050"/>
            <w:vAlign w:val="center"/>
          </w:tcPr>
          <w:p>
            <w:pPr>
              <w:pStyle w:val="TableText"/>
              <w:keepNext/>
            </w:pPr>
            <w:r>
              <w:t>AnomalyLLM 原文参考文献58</w:t>
            </w:r>
          </w:p>
        </w:tc>
        <w:tc>
          <w:tcPr>
            <w:tcW w:type="dxa" w:w="3500"/>
            <w:vAlign w:val="center"/>
          </w:tcPr>
          <w:p>
            <w:pPr>
              <w:pStyle w:val="TableText"/>
              <w:keepNext/>
            </w:pPr>
            <w:r>
              <w:t>教师学生差异 原型和人工异常增强</w:t>
            </w:r>
          </w:p>
        </w:tc>
        <w:tc>
          <w:tcPr>
            <w:tcW w:type="dxa" w:w="3810"/>
            <w:vAlign w:val="center"/>
          </w:tcPr>
          <w:p>
            <w:pPr>
              <w:pStyle w:val="TableText"/>
              <w:keepNext/>
            </w:pPr>
            <w:r>
              <w:t>依赖预训练模型及其表示 不等于调用聊天接口</w:t>
            </w:r>
          </w:p>
        </w:tc>
      </w:tr>
      <w:tr>
        <w:trPr>
          <w:cantSplit/>
        </w:trPr>
        <w:tc>
          <w:tcPr>
            <w:tcW w:type="dxa" w:w="2050"/>
            <w:vAlign w:val="center"/>
          </w:tcPr>
          <w:p>
            <w:pPr>
              <w:pStyle w:val="TableText"/>
              <w:keepNext/>
            </w:pPr>
            <w:r>
              <w:t>AnomalyLLM 原文参考文献56</w:t>
            </w:r>
          </w:p>
        </w:tc>
        <w:tc>
          <w:tcPr>
            <w:tcW w:type="dxa" w:w="3500"/>
            <w:vAlign w:val="center"/>
          </w:tcPr>
          <w:p>
            <w:pPr>
              <w:pStyle w:val="TableText"/>
              <w:keepNext/>
            </w:pPr>
            <w:r>
              <w:t>动态图边表示与LLM重编程</w:t>
            </w:r>
          </w:p>
        </w:tc>
        <w:tc>
          <w:tcPr>
            <w:tcW w:type="dxa" w:w="3810"/>
            <w:vAlign w:val="center"/>
          </w:tcPr>
          <w:p>
            <w:pPr>
              <w:pStyle w:val="TableText"/>
              <w:keepNext/>
            </w:pPr>
            <w:r>
              <w:t>同名但不同工作 不可把动态图输入直接当传感器矩阵</w:t>
            </w:r>
          </w:p>
        </w:tc>
      </w:tr>
      <w:tr>
        <w:trPr>
          <w:cantSplit/>
        </w:trPr>
        <w:tc>
          <w:tcPr>
            <w:tcW w:type="dxa" w:w="2050"/>
            <w:vAlign w:val="center"/>
          </w:tcPr>
          <w:p>
            <w:pPr>
              <w:pStyle w:val="TableText"/>
            </w:pPr>
            <w:r>
              <w:t>SimAD RESTAD</w:t>
            </w:r>
          </w:p>
        </w:tc>
        <w:tc>
          <w:tcPr>
            <w:tcW w:type="dxa" w:w="3500"/>
            <w:vAlign w:val="center"/>
          </w:tcPr>
          <w:p>
            <w:pPr>
              <w:pStyle w:val="TableText"/>
            </w:pPr>
            <w:r>
              <w:t>表示学习结合重构或RBF相似度</w:t>
            </w:r>
          </w:p>
        </w:tc>
        <w:tc>
          <w:tcPr>
            <w:tcW w:type="dxa" w:w="3810"/>
            <w:vAlign w:val="center"/>
          </w:tcPr>
          <w:p>
            <w:pPr>
              <w:pStyle w:val="TableText"/>
            </w:pPr>
            <w:r>
              <w:t>属于混合依据 不能仅标纯对比</w:t>
            </w:r>
          </w:p>
        </w:tc>
      </w:tr>
    </w:tbl>
    <w:p>
      <w:pPr>
        <w:spacing w:after="0"/>
        <w:snapToGrid w:val="0"/>
      </w:pPr>
    </w:p>
    <w:p>
      <w:pPr>
        <w:snapToGrid w:val="0"/>
      </w:pPr>
      <w:r>
        <w:t>两篇AnomalyLLM在第6.1节被作者明确说明为不同方法，虽然同名，不应去重成一篇。aLLM4TS的描述又包含连续预训练和多patch预测，进一步说明章节分类不等于互斥算法定义。</w:t>
      </w:r>
    </w:p>
    <w:p>
      <w:pPr>
        <w:pStyle w:val="Heading3"/>
        <w:snapToGrid w:val="0"/>
      </w:pPr>
      <w:r>
        <w:t>本节结论</w:t>
      </w:r>
    </w:p>
    <w:p>
      <w:pPr>
        <w:pStyle w:val="ReportBullet"/>
        <w:keepNext/>
        <w:numPr>
          <w:ilvl w:val="0"/>
          <w:numId w:val="51"/>
        </w:numPr>
        <w:snapToGrid w:val="0"/>
      </w:pPr>
      <w:r>
        <w:t>表示一致性提供了预测和重构以外的检测信号。</w:t>
      </w:r>
    </w:p>
    <w:p>
      <w:pPr>
        <w:pStyle w:val="ReportBullet"/>
        <w:keepNext/>
        <w:numPr>
          <w:ilvl w:val="0"/>
          <w:numId w:val="51"/>
        </w:numPr>
        <w:snapToGrid w:val="0"/>
      </w:pPr>
      <w:r>
        <w:t>对比学习不一定需要人工异常标签，也不一定采用显式负样本。</w:t>
      </w:r>
    </w:p>
    <w:p>
      <w:pPr>
        <w:pStyle w:val="ReportBullet"/>
        <w:numPr>
          <w:ilvl w:val="0"/>
          <w:numId w:val="51"/>
        </w:numPr>
        <w:snapToGrid w:val="0"/>
      </w:pPr>
      <w:r>
        <w:t>LLM路线是候选方向，综述没有证明其对社内数据性价比更高。</w:t>
      </w:r>
    </w:p>
    <w:p>
      <w:pPr>
        <w:pStyle w:val="Heading2"/>
        <w:snapToGrid w:val="0"/>
      </w:pPr>
      <w:r>
        <w:t>8 数据章节和未来方向的精读</w:t>
      </w:r>
    </w:p>
    <w:p>
      <w:pPr>
        <w:snapToGrid w:val="0"/>
      </w:pPr>
      <w:r>
        <w:t>第7节按天文、航天、环境、IoT、金融、网络安全、工业控制、医疗、服务器、基础设施组织资源。它的作用是显示应用广度，但同一领域不等于同一统计任务。[S1，第7节及表2]</w:t>
      </w:r>
    </w:p>
    <w:p>
      <w:pPr>
        <w:snapToGrid w:val="0"/>
      </w:pPr>
      <w:r>
        <w:t>样本数、实体数、变量数是三个不同概念。例如SMD的28个实体是不同机器，每台有38维；不能把28×38理解为每个样本同时有1064个传感器。序列总点数也不能直接当作独立窗口训练样本数，滑窗产生的样本高度重叠。</w:t>
      </w:r>
    </w:p>
    <w:p>
      <w:pPr>
        <w:snapToGrid w:val="0"/>
      </w:pPr>
      <w:r>
        <w:t>表2没有统一训练测试口径：有些数量接近某个处理版本或分区，有些是全集；异常率也没有给出对所有条目一致的分母。Ionosphere、Arrhythmia、Thyroid等条目不能仅凭列在表中就视为带等间隔时间轴的多变量时序。正文医疗段落还提到ECG记录，而表格Arrhythmia的452样本、274维是另一种数据表示，下载前必须匹配版本。</w:t>
      </w:r>
    </w:p>
    <w:p>
      <w:pPr>
        <w:snapToGrid w:val="0"/>
      </w:pPr>
      <w:r>
        <w:t>第8节提出差异建模、领域知识、基准和指标、LLM四个方向。对本研究，最直接的是把物理关系和正常工况用于③检测，并建立明确划分的数据；LLM属于更远的探索项。全文没有统一性能表，没有给出一个可直接采用的最佳阈值或实时延迟上限。</w:t>
      </w:r>
    </w:p>
    <w:p>
      <w:pPr>
        <w:pStyle w:val="Heading3"/>
        <w:snapToGrid w:val="0"/>
      </w:pPr>
      <w:r>
        <w:t>本节结论</w:t>
      </w:r>
    </w:p>
    <w:p>
      <w:pPr>
        <w:pStyle w:val="ReportBullet"/>
        <w:keepNext/>
        <w:numPr>
          <w:ilvl w:val="0"/>
          <w:numId w:val="51"/>
        </w:numPr>
        <w:snapToGrid w:val="0"/>
      </w:pPr>
      <w:r>
        <w:t>数据目录是入口，不能代替每个数据版本的说明文件。</w:t>
      </w:r>
    </w:p>
    <w:p>
      <w:pPr>
        <w:pStyle w:val="ReportBullet"/>
        <w:keepNext/>
        <w:numPr>
          <w:ilvl w:val="0"/>
          <w:numId w:val="51"/>
        </w:numPr>
        <w:snapToGrid w:val="0"/>
      </w:pPr>
      <w:r>
        <w:t>本文没有完成异常标签到①②③的逐样本映射。</w:t>
      </w:r>
    </w:p>
    <w:p>
      <w:pPr>
        <w:pStyle w:val="ReportBullet"/>
        <w:numPr>
          <w:ilvl w:val="0"/>
          <w:numId w:val="51"/>
        </w:numPr>
        <w:snapToGrid w:val="0"/>
      </w:pPr>
      <w:r>
        <w:t>后续应优先补实验定义和阈值校准，再比较复杂网络。</w:t>
      </w:r>
    </w:p>
    <w:p>
      <w:pPr>
        <w:pStyle w:val="Heading1"/>
        <w:pageBreakBefore/>
        <w:snapToGrid w:val="0"/>
      </w:pPr>
      <w:r>
        <w:t>第二部分 日本語研究報告</w:t>
      </w:r>
    </w:p>
    <w:p>
      <w:pPr>
        <w:pStyle w:val="Heading2"/>
        <w:snapToGrid w:val="0"/>
      </w:pPr>
      <w:r>
        <w:t>1 文献情報と調査結果</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項目</w:t>
            </w:r>
          </w:p>
        </w:tc>
        <w:tc>
          <w:tcPr>
            <w:tcW w:type="dxa" w:w="6960"/>
            <w:vAlign w:val="center"/>
            <w:shd w:fill="E8EEF5"/>
          </w:tcPr>
          <w:p>
            <w:pPr>
              <w:pStyle w:val="TableText"/>
            </w:pPr>
            <w:r>
              <w:rPr>
                <w:b/>
                <w:color w:val="1F4D78"/>
              </w:rPr>
              <w:t>内容</w:t>
            </w:r>
          </w:p>
        </w:tc>
      </w:tr>
      <w:tr>
        <w:trPr>
          <w:cantSplit/>
        </w:trPr>
        <w:tc>
          <w:tcPr>
            <w:tcW w:type="dxa" w:w="2400"/>
            <w:vAlign w:val="center"/>
          </w:tcPr>
          <w:p>
            <w:pPr>
              <w:pStyle w:val="TableText"/>
            </w:pPr>
            <w:r>
              <w:t>論文名</w:t>
            </w:r>
          </w:p>
        </w:tc>
        <w:tc>
          <w:tcPr>
            <w:tcW w:type="dxa" w:w="6960"/>
            <w:vAlign w:val="center"/>
          </w:tcPr>
          <w:p>
            <w:pPr>
              <w:pStyle w:val="TableText"/>
            </w:pPr>
            <w:r>
              <w:t>A Survey of Deep Anomaly Detection in Multivariate Time Series: Taxonomy, Applications, and Directions</w:t>
            </w:r>
          </w:p>
        </w:tc>
      </w:tr>
      <w:tr>
        <w:trPr>
          <w:cantSplit/>
        </w:trPr>
        <w:tc>
          <w:tcPr>
            <w:tcW w:type="dxa" w:w="2400"/>
            <w:vAlign w:val="center"/>
          </w:tcPr>
          <w:p>
            <w:pPr>
              <w:pStyle w:val="TableText"/>
            </w:pPr>
            <w:r>
              <w:t>著者</w:t>
            </w:r>
          </w:p>
        </w:tc>
        <w:tc>
          <w:tcPr>
            <w:tcW w:type="dxa" w:w="6960"/>
            <w:vAlign w:val="center"/>
          </w:tcPr>
          <w:p>
            <w:pPr>
              <w:pStyle w:val="TableText"/>
            </w:pPr>
            <w:r>
              <w:t>Fengling Wang Yiyue Jiang Rongjie Zhang Aimin Wei Jingming Xie Xiongwen Pang</w:t>
            </w:r>
          </w:p>
        </w:tc>
      </w:tr>
      <w:tr>
        <w:trPr>
          <w:cantSplit/>
        </w:trPr>
        <w:tc>
          <w:tcPr>
            <w:tcW w:type="dxa" w:w="2400"/>
            <w:vAlign w:val="center"/>
          </w:tcPr>
          <w:p>
            <w:pPr>
              <w:pStyle w:val="TableText"/>
            </w:pPr>
            <w:r>
              <w:t>発表年と発表先</w:t>
            </w:r>
          </w:p>
        </w:tc>
        <w:tc>
          <w:tcPr>
            <w:tcW w:type="dxa" w:w="6960"/>
            <w:vAlign w:val="center"/>
          </w:tcPr>
          <w:p>
            <w:pPr>
              <w:pStyle w:val="TableText"/>
            </w:pPr>
            <w:r>
              <w:t>2025年 Sensors 25巻 1号 論文番号190 2025年1月1日公開</w:t>
            </w:r>
          </w:p>
        </w:tc>
      </w:tr>
      <w:tr>
        <w:trPr>
          <w:cantSplit/>
        </w:trPr>
        <w:tc>
          <w:tcPr>
            <w:tcW w:type="dxa" w:w="2400"/>
            <w:vAlign w:val="center"/>
          </w:tcPr>
          <w:p>
            <w:pPr>
              <w:pStyle w:val="TableText"/>
            </w:pPr>
            <w:r>
              <w:t>DOI</w:t>
            </w:r>
          </w:p>
        </w:tc>
        <w:tc>
          <w:tcPr>
            <w:tcW w:type="dxa" w:w="6960"/>
            <w:vAlign w:val="center"/>
          </w:tcPr>
          <w:p>
            <w:pPr>
              <w:pStyle w:val="TableText"/>
            </w:pPr>
            <w:r>
              <w:t>10.3390/s25010190</w:t>
            </w:r>
          </w:p>
        </w:tc>
      </w:tr>
      <w:tr>
        <w:trPr>
          <w:cantSplit/>
        </w:trPr>
        <w:tc>
          <w:tcPr>
            <w:tcW w:type="dxa" w:w="2400"/>
            <w:vAlign w:val="center"/>
          </w:tcPr>
          <w:p>
            <w:pPr>
              <w:pStyle w:val="TableText"/>
            </w:pPr>
            <w:r>
              <w:t>論文種別</w:t>
            </w:r>
          </w:p>
        </w:tc>
        <w:tc>
          <w:tcPr>
            <w:tcW w:type="dxa" w:w="6960"/>
            <w:vAlign w:val="center"/>
          </w:tcPr>
          <w:p>
            <w:pPr>
              <w:pStyle w:val="TableText"/>
            </w:pPr>
            <w:r>
              <w:t>Review 多変量時系列異常検知のサーベイ</w:t>
            </w:r>
          </w:p>
        </w:tc>
      </w:tr>
      <w:tr>
        <w:trPr>
          <w:cantSplit/>
        </w:trPr>
        <w:tc>
          <w:tcPr>
            <w:tcW w:type="dxa" w:w="2400"/>
            <w:vAlign w:val="center"/>
          </w:tcPr>
          <w:p>
            <w:pPr>
              <w:pStyle w:val="TableText"/>
            </w:pPr>
            <w:r>
              <w:t>対象範囲</w:t>
            </w:r>
          </w:p>
        </w:tc>
        <w:tc>
          <w:tcPr>
            <w:tcW w:type="dxa" w:w="6960"/>
            <w:vAlign w:val="center"/>
          </w:tcPr>
          <w:p>
            <w:pPr>
              <w:pStyle w:val="TableText"/>
            </w:pPr>
            <w:r>
              <w:t>予測 再構成 対比学習を中心とした46モデル条目と33データ条目</w:t>
            </w:r>
          </w:p>
        </w:tc>
      </w:tr>
      <w:tr>
        <w:trPr>
          <w:cantSplit/>
        </w:trPr>
        <w:tc>
          <w:tcPr>
            <w:tcW w:type="dxa" w:w="2400"/>
            <w:vAlign w:val="center"/>
          </w:tcPr>
          <w:p>
            <w:pPr>
              <w:pStyle w:val="TableText"/>
            </w:pPr>
            <w:r>
              <w:t>本研究での位置付け</w:t>
            </w:r>
          </w:p>
        </w:tc>
        <w:tc>
          <w:tcPr>
            <w:tcW w:type="dxa" w:w="6960"/>
            <w:vAlign w:val="center"/>
          </w:tcPr>
          <w:p>
            <w:pPr>
              <w:pStyle w:val="TableText"/>
            </w:pPr>
            <w:r>
              <w:t>手法分類と次の精読候補の選定に利用</w:t>
            </w:r>
          </w:p>
        </w:tc>
      </w:tr>
      <w:tr>
        <w:trPr>
          <w:cantSplit/>
        </w:trPr>
        <w:tc>
          <w:tcPr>
            <w:tcW w:type="dxa" w:w="2400"/>
            <w:vAlign w:val="center"/>
          </w:tcPr>
          <w:p>
            <w:pPr>
              <w:pStyle w:val="TableText"/>
            </w:pPr>
            <w:r>
              <w:t>主な制限</w:t>
            </w:r>
          </w:p>
        </w:tc>
        <w:tc>
          <w:tcPr>
            <w:tcW w:type="dxa" w:w="6960"/>
            <w:vAlign w:val="center"/>
          </w:tcPr>
          <w:p>
            <w:pPr>
              <w:pStyle w:val="TableText"/>
            </w:pPr>
            <w:r>
              <w:t>統一条件の再実験なし 対象業務AIの予測信頼性との対応は未検証</w:t>
            </w:r>
          </w:p>
        </w:tc>
      </w:tr>
    </w:tbl>
    <w:p>
      <w:pPr>
        <w:spacing w:after="0"/>
        <w:snapToGrid w:val="0"/>
      </w:pPr>
    </w:p>
    <w:p>
      <w:pPr>
        <w:snapToGrid w:val="0"/>
      </w:pPr>
      <w:r>
        <w:t>本論文は、時系列の正常な振る舞いからの逸脱を広く扱う。学習外入力の検知に利用可能な候補は多いが、異常スコアが高いことと末端圧力推定モデルの誤差が大きいことは同義ではない。[S1]</w:t>
      </w:r>
    </w:p>
    <w:p>
      <w:pPr>
        <w:pStyle w:val="Heading2"/>
        <w:snapToGrid w:val="0"/>
      </w:pPr>
      <w:r>
        <w:t>2 学習外の定義と分類標準</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調査項目</w:t>
            </w:r>
          </w:p>
        </w:tc>
        <w:tc>
          <w:tcPr>
            <w:tcW w:type="dxa" w:w="3500"/>
            <w:vAlign w:val="center"/>
            <w:shd w:fill="E8EEF5"/>
          </w:tcPr>
          <w:p>
            <w:pPr>
              <w:pStyle w:val="TableText"/>
              <w:keepNext/>
            </w:pPr>
            <w:r>
              <w:rPr>
                <w:b/>
                <w:color w:val="1F4D78"/>
              </w:rPr>
              <w:t>本論文との対応</w:t>
            </w:r>
          </w:p>
        </w:tc>
        <w:tc>
          <w:tcPr>
            <w:tcW w:type="dxa" w:w="3810"/>
            <w:vAlign w:val="center"/>
            <w:shd w:fill="E8EEF5"/>
          </w:tcPr>
          <w:p>
            <w:pPr>
              <w:pStyle w:val="TableText"/>
              <w:keepNext/>
            </w:pPr>
            <w:r>
              <w:rPr>
                <w:b/>
                <w:color w:val="1F4D78"/>
              </w:rPr>
              <w:t>研究上の判断</w:t>
            </w:r>
          </w:p>
        </w:tc>
      </w:tr>
      <w:tr>
        <w:trPr>
          <w:cantSplit/>
        </w:trPr>
        <w:tc>
          <w:tcPr>
            <w:tcW w:type="dxa" w:w="2050"/>
            <w:vAlign w:val="center"/>
          </w:tcPr>
          <w:p>
            <w:pPr>
              <w:pStyle w:val="TableText"/>
              <w:keepNext/>
            </w:pPr>
            <w:r>
              <w:t>① 入力分布または範囲からの逸脱</w:t>
            </w:r>
          </w:p>
        </w:tc>
        <w:tc>
          <w:tcPr>
            <w:tcW w:type="dxa" w:w="3500"/>
            <w:vAlign w:val="center"/>
          </w:tcPr>
          <w:p>
            <w:pPr>
              <w:pStyle w:val="TableText"/>
              <w:keepNext/>
            </w:pPr>
            <w:r>
              <w:t>大域的点異常や時間パターンの逸脱と関連</w:t>
            </w:r>
          </w:p>
        </w:tc>
        <w:tc>
          <w:tcPr>
            <w:tcW w:type="dxa" w:w="3810"/>
            <w:vAlign w:val="center"/>
          </w:tcPr>
          <w:p>
            <w:pPr>
              <w:pStyle w:val="TableText"/>
              <w:keepNext/>
            </w:pPr>
            <w:r>
              <w:t>何を入力とするかを固定して判定する</w:t>
            </w:r>
          </w:p>
        </w:tc>
      </w:tr>
      <w:tr>
        <w:trPr>
          <w:cantSplit/>
        </w:trPr>
        <w:tc>
          <w:tcPr>
            <w:tcW w:type="dxa" w:w="2050"/>
            <w:vAlign w:val="center"/>
          </w:tcPr>
          <w:p>
            <w:pPr>
              <w:pStyle w:val="TableText"/>
              <w:keepNext/>
            </w:pPr>
            <w:r>
              <w:t>② データが少ない未学習領域</w:t>
            </w:r>
          </w:p>
        </w:tc>
        <w:tc>
          <w:tcPr>
            <w:tcW w:type="dxa" w:w="3500"/>
            <w:vAlign w:val="center"/>
          </w:tcPr>
          <w:p>
            <w:pPr>
              <w:pStyle w:val="TableText"/>
              <w:keepNext/>
            </w:pPr>
            <w:r>
              <w:t>独立した異常型として定義されていない</w:t>
            </w:r>
          </w:p>
        </w:tc>
        <w:tc>
          <w:tcPr>
            <w:tcW w:type="dxa" w:w="3810"/>
            <w:vAlign w:val="center"/>
          </w:tcPr>
          <w:p>
            <w:pPr>
              <w:pStyle w:val="TableText"/>
              <w:keepNext/>
            </w:pPr>
            <w:r>
              <w:t>学習密度と対象AIの誤差を追加評価する</w:t>
            </w:r>
          </w:p>
        </w:tc>
      </w:tr>
      <w:tr>
        <w:trPr>
          <w:cantSplit/>
        </w:trPr>
        <w:tc>
          <w:tcPr>
            <w:tcW w:type="dxa" w:w="2050"/>
            <w:vAlign w:val="center"/>
          </w:tcPr>
          <w:p>
            <w:pPr>
              <w:pStyle w:val="TableText"/>
              <w:keepNext/>
            </w:pPr>
            <w:r>
              <w:t>③ 項目間の組合せや相関の変化</w:t>
            </w:r>
          </w:p>
        </w:tc>
        <w:tc>
          <w:tcPr>
            <w:tcW w:type="dxa" w:w="3500"/>
            <w:vAlign w:val="center"/>
          </w:tcPr>
          <w:p>
            <w:pPr>
              <w:pStyle w:val="TableText"/>
              <w:keepNext/>
            </w:pPr>
            <w:r>
              <w:t>intermetric anomaliesと直接対応</w:t>
            </w:r>
          </w:p>
        </w:tc>
        <w:tc>
          <w:tcPr>
            <w:tcW w:type="dxa" w:w="3810"/>
            <w:vAlign w:val="center"/>
          </w:tcPr>
          <w:p>
            <w:pPr>
              <w:pStyle w:val="TableText"/>
              <w:keepNext/>
            </w:pPr>
            <w:r>
              <w:t>単変量変化を伴わない評価例が必要</w:t>
            </w:r>
          </w:p>
        </w:tc>
      </w:tr>
      <w:tr>
        <w:trPr>
          <w:cantSplit/>
        </w:trPr>
        <w:tc>
          <w:tcPr>
            <w:tcW w:type="dxa" w:w="2050"/>
            <w:vAlign w:val="center"/>
          </w:tcPr>
          <w:p>
            <w:pPr>
              <w:pStyle w:val="TableText"/>
              <w:keepNext/>
            </w:pPr>
            <w:r>
              <w:t>Point contextual collective</w:t>
            </w:r>
          </w:p>
        </w:tc>
        <w:tc>
          <w:tcPr>
            <w:tcW w:type="dxa" w:w="3500"/>
            <w:vAlign w:val="center"/>
          </w:tcPr>
          <w:p>
            <w:pPr>
              <w:pStyle w:val="TableText"/>
              <w:keepNext/>
            </w:pPr>
            <w:r>
              <w:t>本文の点 局所 文脈 パターン異常と関連</w:t>
            </w:r>
          </w:p>
        </w:tc>
        <w:tc>
          <w:tcPr>
            <w:tcW w:type="dxa" w:w="3810"/>
            <w:vAlign w:val="center"/>
          </w:tcPr>
          <w:p>
            <w:pPr>
              <w:pStyle w:val="TableText"/>
              <w:keepNext/>
            </w:pPr>
            <w:r>
              <w:t>①②③とは別列で記録する</w:t>
            </w:r>
          </w:p>
        </w:tc>
      </w:tr>
      <w:tr>
        <w:trPr>
          <w:cantSplit/>
        </w:trPr>
        <w:tc>
          <w:tcPr>
            <w:tcW w:type="dxa" w:w="2050"/>
            <w:vAlign w:val="center"/>
          </w:tcPr>
          <w:p>
            <w:pPr>
              <w:pStyle w:val="TableText"/>
            </w:pPr>
            <w:r>
              <w:t>分布変化</w:t>
            </w:r>
          </w:p>
        </w:tc>
        <w:tc>
          <w:tcPr>
            <w:tcW w:type="dxa" w:w="3500"/>
            <w:vAlign w:val="center"/>
          </w:tcPr>
          <w:p>
            <w:pPr>
              <w:pStyle w:val="TableText"/>
            </w:pPr>
            <w:r>
              <w:t>正常動作変更も故障も含み得る</w:t>
            </w:r>
          </w:p>
        </w:tc>
        <w:tc>
          <w:tcPr>
            <w:tcW w:type="dxa" w:w="3810"/>
            <w:vAlign w:val="center"/>
          </w:tcPr>
          <w:p>
            <w:pPr>
              <w:pStyle w:val="TableText"/>
            </w:pPr>
            <w:r>
              <w:t>変化検知と異常判定と更新判断を分離する</w:t>
            </w:r>
          </w:p>
        </w:tc>
      </w:tr>
    </w:tbl>
    <w:p>
      <w:pPr>
        <w:spacing w:after="0"/>
        <w:snapToGrid w:val="0"/>
      </w:pPr>
    </w:p>
    <w:p>
      <w:pPr>
        <w:snapToGrid w:val="0"/>
      </w:pPr>
      <w:r>
        <w:t>本研究では、検知根拠、利用情報、依存関係、入力単位、学習ラベル、出力粒度、オンライン条件の七つの軸を採用する。予測誤差型や再構成型であっても、密度や関連性のスコアを併用する場合は複数タグを付ける。</w:t>
      </w:r>
    </w:p>
    <w:p>
      <w:pPr>
        <w:pStyle w:val="Heading2"/>
        <w:snapToGrid w:val="0"/>
      </w:pPr>
      <w:r>
        <w:t>3 手法群の統一比較</w:t>
      </w:r>
    </w:p>
    <w:p>
      <w:pPr>
        <w:snapToGrid w:val="0"/>
      </w:pPr>
      <w:r>
        <w:t>以下はサーベイから整理した一般的な構成であり、個々の論文の実装条件を一律に保証するものではない。[S1，第4至6節]</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手法群</w:t>
            </w:r>
          </w:p>
        </w:tc>
        <w:tc>
          <w:tcPr>
            <w:tcW w:type="dxa" w:w="3500"/>
            <w:vAlign w:val="center"/>
            <w:shd w:fill="E8EEF5"/>
          </w:tcPr>
          <w:p>
            <w:pPr>
              <w:pStyle w:val="TableText"/>
            </w:pPr>
            <w:r>
              <w:rPr>
                <w:b/>
                <w:color w:val="1F4D78"/>
              </w:rPr>
              <w:t>学習時と運用時に必要な情報</w:t>
            </w:r>
          </w:p>
        </w:tc>
        <w:tc>
          <w:tcPr>
            <w:tcW w:type="dxa" w:w="3810"/>
            <w:vAlign w:val="center"/>
            <w:shd w:fill="E8EEF5"/>
          </w:tcPr>
          <w:p>
            <w:pPr>
              <w:pStyle w:val="TableText"/>
            </w:pPr>
            <w:r>
              <w:rPr>
                <w:b/>
                <w:color w:val="1F4D78"/>
              </w:rPr>
              <w:t>スコアと適用上の特徴</w:t>
            </w:r>
          </w:p>
        </w:tc>
      </w:tr>
      <w:tr>
        <w:trPr>
          <w:cantSplit/>
        </w:trPr>
        <w:tc>
          <w:tcPr>
            <w:tcW w:type="dxa" w:w="2050"/>
            <w:vAlign w:val="center"/>
          </w:tcPr>
          <w:p>
            <w:pPr>
              <w:pStyle w:val="TableText"/>
            </w:pPr>
            <w:r>
              <w:t>予測誤差</w:t>
            </w:r>
          </w:p>
        </w:tc>
        <w:tc>
          <w:tcPr>
            <w:tcW w:type="dxa" w:w="3500"/>
            <w:vAlign w:val="center"/>
          </w:tcPr>
          <w:p>
            <w:pPr>
              <w:pStyle w:val="TableText"/>
            </w:pPr>
            <w:r>
              <w:t>学習は過去入力と後続観測 運用は過去窓と現在の実測入力</w:t>
            </w:r>
          </w:p>
        </w:tc>
        <w:tc>
          <w:tcPr>
            <w:tcW w:type="dxa" w:w="3810"/>
            <w:vAlign w:val="center"/>
          </w:tcPr>
          <w:p>
            <w:pPr>
              <w:pStyle w:val="TableText"/>
            </w:pPr>
            <w:r>
              <w:t>予測残差 時間依存に適合 観測到着前には残差不可</w:t>
            </w:r>
          </w:p>
        </w:tc>
      </w:tr>
      <w:tr>
        <w:trPr>
          <w:cantSplit/>
        </w:trPr>
        <w:tc>
          <w:tcPr>
            <w:tcW w:type="dxa" w:w="2050"/>
            <w:vAlign w:val="center"/>
          </w:tcPr>
          <w:p>
            <w:pPr>
              <w:pStyle w:val="TableText"/>
            </w:pPr>
            <w:r>
              <w:t>AE再構成</w:t>
            </w:r>
          </w:p>
        </w:tc>
        <w:tc>
          <w:tcPr>
            <w:tcW w:type="dxa" w:w="3500"/>
            <w:vAlign w:val="center"/>
          </w:tcPr>
          <w:p>
            <w:pPr>
              <w:pStyle w:val="TableText"/>
            </w:pPr>
            <w:r>
              <w:t>学習は正常中心の入力 運用は現在までの入力窓</w:t>
            </w:r>
          </w:p>
        </w:tc>
        <w:tc>
          <w:tcPr>
            <w:tcW w:type="dxa" w:w="3810"/>
            <w:vAlign w:val="center"/>
          </w:tcPr>
          <w:p>
            <w:pPr>
              <w:pStyle w:val="TableText"/>
            </w:pPr>
            <w:r>
              <w:t>再構成誤差 異常も再構成できる場合がある</w:t>
            </w:r>
          </w:p>
        </w:tc>
      </w:tr>
      <w:tr>
        <w:trPr>
          <w:cantSplit/>
        </w:trPr>
        <w:tc>
          <w:tcPr>
            <w:tcW w:type="dxa" w:w="2050"/>
            <w:vAlign w:val="center"/>
          </w:tcPr>
          <w:p>
            <w:pPr>
              <w:pStyle w:val="TableText"/>
            </w:pPr>
            <w:r>
              <w:t>確率生成</w:t>
            </w:r>
          </w:p>
        </w:tc>
        <w:tc>
          <w:tcPr>
            <w:tcW w:type="dxa" w:w="3500"/>
            <w:vAlign w:val="center"/>
          </w:tcPr>
          <w:p>
            <w:pPr>
              <w:pStyle w:val="TableText"/>
            </w:pPr>
            <w:r>
              <w:t>学習は入力と分布仮定 運用は入力と潜在推論</w:t>
            </w:r>
          </w:p>
        </w:tc>
        <w:tc>
          <w:tcPr>
            <w:tcW w:type="dxa" w:w="3810"/>
            <w:vAlign w:val="center"/>
          </w:tcPr>
          <w:p>
            <w:pPr>
              <w:pStyle w:val="TableText"/>
            </w:pPr>
            <w:r>
              <w:t>負対数確率等 仮定と近似推論に依存</w:t>
            </w:r>
          </w:p>
        </w:tc>
      </w:tr>
      <w:tr>
        <w:trPr>
          <w:cantSplit/>
        </w:trPr>
        <w:tc>
          <w:tcPr>
            <w:tcW w:type="dxa" w:w="2050"/>
            <w:vAlign w:val="center"/>
          </w:tcPr>
          <w:p>
            <w:pPr>
              <w:pStyle w:val="TableText"/>
            </w:pPr>
            <w:r>
              <w:t>関係行列再構成</w:t>
            </w:r>
          </w:p>
        </w:tc>
        <w:tc>
          <w:tcPr>
            <w:tcW w:type="dxa" w:w="3500"/>
            <w:vAlign w:val="center"/>
          </w:tcPr>
          <w:p>
            <w:pPr>
              <w:pStyle w:val="TableText"/>
            </w:pPr>
            <w:r>
              <w:t>学習は同期した多変量窓 運用は同形式の窓</w:t>
            </w:r>
          </w:p>
        </w:tc>
        <w:tc>
          <w:tcPr>
            <w:tcW w:type="dxa" w:w="3810"/>
            <w:vAlign w:val="center"/>
          </w:tcPr>
          <w:p>
            <w:pPr>
              <w:pStyle w:val="TableText"/>
            </w:pPr>
            <w:r>
              <w:t>関係行列残差 ③に関連 次元増加に注意</w:t>
            </w:r>
          </w:p>
        </w:tc>
      </w:tr>
      <w:tr>
        <w:trPr>
          <w:cantSplit/>
        </w:trPr>
        <w:tc>
          <w:tcPr>
            <w:tcW w:type="dxa" w:w="2050"/>
            <w:vAlign w:val="center"/>
          </w:tcPr>
          <w:p>
            <w:pPr>
              <w:pStyle w:val="TableText"/>
            </w:pPr>
            <w:r>
              <w:t>グラフ予測</w:t>
            </w:r>
          </w:p>
        </w:tc>
        <w:tc>
          <w:tcPr>
            <w:tcW w:type="dxa" w:w="3500"/>
            <w:vAlign w:val="center"/>
          </w:tcPr>
          <w:p>
            <w:pPr>
              <w:pStyle w:val="TableText"/>
            </w:pPr>
            <w:r>
              <w:t>学習は多変量窓と学習または既知のグラフ 運用は入力窓</w:t>
            </w:r>
          </w:p>
        </w:tc>
        <w:tc>
          <w:tcPr>
            <w:tcW w:type="dxa" w:w="3810"/>
            <w:vAlign w:val="center"/>
          </w:tcPr>
          <w:p>
            <w:pPr>
              <w:pStyle w:val="TableText"/>
            </w:pPr>
            <w:r>
              <w:t>変数別残差を集約 依存構造変化に関連</w:t>
            </w:r>
          </w:p>
        </w:tc>
      </w:tr>
      <w:tr>
        <w:trPr>
          <w:cantSplit/>
        </w:trPr>
        <w:tc>
          <w:tcPr>
            <w:tcW w:type="dxa" w:w="2050"/>
            <w:vAlign w:val="center"/>
          </w:tcPr>
          <w:p>
            <w:pPr>
              <w:pStyle w:val="TableText"/>
            </w:pPr>
            <w:r>
              <w:t>対比と整合性</w:t>
            </w:r>
          </w:p>
        </w:tc>
        <w:tc>
          <w:tcPr>
            <w:tcW w:type="dxa" w:w="3500"/>
            <w:vAlign w:val="center"/>
          </w:tcPr>
          <w:p>
            <w:pPr>
              <w:pStyle w:val="TableText"/>
            </w:pPr>
            <w:r>
              <w:t>学習は入力とビュー生成規則 運用は複数表現の計算</w:t>
            </w:r>
          </w:p>
        </w:tc>
        <w:tc>
          <w:tcPr>
            <w:tcW w:type="dxa" w:w="3810"/>
            <w:vAlign w:val="center"/>
          </w:tcPr>
          <w:p>
            <w:pPr>
              <w:pStyle w:val="TableText"/>
            </w:pPr>
            <w:r>
              <w:t>表現差異 増強が異常情報を消す可能性</w:t>
            </w:r>
          </w:p>
        </w:tc>
      </w:tr>
      <w:tr>
        <w:trPr>
          <w:cantSplit/>
        </w:trPr>
        <w:tc>
          <w:tcPr>
            <w:tcW w:type="dxa" w:w="2050"/>
            <w:vAlign w:val="center"/>
          </w:tcPr>
          <w:p>
            <w:pPr>
              <w:pStyle w:val="TableText"/>
            </w:pPr>
            <w:r>
              <w:t>教師生徒差異</w:t>
            </w:r>
          </w:p>
        </w:tc>
        <w:tc>
          <w:tcPr>
            <w:tcW w:type="dxa" w:w="3500"/>
            <w:vAlign w:val="center"/>
          </w:tcPr>
          <w:p>
            <w:pPr>
              <w:pStyle w:val="TableText"/>
            </w:pPr>
            <w:r>
              <w:t>学習は教師モデルと正常入力等 運用は教師生徒の出力</w:t>
            </w:r>
          </w:p>
        </w:tc>
        <w:tc>
          <w:tcPr>
            <w:tcW w:type="dxa" w:w="3810"/>
            <w:vAlign w:val="center"/>
          </w:tcPr>
          <w:p>
            <w:pPr>
              <w:pStyle w:val="TableText"/>
            </w:pPr>
            <w:r>
              <w:t>表現差異 計算量と事前学習への依存</w:t>
            </w:r>
          </w:p>
        </w:tc>
      </w:tr>
      <w:tr>
        <w:trPr>
          <w:cantSplit/>
        </w:trPr>
        <w:tc>
          <w:tcPr>
            <w:tcW w:type="dxa" w:w="2050"/>
            <w:vAlign w:val="center"/>
          </w:tcPr>
          <w:p>
            <w:pPr>
              <w:pStyle w:val="TableText"/>
            </w:pPr>
            <w:r>
              <w:t>時間周波数の混合</w:t>
            </w:r>
          </w:p>
        </w:tc>
        <w:tc>
          <w:tcPr>
            <w:tcW w:type="dxa" w:w="3500"/>
            <w:vAlign w:val="center"/>
          </w:tcPr>
          <w:p>
            <w:pPr>
              <w:pStyle w:val="TableText"/>
            </w:pPr>
            <w:r>
              <w:t>学習と運用で窓および周波数変換</w:t>
            </w:r>
          </w:p>
        </w:tc>
        <w:tc>
          <w:tcPr>
            <w:tcW w:type="dxa" w:w="3810"/>
            <w:vAlign w:val="center"/>
          </w:tcPr>
          <w:p>
            <w:pPr>
              <w:pStyle w:val="TableText"/>
            </w:pPr>
            <w:r>
              <w:t>複数スコアを統合 時刻への対応付けが必要</w:t>
            </w:r>
          </w:p>
        </w:tc>
      </w:tr>
    </w:tbl>
    <w:p>
      <w:pPr>
        <w:spacing w:after="0"/>
        <w:snapToGrid w:val="0"/>
      </w:pPr>
    </w:p>
    <w:p>
      <w:pPr>
        <w:pStyle w:val="Heading3"/>
        <w:snapToGrid w:val="0"/>
      </w:pPr>
      <w:r>
        <w:t>入力だけで検知できるか</w:t>
      </w:r>
    </w:p>
    <w:p>
      <w:pPr>
        <w:snapToGrid w:val="0"/>
      </w:pPr>
      <w:r>
        <w:t>業務AIの入力変数のみで別の検知器を構築する場合、多くの手法は業務AIの内部状態や業務出力を必要としない。ただし検知器自身の内部表現は使用する。「モデル非依存」は対象業務AIに対する性質であり、検知器にモデルがないことではない。</w:t>
      </w:r>
    </w:p>
    <w:p>
      <w:pPr>
        <w:snapToGrid w:val="0"/>
      </w:pPr>
      <w:r>
        <w:t>対象AIの出力誤差を検知根拠にする構成では、正解出力が必要になる。入力変数を予測する構成では、必要なのはその入力変数の現在観測である。この違いを比較表で明記する。</w:t>
      </w:r>
    </w:p>
    <w:p>
      <w:pPr>
        <w:pStyle w:val="Heading3"/>
        <w:snapToGrid w:val="0"/>
      </w:pPr>
      <w:r>
        <w:t>閾値の決定</w:t>
      </w:r>
    </w:p>
    <w:p>
      <w:pPr>
        <w:snapToGrid w:val="0"/>
      </w:pPr>
      <w:r>
        <w:t>本論文は全方式に共通する閾値を定めていない。研究実装では正常校正期間の上側分位点を一つの基準にできる。これは本研究への提案である。</w:t>
      </w:r>
    </w:p>
    <w:p>
      <w:pPr>
        <w:pStyle w:val="EquationText"/>
        <w:jc w:val="center"/>
        <w:snapToGrid w:val="0"/>
      </w:pPr>
      <w:r/>
      <m:oMath>
        <m:r>
          <m:t>τ</m:t>
        </m:r>
        <m:r>
          <m:t> </m:t>
        </m:r>
        <m:r>
          <m:t>=</m:t>
        </m:r>
        <m:r>
          <m:t> </m:t>
        </m:r>
        <m:sSub>
          <m:e>
            <m:r>
              <m:t>Q</m:t>
            </m:r>
          </m:e>
          <m:sub>
            <m:r>
              <m:t>1</m:t>
            </m:r>
            <m:r>
              <m:t>−</m:t>
            </m:r>
            <m:r>
              <m:t>α</m:t>
            </m:r>
          </m:sub>
        </m:sSub>
        <m:r>
          <m:t>(</m:t>
        </m:r>
        <m:r>
          <m:t>{</m:t>
        </m:r>
        <m:sSub>
          <m:e>
            <m:r>
              <m:t>s</m:t>
            </m:r>
          </m:e>
          <m:sub>
            <m:r>
              <m:t>i</m:t>
            </m:r>
          </m:sub>
        </m:sSub>
        <m:r>
          <m:t> </m:t>
        </m:r>
        <m:r>
          <m:t>:</m:t>
        </m:r>
        <m:r>
          <m:t> </m:t>
        </m:r>
        <m:r>
          <m:t>i</m:t>
        </m:r>
        <m:r>
          <m:t> </m:t>
        </m:r>
        <m:r>
          <m:t>∈</m:t>
        </m:r>
        <m:r>
          <m:t> </m:t>
        </m:r>
        <m:sSub>
          <m:e>
            <m:r>
              <m:t>D</m:t>
            </m:r>
          </m:e>
          <m:sub>
            <m:r>
              <m:t>c</m:t>
            </m:r>
          </m:sub>
        </m:sSub>
        <m:r>
          <m:t>a</m:t>
        </m:r>
        <m:r>
          <m:t>l</m:t>
        </m:r>
        <m:r>
          <m:t>}</m:t>
        </m:r>
        <m:r>
          <m:t>)</m:t>
        </m:r>
        <m:r>
          <m:t> </m:t>
        </m:r>
        <m:r>
          <m:t>;</m:t>
        </m:r>
        <m:r>
          <m:t> </m:t>
        </m:r>
        <m:r>
          <m:t>判</m:t>
        </m:r>
        <m:r>
          <m:t>定</m:t>
        </m:r>
        <m:r>
          <m:t> </m:t>
        </m:r>
        <m:r>
          <m:t>=</m:t>
        </m:r>
        <m:r>
          <m:t> </m:t>
        </m:r>
        <m:r>
          <m:t>1</m:t>
        </m:r>
        <m:r>
          <m:t>[</m:t>
        </m:r>
        <m:sSub>
          <m:e>
            <m:r>
              <m:t>s</m:t>
            </m:r>
          </m:e>
          <m:sub>
            <m:r>
              <m:t>t</m:t>
            </m:r>
          </m:sub>
        </m:sSub>
        <m:r>
          <m:t> </m:t>
        </m:r>
        <m:r>
          <m:t>&gt;</m:t>
        </m:r>
        <m:r>
          <m:t> </m:t>
        </m:r>
        <m:r>
          <m:t>τ</m:t>
        </m:r>
        <m:r>
          <m:t>]</m:t>
        </m:r>
      </m:oMath>
    </w:p>
    <w:p>
      <w:pPr>
        <w:snapToGrid w:val="0"/>
      </w:pPr>
      <w:r>
        <w:t>D_calは学習と分離した校正期間、αは想定する上側割合である。独立同分布を仮定できない時系列では、この式だけで将来誤検知率αを保証できない。閾値低下で一般に検知数と誤検知数が増える。連続警報の統合条件も固定する。</w:t>
      </w:r>
    </w:p>
    <w:p>
      <w:pPr>
        <w:pStyle w:val="Heading2"/>
        <w:snapToGrid w:val="0"/>
      </w:pPr>
      <w:r>
        <w:t>4 データセットの詳細調査</w:t>
      </w:r>
    </w:p>
    <w:p>
      <w:pPr>
        <w:pStyle w:val="Heading3"/>
        <w:snapToGrid w:val="0"/>
      </w:pPr>
      <w:r>
        <w:t>共通の読み方</w:t>
      </w:r>
    </w:p>
    <w:p>
      <w:pPr>
        <w:snapToGrid w:val="0"/>
      </w:pPr>
      <w:r>
        <w:t>本論文に単一の必要データセットはない。以下の優先候補は社会インフラとの関係から選んだ。異常ラベルは故障、攻撃、運用上の異常を示し、学習分布外という統計的な正解ラベルではない。①②③への対応は追加解析が必要である。</w:t>
      </w:r>
    </w:p>
    <w:p>
      <w:pPr>
        <w:snapToGrid w:val="0"/>
      </w:pPr>
      <w:r>
        <w:t>ウィンドウ長、stride、標準化、欠損処理、除外列、ダウンサンプリングはモデルごとの実験条件である。表2のサンプル数から一意に決まらない。</w:t>
      </w:r>
    </w:p>
    <w:p>
      <w:pPr>
        <w:pStyle w:val="Heading3"/>
        <w:snapToGrid w:val="0"/>
      </w:pPr>
      <w:r>
        <w:t>SWaT</w:t>
      </w:r>
    </w:p>
    <w:p>
      <w:pPr>
        <w:snapToGrid w:val="0"/>
      </w:pPr>
      <w:r>
        <w:t>A 入出力項目：水処理テストベッドのセンサとアクチュエータ計51項目が代表的構成。検知出力は異常スコアまたは警報であり、末端圧力の教師出力はこの調査で別途定義されていない。</w:t>
      </w:r>
    </w:p>
    <w:p>
      <w:pPr>
        <w:snapToGrid w:val="0"/>
      </w:pPr>
      <w:r>
        <w:t>B データ量：本論文表2は946,719点、異常率11.98%と記載する。この二つを同じ全集分母と断定しない。</w:t>
      </w:r>
    </w:p>
    <w:p>
      <w:pPr>
        <w:snapToGrid w:val="0"/>
      </w:pPr>
      <w:r>
        <w:t>C 正解：攻撃実験と正常運転の区別。攻撃時間と物理影響時間は必ずしも一致しない。</w:t>
      </w:r>
    </w:p>
    <w:p>
      <w:pPr>
        <w:snapToGrid w:val="0"/>
      </w:pPr>
      <w:r>
        <w:t>D 利用条件：iTrustの提供条件と申請手順を確認する。無料提供を無条件の商用再配布許可と解釈しない。[S5]</w:t>
      </w:r>
    </w:p>
    <w:p>
      <w:pPr>
        <w:snapToGrid w:val="0"/>
      </w:pPr>
      <w:r>
        <w:t>E 分類：①や③を含む可能性はあるが、全攻撃に同じ分類は付けられない。イベント区間はcollectiveとして評価可能である。</w:t>
      </w:r>
    </w:p>
    <w:p>
      <w:pPr>
        <w:snapToGrid w:val="0"/>
      </w:pPr>
      <w:r>
        <w:t>F 時間構造：連続運転の時系列。版により収録期間が異なるため、サンプリング間隔は採用ファイルのタイムスタンプで確認する。窓入力か一時刻入力かは検知器が決める。</w:t>
      </w:r>
    </w:p>
    <w:p>
      <w:pPr>
        <w:snapToGrid w:val="0"/>
      </w:pPr>
      <w:r>
        <w:t>G 分割と入手：正常運転部分を学習に、攻撃を含む別期間を評価に用いる設計が候補。iTrust公式ページから版を選び入手する。サーベイは統一分割を規定しない。[S5]</w:t>
      </w:r>
    </w:p>
    <w:p>
      <w:pPr>
        <w:snapToGrid w:val="0"/>
      </w:pPr>
      <w:r>
        <w:t>H 必要情報：入力センサ群だけで独立検知器を構成可能。業務AIの内部や予測出力は必須ではない。</w:t>
      </w:r>
    </w:p>
    <w:p>
      <w:pPr>
        <w:pStyle w:val="Heading3"/>
        <w:snapToGrid w:val="0"/>
      </w:pPr>
      <w:r>
        <w:t>WADI</w:t>
      </w:r>
    </w:p>
    <w:p>
      <w:pPr>
        <w:snapToGrid w:val="0"/>
      </w:pPr>
      <w:r>
        <w:t>A 配水テストベッドのセンサとアクチュエータ123項目。定数列や欠損列の扱いで使用次元は変わり得る。</w:t>
      </w:r>
    </w:p>
    <w:p>
      <w:pPr>
        <w:snapToGrid w:val="0"/>
      </w:pPr>
      <w:r>
        <w:t>B 本論文表2は957,372点、異常率5.99%。これを全原データ件数として固定しない。</w:t>
      </w:r>
    </w:p>
    <w:p>
      <w:pPr>
        <w:snapToGrid w:val="0"/>
      </w:pPr>
      <w:r>
        <w:t>C 正解は攻撃シナリオに基づく。D 利用条件はiTrustの提供条件を確認する。</w:t>
      </w:r>
    </w:p>
    <w:p>
      <w:pPr>
        <w:snapToGrid w:val="0"/>
      </w:pPr>
      <w:r>
        <w:t>E 配水設備間の依存を利用できるため③の候補であるが、攻撃ラベルだけでは純粋な相関変化と判断できない。</w:t>
      </w:r>
    </w:p>
    <w:p>
      <w:pPr>
        <w:snapToGrid w:val="0"/>
      </w:pPr>
      <w:r>
        <w:t>F 公式WaDi.A1は16日連続運転で、正常14日、攻撃を含む2日、15攻撃を記載する。窓長と時間粒度はモデルと採用ファイルで確定する。[S6]</w:t>
      </w:r>
    </w:p>
    <w:p>
      <w:pPr>
        <w:snapToGrid w:val="0"/>
      </w:pPr>
      <w:r>
        <w:t>G 期間分離で学習と評価を設計可能。14対2の日数比を、欠損除去後のサンプル分割比と同一視しない。公式ページから版を指定して取得する。</w:t>
      </w:r>
    </w:p>
    <w:p>
      <w:pPr>
        <w:snapToGrid w:val="0"/>
      </w:pPr>
      <w:r>
        <w:t>H 入力系列だけで検知可能な候補。対象業務AIの内部情報は必須ではない。</w:t>
      </w:r>
    </w:p>
    <w:p>
      <w:pPr>
        <w:pStyle w:val="Heading3"/>
        <w:snapToGrid w:val="0"/>
      </w:pPr>
      <w:r>
        <w:t>SMD</w:t>
      </w:r>
    </w:p>
    <w:p>
      <w:pPr>
        <w:snapToGrid w:val="0"/>
      </w:pPr>
      <w:r>
        <w:t>A 28台のサーバの38次元系列。B 表2は合計1,416,825点、異常率4.16%とする。</w:t>
      </w:r>
    </w:p>
    <w:p>
      <w:pPr>
        <w:snapToGrid w:val="0"/>
      </w:pPr>
      <w:r>
        <w:t>C 公開リポジトリにはテスト点の異常ラベルと関連次元の解釈ラベルがある。D コードのライセンスとデータの利用条件を別々に確認する。コード公開のみを根拠にデータの再配布権を断定しない。</w:t>
      </w:r>
    </w:p>
    <w:p>
      <w:pPr>
        <w:snapToGrid w:val="0"/>
      </w:pPr>
      <w:r>
        <w:t>E pointやcollectiveの評価が可能だが、①②③の正解は提供ラベルから直接得られない。</w:t>
      </w:r>
    </w:p>
    <w:p>
      <w:pPr>
        <w:snapToGrid w:val="0"/>
      </w:pPr>
      <w:r>
        <w:t>F 各機械は別系列であり、一つの巨大な変数集合として連結しない。間隔や窓長は採用データと手法に合わせて確定する。</w:t>
      </w:r>
    </w:p>
    <w:p>
      <w:pPr>
        <w:snapToGrid w:val="0"/>
      </w:pPr>
      <w:r>
        <w:t>G 提供者は各機械を前後のほぼ同長部分で学習とテストに分け、各機械を別に学習評価するよう説明している。公開GitHubから取得する。[S7]</w:t>
      </w:r>
    </w:p>
    <w:p>
      <w:pPr>
        <w:snapToGrid w:val="0"/>
      </w:pPr>
      <w:r>
        <w:t>H 入力KPIのみの検知が可能。社内圧力推定の物理的妥当性の検証には別データが必要である。</w:t>
      </w:r>
    </w:p>
    <w:p>
      <w:pPr>
        <w:pStyle w:val="Heading3"/>
        <w:snapToGrid w:val="0"/>
      </w:pPr>
      <w:r>
        <w:t>MSL と SMAP</w:t>
      </w:r>
    </w:p>
    <w:p>
      <w:pPr>
        <w:snapToGrid w:val="0"/>
      </w:pPr>
      <w:r>
        <w:t>A 代表的構成はMSLが27系列で各55次元、SMAPが55系列で各25次元。本文によれば連続テレメトリにコマンド等が加わる。全次元が独立の連続センサとは限らない。[S1，第7.2節]</w:t>
      </w:r>
    </w:p>
    <w:p>
      <w:pPr>
        <w:snapToGrid w:val="0"/>
      </w:pPr>
      <w:r>
        <w:t>B 表2ではMSL 132,046点と10.48%、SMAP 562,800点と12.83%。全集か処理済み区分かを採用版と照合する。</w:t>
      </w:r>
    </w:p>
    <w:p>
      <w:pPr>
        <w:snapToGrid w:val="0"/>
      </w:pPr>
      <w:r>
        <w:t>C Telemanomで異常区間情報とtrain/test系列が提供される。D リポジトリと配布データの条件を確認し、NASAという名称だけで一律の利用条件を付けない。[S8]</w:t>
      </w:r>
    </w:p>
    <w:p>
      <w:pPr>
        <w:snapToGrid w:val="0"/>
      </w:pPr>
      <w:r>
        <w:t>E 文脈異常や区間異常を検討できるが、③のみの評価用データと断言できない。</w:t>
      </w:r>
    </w:p>
    <w:p>
      <w:pPr>
        <w:snapToGrid w:val="0"/>
      </w:pPr>
      <w:r>
        <w:t>F サーベイはMSLについて毎分の記録と説明する。全系列に同じ絶対期間を割り当てず、系列ごとの長さを見る。過去窓からテレメトリを予測する設計と全入力再構成を区別する。</w:t>
      </w:r>
    </w:p>
    <w:p>
      <w:pPr>
        <w:snapToGrid w:val="0"/>
      </w:pPr>
      <w:r>
        <w:t>G 公式リポジトリの分割と区間ラベルを利用する。窓を作った後でランダム分割すると重なりによる情報漏洩が起こり得る。</w:t>
      </w:r>
    </w:p>
    <w:p>
      <w:pPr>
        <w:snapToGrid w:val="0"/>
      </w:pPr>
      <w:r>
        <w:t>H テレメトリとコマンドを入力として検知できる。業務回帰モデルの内部は必要ない。</w:t>
      </w:r>
    </w:p>
    <w:p>
      <w:pPr>
        <w:pStyle w:val="Heading3"/>
        <w:snapToGrid w:val="0"/>
      </w:pPr>
      <w:r>
        <w:t>全データ条目の索引</w:t>
      </w:r>
    </w:p>
    <w:p>
      <w:pPr>
        <w:snapToGrid w:val="0"/>
      </w:pPr>
      <w:r>
        <w:t>以下は本論文表2の転記であり、採用ファイルの件数を検証した実験表ではない。各項目は「点数 次元 異常率%」。未記載は表2空欄。個別ライセンス、時間粒度、入出力定義、分割条件はこの表では確定しない。</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分野</w:t>
            </w:r>
          </w:p>
        </w:tc>
        <w:tc>
          <w:tcPr>
            <w:tcW w:type="dxa" w:w="3500"/>
            <w:vAlign w:val="center"/>
            <w:shd w:fill="E8EEF5"/>
          </w:tcPr>
          <w:p>
            <w:pPr>
              <w:pStyle w:val="TableText"/>
            </w:pPr>
            <w:r>
              <w:rPr>
                <w:b/>
                <w:color w:val="1F4D78"/>
              </w:rPr>
              <w:t>データと表2の記載値</w:t>
            </w:r>
          </w:p>
        </w:tc>
        <w:tc>
          <w:tcPr>
            <w:tcW w:type="dxa" w:w="3810"/>
            <w:vAlign w:val="center"/>
            <w:shd w:fill="E8EEF5"/>
          </w:tcPr>
          <w:p>
            <w:pPr>
              <w:pStyle w:val="TableText"/>
            </w:pPr>
            <w:r>
              <w:rPr>
                <w:b/>
                <w:color w:val="1F4D78"/>
              </w:rPr>
              <w:t>利用時の確認点</w:t>
            </w:r>
          </w:p>
        </w:tc>
      </w:tr>
      <w:tr>
        <w:trPr>
          <w:cantSplit/>
        </w:trPr>
        <w:tc>
          <w:tcPr>
            <w:tcW w:type="dxa" w:w="2050"/>
            <w:vAlign w:val="center"/>
          </w:tcPr>
          <w:p>
            <w:pPr>
              <w:pStyle w:val="TableText"/>
            </w:pPr>
            <w:r>
              <w:t>航空宇宙</w:t>
            </w:r>
          </w:p>
        </w:tc>
        <w:tc>
          <w:tcPr>
            <w:tcW w:type="dxa" w:w="3500"/>
            <w:vAlign w:val="center"/>
          </w:tcPr>
          <w:p>
            <w:pPr>
              <w:pStyle w:val="TableText"/>
            </w:pPr>
            <w:r>
              <w:t>MSL 132046 55 10.48／NASA Shuttle Valve 49097 9 7.0</w:t>
            </w:r>
          </w:p>
        </w:tc>
        <w:tc>
          <w:tcPr>
            <w:tcW w:type="dxa" w:w="3810"/>
            <w:vAlign w:val="center"/>
          </w:tcPr>
          <w:p>
            <w:pPr>
              <w:pStyle w:val="TableText"/>
            </w:pPr>
            <w:r>
              <w:t>系列と処理版を特定</w:t>
            </w:r>
          </w:p>
        </w:tc>
      </w:tr>
      <w:tr>
        <w:trPr>
          <w:cantSplit/>
        </w:trPr>
        <w:tc>
          <w:tcPr>
            <w:tcW w:type="dxa" w:w="2050"/>
            <w:vAlign w:val="center"/>
          </w:tcPr>
          <w:p>
            <w:pPr>
              <w:pStyle w:val="TableText"/>
            </w:pPr>
            <w:r>
              <w:t>天文</w:t>
            </w:r>
          </w:p>
        </w:tc>
        <w:tc>
          <w:tcPr>
            <w:tcW w:type="dxa" w:w="3500"/>
            <w:vAlign w:val="center"/>
          </w:tcPr>
          <w:p>
            <w:pPr>
              <w:pStyle w:val="TableText"/>
            </w:pPr>
            <w:r>
              <w:t>Ionosphere 351 33 36.0／SWAN SF 355330 51 23.8</w:t>
            </w:r>
          </w:p>
        </w:tc>
        <w:tc>
          <w:tcPr>
            <w:tcW w:type="dxa" w:w="3810"/>
            <w:vAlign w:val="center"/>
          </w:tcPr>
          <w:p>
            <w:pPr>
              <w:pStyle w:val="TableText"/>
            </w:pPr>
            <w:r>
              <w:t>Ionosphereをそのまま時系列としない</w:t>
            </w:r>
          </w:p>
        </w:tc>
      </w:tr>
      <w:tr>
        <w:trPr>
          <w:cantSplit/>
        </w:trPr>
        <w:tc>
          <w:tcPr>
            <w:tcW w:type="dxa" w:w="2050"/>
            <w:vAlign w:val="center"/>
          </w:tcPr>
          <w:p>
            <w:pPr>
              <w:pStyle w:val="TableText"/>
            </w:pPr>
            <w:r>
              <w:t>環境</w:t>
            </w:r>
          </w:p>
        </w:tc>
        <w:tc>
          <w:tcPr>
            <w:tcW w:type="dxa" w:w="3500"/>
            <w:vAlign w:val="center"/>
          </w:tcPr>
          <w:p>
            <w:pPr>
              <w:pStyle w:val="TableText"/>
            </w:pPr>
            <w:r>
              <w:t>SMAP 562800 25 12.83／OPPORTUNITY 36224 133 3.4</w:t>
            </w:r>
          </w:p>
        </w:tc>
        <w:tc>
          <w:tcPr>
            <w:tcW w:type="dxa" w:w="3810"/>
            <w:vAlign w:val="center"/>
          </w:tcPr>
          <w:p>
            <w:pPr>
              <w:pStyle w:val="TableText"/>
            </w:pPr>
            <w:r>
              <w:t>活動認識の異常化条件を確認</w:t>
            </w:r>
          </w:p>
        </w:tc>
      </w:tr>
      <w:tr>
        <w:trPr>
          <w:cantSplit/>
        </w:trPr>
        <w:tc>
          <w:tcPr>
            <w:tcW w:type="dxa" w:w="2050"/>
            <w:vAlign w:val="center"/>
          </w:tcPr>
          <w:p>
            <w:pPr>
              <w:pStyle w:val="TableText"/>
            </w:pPr>
            <w:r>
              <w:t>IoT</w:t>
            </w:r>
          </w:p>
        </w:tc>
        <w:tc>
          <w:tcPr>
            <w:tcW w:type="dxa" w:w="3500"/>
            <w:vAlign w:val="center"/>
          </w:tcPr>
          <w:p>
            <w:pPr>
              <w:pStyle w:val="TableText"/>
            </w:pPr>
            <w:r>
              <w:t>GECCO 138521 9 1.25／CICIDS 170231 72 1.28</w:t>
            </w:r>
          </w:p>
        </w:tc>
        <w:tc>
          <w:tcPr>
            <w:tcW w:type="dxa" w:w="3810"/>
            <w:vAlign w:val="center"/>
          </w:tcPr>
          <w:p>
            <w:pPr>
              <w:pStyle w:val="TableText"/>
            </w:pPr>
            <w:r>
              <w:t>収録版と異常定義を確認</w:t>
            </w:r>
          </w:p>
        </w:tc>
      </w:tr>
      <w:tr>
        <w:trPr>
          <w:cantSplit/>
        </w:trPr>
        <w:tc>
          <w:tcPr>
            <w:tcW w:type="dxa" w:w="2050"/>
            <w:vAlign w:val="center"/>
          </w:tcPr>
          <w:p>
            <w:pPr>
              <w:pStyle w:val="TableText"/>
            </w:pPr>
            <w:r>
              <w:t>サイバー</w:t>
            </w:r>
          </w:p>
        </w:tc>
        <w:tc>
          <w:tcPr>
            <w:tcW w:type="dxa" w:w="3500"/>
            <w:vAlign w:val="center"/>
          </w:tcPr>
          <w:p>
            <w:pPr>
              <w:pStyle w:val="TableText"/>
            </w:pPr>
            <w:r>
              <w:t>Kitsune 3018973 115 17.0／Http 567479 3 0.4／Smtp 95156 3 0.03</w:t>
            </w:r>
          </w:p>
        </w:tc>
        <w:tc>
          <w:tcPr>
            <w:tcW w:type="dxa" w:w="3810"/>
            <w:vAlign w:val="center"/>
          </w:tcPr>
          <w:p>
            <w:pPr>
              <w:pStyle w:val="TableText"/>
            </w:pPr>
            <w:r>
              <w:t>接続レコードと等間隔系列を区別</w:t>
            </w:r>
          </w:p>
        </w:tc>
      </w:tr>
      <w:tr>
        <w:trPr>
          <w:cantSplit/>
        </w:trPr>
        <w:tc>
          <w:tcPr>
            <w:tcW w:type="dxa" w:w="2050"/>
            <w:vAlign w:val="center"/>
          </w:tcPr>
          <w:p>
            <w:pPr>
              <w:pStyle w:val="TableText"/>
            </w:pPr>
            <w:r>
              <w:t>金融</w:t>
            </w:r>
          </w:p>
        </w:tc>
        <w:tc>
          <w:tcPr>
            <w:tcW w:type="dxa" w:w="3500"/>
            <w:vAlign w:val="center"/>
          </w:tcPr>
          <w:p>
            <w:pPr>
              <w:pStyle w:val="TableText"/>
            </w:pPr>
            <w:r>
              <w:t>NAB realAdExchange 9616 2 未記載／Creditcard 284807 29 0.17</w:t>
            </w:r>
          </w:p>
        </w:tc>
        <w:tc>
          <w:tcPr>
            <w:tcW w:type="dxa" w:w="3810"/>
            <w:vAlign w:val="center"/>
          </w:tcPr>
          <w:p>
            <w:pPr>
              <w:pStyle w:val="TableText"/>
            </w:pPr>
            <w:r>
              <w:t>時刻列を多変量センサと数えない</w:t>
            </w:r>
          </w:p>
        </w:tc>
      </w:tr>
      <w:tr>
        <w:trPr>
          <w:cantSplit/>
        </w:trPr>
        <w:tc>
          <w:tcPr>
            <w:tcW w:type="dxa" w:w="2050"/>
            <w:vAlign w:val="center"/>
          </w:tcPr>
          <w:p>
            <w:pPr>
              <w:pStyle w:val="TableText"/>
            </w:pPr>
            <w:r>
              <w:t>産業制御</w:t>
            </w:r>
          </w:p>
        </w:tc>
        <w:tc>
          <w:tcPr>
            <w:tcW w:type="dxa" w:w="3500"/>
            <w:vAlign w:val="center"/>
          </w:tcPr>
          <w:p>
            <w:pPr>
              <w:pStyle w:val="TableText"/>
            </w:pPr>
            <w:r>
              <w:t>Genesis 16220 18 0.3／GHL 200001 22 0.4／SWaT 946719 51 11.98</w:t>
            </w:r>
          </w:p>
        </w:tc>
        <w:tc>
          <w:tcPr>
            <w:tcW w:type="dxa" w:w="3810"/>
            <w:vAlign w:val="center"/>
          </w:tcPr>
          <w:p>
            <w:pPr>
              <w:pStyle w:val="TableText"/>
            </w:pPr>
            <w:r>
              <w:t>GHLは表2で合成と記載</w:t>
            </w:r>
          </w:p>
        </w:tc>
      </w:tr>
      <w:tr>
        <w:trPr>
          <w:cantSplit/>
        </w:trPr>
        <w:tc>
          <w:tcPr>
            <w:tcW w:type="dxa" w:w="2050"/>
            <w:vAlign w:val="center"/>
          </w:tcPr>
          <w:p>
            <w:pPr>
              <w:pStyle w:val="TableText"/>
            </w:pPr>
            <w:r>
              <w:t>産業制御</w:t>
            </w:r>
          </w:p>
        </w:tc>
        <w:tc>
          <w:tcPr>
            <w:tcW w:type="dxa" w:w="3500"/>
            <w:vAlign w:val="center"/>
          </w:tcPr>
          <w:p>
            <w:pPr>
              <w:pStyle w:val="TableText"/>
            </w:pPr>
            <w:r>
              <w:t>WADI 957372 123 5.99／trimSyn 17680 35 2.34／MSDS 292860 10 5.37</w:t>
            </w:r>
          </w:p>
        </w:tc>
        <w:tc>
          <w:tcPr>
            <w:tcW w:type="dxa" w:w="3810"/>
            <w:vAlign w:val="center"/>
          </w:tcPr>
          <w:p>
            <w:pPr>
              <w:pStyle w:val="TableText"/>
            </w:pPr>
            <w:r>
              <w:t>trimSynは合成 他は表2で実データ</w:t>
            </w:r>
          </w:p>
        </w:tc>
      </w:tr>
      <w:tr>
        <w:trPr>
          <w:cantSplit/>
        </w:trPr>
        <w:tc>
          <w:tcPr>
            <w:tcW w:type="dxa" w:w="2050"/>
            <w:vAlign w:val="center"/>
          </w:tcPr>
          <w:p>
            <w:pPr>
              <w:pStyle w:val="TableText"/>
            </w:pPr>
            <w:r>
              <w:t>医療</w:t>
            </w:r>
          </w:p>
        </w:tc>
        <w:tc>
          <w:tcPr>
            <w:tcW w:type="dxa" w:w="3500"/>
            <w:vAlign w:val="center"/>
          </w:tcPr>
          <w:p>
            <w:pPr>
              <w:pStyle w:val="TableText"/>
            </w:pPr>
            <w:r>
              <w:t>Arrhythmia 452 274 15.0／MBA 200000 2 0.14／Thyroid 3772 6 2.5</w:t>
            </w:r>
          </w:p>
        </w:tc>
        <w:tc>
          <w:tcPr>
            <w:tcW w:type="dxa" w:w="3810"/>
            <w:vAlign w:val="center"/>
          </w:tcPr>
          <w:p>
            <w:pPr>
              <w:pStyle w:val="TableText"/>
            </w:pPr>
            <w:r>
              <w:t>表形式とECG波形を区別</w:t>
            </w:r>
          </w:p>
        </w:tc>
      </w:tr>
      <w:tr>
        <w:trPr>
          <w:cantSplit/>
        </w:trPr>
        <w:tc>
          <w:tcPr>
            <w:tcW w:type="dxa" w:w="2050"/>
            <w:vAlign w:val="center"/>
          </w:tcPr>
          <w:p>
            <w:pPr>
              <w:pStyle w:val="TableText"/>
            </w:pPr>
            <w:r>
              <w:t>医療</w:t>
            </w:r>
          </w:p>
        </w:tc>
        <w:tc>
          <w:tcPr>
            <w:tcW w:type="dxa" w:w="3500"/>
            <w:vAlign w:val="center"/>
          </w:tcPr>
          <w:p>
            <w:pPr>
              <w:pStyle w:val="TableText"/>
            </w:pPr>
            <w:r>
              <w:t>SVDB 230400 2 13.6／Daphnet 32594 3 13.2</w:t>
            </w:r>
          </w:p>
        </w:tc>
        <w:tc>
          <w:tcPr>
            <w:tcW w:type="dxa" w:w="3810"/>
            <w:vAlign w:val="center"/>
          </w:tcPr>
          <w:p>
            <w:pPr>
              <w:pStyle w:val="TableText"/>
            </w:pPr>
            <w:r>
              <w:t>異常化と切出し方法を確認</w:t>
            </w:r>
          </w:p>
        </w:tc>
      </w:tr>
      <w:tr>
        <w:trPr>
          <w:cantSplit/>
        </w:trPr>
        <w:tc>
          <w:tcPr>
            <w:tcW w:type="dxa" w:w="2050"/>
            <w:vAlign w:val="center"/>
          </w:tcPr>
          <w:p>
            <w:pPr>
              <w:pStyle w:val="TableText"/>
            </w:pPr>
            <w:r>
              <w:t>基盤設備</w:t>
            </w:r>
          </w:p>
        </w:tc>
        <w:tc>
          <w:tcPr>
            <w:tcW w:type="dxa" w:w="3500"/>
            <w:vAlign w:val="center"/>
          </w:tcPr>
          <w:p>
            <w:pPr>
              <w:pStyle w:val="TableText"/>
            </w:pPr>
            <w:r>
              <w:t>Callt2 10080 2 4.1／Metro 48204 5 0.1／NYC 17520 3 0.57／Occupancy 6208 8 28.7</w:t>
            </w:r>
          </w:p>
        </w:tc>
        <w:tc>
          <w:tcPr>
            <w:tcW w:type="dxa" w:w="3810"/>
            <w:vAlign w:val="center"/>
          </w:tcPr>
          <w:p>
            <w:pPr>
              <w:pStyle w:val="TableText"/>
            </w:pPr>
            <w:r>
              <w:t>表記名は原表準拠 配布元で照合</w:t>
            </w:r>
          </w:p>
        </w:tc>
      </w:tr>
      <w:tr>
        <w:trPr>
          <w:cantSplit/>
        </w:trPr>
        <w:tc>
          <w:tcPr>
            <w:tcW w:type="dxa" w:w="2050"/>
            <w:vAlign w:val="center"/>
          </w:tcPr>
          <w:p>
            <w:pPr>
              <w:pStyle w:val="TableText"/>
            </w:pPr>
            <w:r>
              <w:t>サーバ</w:t>
            </w:r>
          </w:p>
        </w:tc>
        <w:tc>
          <w:tcPr>
            <w:tcW w:type="dxa" w:w="3500"/>
            <w:vAlign w:val="center"/>
          </w:tcPr>
          <w:p>
            <w:pPr>
              <w:pStyle w:val="TableText"/>
            </w:pPr>
            <w:r>
              <w:t>Exathlon 47530 45 18.3／MBD 8640 26 未記載／MMS 4370 7 未記載</w:t>
            </w:r>
          </w:p>
        </w:tc>
        <w:tc>
          <w:tcPr>
            <w:tcW w:type="dxa" w:w="3810"/>
            <w:vAlign w:val="center"/>
          </w:tcPr>
          <w:p>
            <w:pPr>
              <w:pStyle w:val="TableText"/>
            </w:pPr>
            <w:r>
              <w:t>独立実行と実体の単位を確認</w:t>
            </w:r>
          </w:p>
        </w:tc>
      </w:tr>
      <w:tr>
        <w:trPr>
          <w:cantSplit/>
        </w:trPr>
        <w:tc>
          <w:tcPr>
            <w:tcW w:type="dxa" w:w="2050"/>
            <w:vAlign w:val="center"/>
          </w:tcPr>
          <w:p>
            <w:pPr>
              <w:pStyle w:val="TableText"/>
            </w:pPr>
            <w:r>
              <w:t>サーバ</w:t>
            </w:r>
          </w:p>
        </w:tc>
        <w:tc>
          <w:tcPr>
            <w:tcW w:type="dxa" w:w="3500"/>
            <w:vAlign w:val="center"/>
          </w:tcPr>
          <w:p>
            <w:pPr>
              <w:pStyle w:val="TableText"/>
            </w:pPr>
            <w:r>
              <w:t>PSM 132480 25 27.76／SMD 1416825 38 4.16</w:t>
            </w:r>
          </w:p>
        </w:tc>
        <w:tc>
          <w:tcPr>
            <w:tcW w:type="dxa" w:w="3810"/>
            <w:vAlign w:val="center"/>
          </w:tcPr>
          <w:p>
            <w:pPr>
              <w:pStyle w:val="TableText"/>
            </w:pPr>
            <w:r>
              <w:t>点数と異常率の分母を確認</w:t>
            </w:r>
          </w:p>
        </w:tc>
      </w:tr>
    </w:tbl>
    <w:p>
      <w:pPr>
        <w:spacing w:after="0"/>
        <w:snapToGrid w:val="0"/>
      </w:pPr>
    </w:p>
    <w:p>
      <w:pPr>
        <w:pStyle w:val="Heading2"/>
        <w:snapToGrid w:val="0"/>
      </w:pPr>
      <w:r>
        <w:t>5 評価方法と結果の扱い</w:t>
      </w:r>
    </w:p>
    <w:p>
      <w:pPr>
        <w:pStyle w:val="Heading3"/>
        <w:snapToGrid w:val="0"/>
      </w:pPr>
      <w:r>
        <w:t>本論文が示したもの</w:t>
      </w:r>
    </w:p>
    <w:p>
      <w:pPr>
        <w:snapToGrid w:val="0"/>
      </w:pPr>
      <w:r>
        <w:t>各手法の特徴と長短を文章で比較している。統一したデータ分割、閾値、計算環境による46方式の再評価はない。したがって本篇の研究結果欄は「分類と資源整理」とし、最高F1や検知率を記入しない。各方式の定量結果は個別精読時に原論文から補う。</w:t>
      </w:r>
    </w:p>
    <w:p>
      <w:pPr>
        <w:pStyle w:val="Heading3"/>
        <w:snapToGrid w:val="0"/>
      </w:pPr>
      <w:r>
        <w:t>本研究で採用する評価案</w:t>
      </w:r>
    </w:p>
    <w:p>
      <w:pPr>
        <w:snapToGrid w:val="0"/>
      </w:pPr>
      <w:r>
        <w:t>異常の有無ラベルがある場合は、Recall、Precision、F1、FPR、AUROC、AUPRCに加え、イベント単位の検知率、検知遅延、正常運転一日当たりの警報数を記録する。以下は本研究の評価設計案であり、サーベイの実験結果ではない。</w:t>
      </w:r>
    </w:p>
    <w:p>
      <w:pPr>
        <w:pStyle w:val="EquationText"/>
        <w:jc w:val="center"/>
        <w:snapToGrid w:val="0"/>
      </w:pPr>
      <w:r/>
      <m:oMath>
        <m:r>
          <m:t>R</m:t>
        </m:r>
        <m:r>
          <m:t>e</m:t>
        </m:r>
        <m:r>
          <m:t>c</m:t>
        </m:r>
        <m:r>
          <m:t>a</m:t>
        </m:r>
        <m:r>
          <m:t>l</m:t>
        </m:r>
        <m:r>
          <m:t>l</m:t>
        </m:r>
        <m:r>
          <m:t> </m:t>
        </m:r>
        <m:r>
          <m:t>=</m:t>
        </m:r>
        <m:r>
          <m:t> </m:t>
        </m:r>
        <m:r>
          <m:t>T</m:t>
        </m:r>
        <m:r>
          <m:t>P</m:t>
        </m:r>
        <m:r>
          <m:t>/</m:t>
        </m:r>
        <m:r>
          <m:t>(</m:t>
        </m:r>
        <m:r>
          <m:t>T</m:t>
        </m:r>
        <m:r>
          <m:t>P</m:t>
        </m:r>
        <m:r>
          <m:t>+</m:t>
        </m:r>
        <m:r>
          <m:t>F</m:t>
        </m:r>
        <m:r>
          <m:t>N</m:t>
        </m:r>
        <m:r>
          <m:t>)</m:t>
        </m:r>
        <m:r>
          <m:t> </m:t>
        </m:r>
        <m:r>
          <m:t>;</m:t>
        </m:r>
        <m:r>
          <m:t> </m:t>
        </m:r>
        <m:r>
          <m:t>F</m:t>
        </m:r>
        <m:r>
          <m:t>P</m:t>
        </m:r>
        <m:r>
          <m:t>R</m:t>
        </m:r>
        <m:r>
          <m:t> </m:t>
        </m:r>
        <m:r>
          <m:t>=</m:t>
        </m:r>
        <m:r>
          <m:t> </m:t>
        </m:r>
        <m:r>
          <m:t>F</m:t>
        </m:r>
        <m:r>
          <m:t>P</m:t>
        </m:r>
        <m:r>
          <m:t>/</m:t>
        </m:r>
        <m:r>
          <m:t>(</m:t>
        </m:r>
        <m:r>
          <m:t>F</m:t>
        </m:r>
        <m:r>
          <m:t>P</m:t>
        </m:r>
        <m:r>
          <m:t>+</m:t>
        </m:r>
        <m:r>
          <m:t>T</m:t>
        </m:r>
        <m:r>
          <m:t>N</m:t>
        </m:r>
        <m:r>
          <m:t>)</m:t>
        </m:r>
      </m:oMath>
    </w:p>
    <w:p>
      <w:pPr>
        <w:pStyle w:val="EquationText"/>
        <w:jc w:val="center"/>
        <w:snapToGrid w:val="0"/>
      </w:pPr>
      <w:r/>
      <m:oMath>
        <m:r>
          <m:t>P</m:t>
        </m:r>
        <m:r>
          <m:t>r</m:t>
        </m:r>
        <m:r>
          <m:t>e</m:t>
        </m:r>
        <m:r>
          <m:t>c</m:t>
        </m:r>
        <m:r>
          <m:t>i</m:t>
        </m:r>
        <m:r>
          <m:t>s</m:t>
        </m:r>
        <m:r>
          <m:t>i</m:t>
        </m:r>
        <m:r>
          <m:t>o</m:t>
        </m:r>
        <m:r>
          <m:t>n</m:t>
        </m:r>
        <m:r>
          <m:t> </m:t>
        </m:r>
        <m:r>
          <m:t>=</m:t>
        </m:r>
        <m:r>
          <m:t> </m:t>
        </m:r>
        <m:r>
          <m:t>T</m:t>
        </m:r>
        <m:r>
          <m:t>P</m:t>
        </m:r>
        <m:r>
          <m:t>/</m:t>
        </m:r>
        <m:r>
          <m:t>(</m:t>
        </m:r>
        <m:r>
          <m:t>T</m:t>
        </m:r>
        <m:r>
          <m:t>P</m:t>
        </m:r>
        <m:r>
          <m:t>+</m:t>
        </m:r>
        <m:r>
          <m:t>F</m:t>
        </m:r>
        <m:r>
          <m:t>P</m:t>
        </m:r>
        <m:r>
          <m:t>)</m:t>
        </m:r>
        <m:r>
          <m:t> </m:t>
        </m:r>
        <m:r>
          <m:t>;</m:t>
        </m:r>
        <m:r>
          <m:t> </m:t>
        </m:r>
        <m:r>
          <m:t>F</m:t>
        </m:r>
        <m:r>
          <m:t>1</m:t>
        </m:r>
        <m:r>
          <m:t> </m:t>
        </m:r>
        <m:r>
          <m:t>=</m:t>
        </m:r>
        <m:r>
          <m:t> </m:t>
        </m:r>
        <m:r>
          <m:t>2</m:t>
        </m:r>
        <m:r>
          <m:t>T</m:t>
        </m:r>
        <m:r>
          <m:t>P</m:t>
        </m:r>
        <m:r>
          <m:t>/</m:t>
        </m:r>
        <m:r>
          <m:t>(</m:t>
        </m:r>
        <m:r>
          <m:t>2</m:t>
        </m:r>
        <m:r>
          <m:t>T</m:t>
        </m:r>
        <m:r>
          <m:t>P</m:t>
        </m:r>
        <m:r>
          <m:t>+</m:t>
        </m:r>
        <m:r>
          <m:t>F</m:t>
        </m:r>
        <m:r>
          <m:t>P</m:t>
        </m:r>
        <m:r>
          <m:t>+</m:t>
        </m:r>
        <m:r>
          <m:t>F</m:t>
        </m:r>
        <m:r>
          <m:t>N</m:t>
        </m:r>
        <m:r>
          <m:t>)</m:t>
        </m:r>
      </m:oMath>
    </w:p>
    <w:p>
      <w:pPr>
        <w:snapToGrid w:val="0"/>
      </w:pPr>
      <w:r>
        <w:t>TPは正しく検知した異常、FNは見逃し、FPは正常への誤警報、TNは正しく通過した正常である。点とイベントの単位を混ぜない。</w:t>
      </w:r>
    </w:p>
    <w:p>
      <w:pPr>
        <w:snapToGrid w:val="0"/>
      </w:pPr>
      <w:r>
        <w:t>説明例：異常100点中80点を検知し、正常9900点に99回誤警報が出ると、Recallは80%、FPRは1%、Precisionは約44.7%。低FPRでも正常点が多いと誤警報負担は大きい。</w:t>
      </w:r>
    </w:p>
    <w:p>
      <w:pPr>
        <w:snapToGrid w:val="0"/>
      </w:pPr>
      <w:r>
        <w:t>異常区間で一度検知しただけで全点を正解に補正する評価は、点単位の精度や遅延を直接表さない。補正なしの結果とイベント結果を分けて示す。テスト異常率を知って上位何%を異常にする方法は、実運用で使える閾値校正とは別扱いにする。</w:t>
      </w:r>
    </w:p>
    <w:p>
      <w:pPr>
        <w:pStyle w:val="Heading3"/>
        <w:snapToGrid w:val="0"/>
      </w:pPr>
      <w:r>
        <w:t>正解ラベルがない場合</w:t>
      </w:r>
    </w:p>
    <w:p>
      <w:pPr>
        <w:snapToGrid w:val="0"/>
      </w:pPr>
      <w:r>
        <w:t>真の検知率と誤検知率はそのまま計算できない。正常と確認された期間の警報頻度、保全記録との照合、抽出例の専門家確認、物理的に妥当な異常注入を用いる。ただし人工異常への性能は現実の未知故障全体の性能を保証しない。</w:t>
      </w:r>
    </w:p>
    <w:p>
      <w:pPr>
        <w:pStyle w:val="Heading3"/>
        <w:snapToGrid w:val="0"/>
      </w:pPr>
      <w:r>
        <w:t>三類の学習外を分離する実験案</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区分</w:t>
            </w:r>
          </w:p>
        </w:tc>
        <w:tc>
          <w:tcPr>
            <w:tcW w:type="dxa" w:w="3500"/>
            <w:vAlign w:val="center"/>
            <w:shd w:fill="E8EEF5"/>
          </w:tcPr>
          <w:p>
            <w:pPr>
              <w:pStyle w:val="TableText"/>
              <w:keepNext/>
            </w:pPr>
            <w:r>
              <w:rPr>
                <w:b/>
                <w:color w:val="1F4D78"/>
              </w:rPr>
              <w:t>構成案</w:t>
            </w:r>
          </w:p>
        </w:tc>
        <w:tc>
          <w:tcPr>
            <w:tcW w:type="dxa" w:w="3810"/>
            <w:vAlign w:val="center"/>
            <w:shd w:fill="E8EEF5"/>
          </w:tcPr>
          <w:p>
            <w:pPr>
              <w:pStyle w:val="TableText"/>
              <w:keepNext/>
            </w:pPr>
            <w:r>
              <w:rPr>
                <w:b/>
                <w:color w:val="1F4D78"/>
              </w:rPr>
              <w:t>評価上の注意</w:t>
            </w:r>
          </w:p>
        </w:tc>
      </w:tr>
      <w:tr>
        <w:trPr>
          <w:cantSplit/>
        </w:trPr>
        <w:tc>
          <w:tcPr>
            <w:tcW w:type="dxa" w:w="2050"/>
            <w:vAlign w:val="center"/>
          </w:tcPr>
          <w:p>
            <w:pPr>
              <w:pStyle w:val="TableText"/>
              <w:keepNext/>
            </w:pPr>
            <w:r>
              <w:t>①</w:t>
            </w:r>
          </w:p>
        </w:tc>
        <w:tc>
          <w:tcPr>
            <w:tcW w:type="dxa" w:w="3500"/>
            <w:vAlign w:val="center"/>
          </w:tcPr>
          <w:p>
            <w:pPr>
              <w:pStyle w:val="TableText"/>
              <w:keepNext/>
            </w:pPr>
            <w:r>
              <w:t>訓練範囲外の値や別工況を時間分離して評価</w:t>
            </w:r>
          </w:p>
        </w:tc>
        <w:tc>
          <w:tcPr>
            <w:tcW w:type="dxa" w:w="3810"/>
            <w:vAlign w:val="center"/>
          </w:tcPr>
          <w:p>
            <w:pPr>
              <w:pStyle w:val="TableText"/>
              <w:keepNext/>
            </w:pPr>
            <w:r>
              <w:t>正常な新工況と故障を区別</w:t>
            </w:r>
          </w:p>
        </w:tc>
      </w:tr>
      <w:tr>
        <w:trPr>
          <w:cantSplit/>
        </w:trPr>
        <w:tc>
          <w:tcPr>
            <w:tcW w:type="dxa" w:w="2050"/>
            <w:vAlign w:val="center"/>
          </w:tcPr>
          <w:p>
            <w:pPr>
              <w:pStyle w:val="TableText"/>
              <w:keepNext/>
            </w:pPr>
            <w:r>
              <w:t>②</w:t>
            </w:r>
          </w:p>
        </w:tc>
        <w:tc>
          <w:tcPr>
            <w:tcW w:type="dxa" w:w="3500"/>
            <w:vAlign w:val="center"/>
          </w:tcPr>
          <w:p>
            <w:pPr>
              <w:pStyle w:val="TableText"/>
              <w:keepNext/>
            </w:pPr>
            <w:r>
              <w:t>正常な特定工況を学習から間引く</w:t>
            </w:r>
          </w:p>
        </w:tc>
        <w:tc>
          <w:tcPr>
            <w:tcW w:type="dxa" w:w="3810"/>
            <w:vAlign w:val="center"/>
          </w:tcPr>
          <w:p>
            <w:pPr>
              <w:pStyle w:val="TableText"/>
              <w:keepNext/>
            </w:pPr>
            <w:r>
              <w:t>少数領域の存在と対象AI誤差を別々に測る</w:t>
            </w:r>
          </w:p>
        </w:tc>
      </w:tr>
      <w:tr>
        <w:trPr>
          <w:cantSplit/>
        </w:trPr>
        <w:tc>
          <w:tcPr>
            <w:tcW w:type="dxa" w:w="2050"/>
            <w:vAlign w:val="center"/>
          </w:tcPr>
          <w:p>
            <w:pPr>
              <w:pStyle w:val="TableText"/>
            </w:pPr>
            <w:r>
              <w:t>③</w:t>
            </w:r>
          </w:p>
        </w:tc>
        <w:tc>
          <w:tcPr>
            <w:tcW w:type="dxa" w:w="3500"/>
            <w:vAlign w:val="center"/>
          </w:tcPr>
          <w:p>
            <w:pPr>
              <w:pStyle w:val="TableText"/>
            </w:pPr>
            <w:r>
              <w:t>各変数の範囲を保ち 関係や遅れを変える</w:t>
            </w:r>
          </w:p>
        </w:tc>
        <w:tc>
          <w:tcPr>
            <w:tcW w:type="dxa" w:w="3810"/>
            <w:vAlign w:val="center"/>
          </w:tcPr>
          <w:p>
            <w:pPr>
              <w:pStyle w:val="TableText"/>
            </w:pPr>
            <w:r>
              <w:t>単変量変化を抑え 物理的実現性も確認</w:t>
            </w:r>
          </w:p>
        </w:tc>
      </w:tr>
    </w:tbl>
    <w:p>
      <w:pPr>
        <w:spacing w:after="0"/>
        <w:snapToGrid w:val="0"/>
      </w:pPr>
    </w:p>
    <w:p>
      <w:pPr>
        <w:snapToGrid w:val="0"/>
      </w:pPr>
      <w:r>
        <w:t>③の簡易検証として一列の時間シフトは利用できるが、その操作だけで実設備の故障を模擬したことにはならない。通常の異常ラベル付きデータに加えて、何を変えたか分かる対照実験が必要である。</w:t>
      </w:r>
    </w:p>
    <w:p>
      <w:pPr>
        <w:pStyle w:val="Heading2"/>
        <w:snapToGrid w:val="0"/>
      </w:pPr>
      <w:r>
        <w:t>6 長所 制約 社会インフラへの適用</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手法群</w:t>
            </w:r>
          </w:p>
        </w:tc>
        <w:tc>
          <w:tcPr>
            <w:tcW w:type="dxa" w:w="3500"/>
            <w:vAlign w:val="center"/>
            <w:shd w:fill="E8EEF5"/>
          </w:tcPr>
          <w:p>
            <w:pPr>
              <w:pStyle w:val="TableText"/>
            </w:pPr>
            <w:r>
              <w:rPr>
                <w:b/>
                <w:color w:val="1F4D78"/>
              </w:rPr>
              <w:t>長所</w:t>
            </w:r>
          </w:p>
        </w:tc>
        <w:tc>
          <w:tcPr>
            <w:tcW w:type="dxa" w:w="3810"/>
            <w:vAlign w:val="center"/>
            <w:shd w:fill="E8EEF5"/>
          </w:tcPr>
          <w:p>
            <w:pPr>
              <w:pStyle w:val="TableText"/>
            </w:pPr>
            <w:r>
              <w:rPr>
                <w:b/>
                <w:color w:val="1F4D78"/>
              </w:rPr>
              <w:t>制約と運用上の確認</w:t>
            </w:r>
          </w:p>
        </w:tc>
      </w:tr>
      <w:tr>
        <w:trPr>
          <w:cantSplit/>
        </w:trPr>
        <w:tc>
          <w:tcPr>
            <w:tcW w:type="dxa" w:w="2050"/>
            <w:vAlign w:val="center"/>
          </w:tcPr>
          <w:p>
            <w:pPr>
              <w:pStyle w:val="TableText"/>
            </w:pPr>
            <w:r>
              <w:t>予測</w:t>
            </w:r>
          </w:p>
        </w:tc>
        <w:tc>
          <w:tcPr>
            <w:tcW w:type="dxa" w:w="3500"/>
            <w:vAlign w:val="center"/>
          </w:tcPr>
          <w:p>
            <w:pPr>
              <w:pStyle w:val="TableText"/>
            </w:pPr>
            <w:r>
              <w:t>正常動態を説明しやすい 変数別残差を提示可能</w:t>
            </w:r>
          </w:p>
        </w:tc>
        <w:tc>
          <w:tcPr>
            <w:tcW w:type="dxa" w:w="3810"/>
            <w:vAlign w:val="center"/>
          </w:tcPr>
          <w:p>
            <w:pPr>
              <w:pStyle w:val="TableText"/>
            </w:pPr>
            <w:r>
              <w:t>予測不能な正常切替 誤差蓄積 観測到着を待つ</w:t>
            </w:r>
          </w:p>
        </w:tc>
      </w:tr>
      <w:tr>
        <w:trPr>
          <w:cantSplit/>
        </w:trPr>
        <w:tc>
          <w:tcPr>
            <w:tcW w:type="dxa" w:w="2050"/>
            <w:vAlign w:val="center"/>
          </w:tcPr>
          <w:p>
            <w:pPr>
              <w:pStyle w:val="TableText"/>
            </w:pPr>
            <w:r>
              <w:t>再構成</w:t>
            </w:r>
          </w:p>
        </w:tc>
        <w:tc>
          <w:tcPr>
            <w:tcW w:type="dxa" w:w="3500"/>
            <w:vAlign w:val="center"/>
          </w:tcPr>
          <w:p>
            <w:pPr>
              <w:pStyle w:val="TableText"/>
            </w:pPr>
            <w:r>
              <w:t>入力だけで使いやすい 複数変数をまとめられる</w:t>
            </w:r>
          </w:p>
        </w:tc>
        <w:tc>
          <w:tcPr>
            <w:tcW w:type="dxa" w:w="3810"/>
            <w:vAlign w:val="center"/>
          </w:tcPr>
          <w:p>
            <w:pPr>
              <w:pStyle w:val="TableText"/>
            </w:pPr>
            <w:r>
              <w:t>過度汎化と汚染学習が弱点</w:t>
            </w:r>
          </w:p>
        </w:tc>
      </w:tr>
      <w:tr>
        <w:trPr>
          <w:cantSplit/>
        </w:trPr>
        <w:tc>
          <w:tcPr>
            <w:tcW w:type="dxa" w:w="2050"/>
            <w:vAlign w:val="center"/>
          </w:tcPr>
          <w:p>
            <w:pPr>
              <w:pStyle w:val="TableText"/>
            </w:pPr>
            <w:r>
              <w:t>関係とグラフ</w:t>
            </w:r>
          </w:p>
        </w:tc>
        <w:tc>
          <w:tcPr>
            <w:tcW w:type="dxa" w:w="3500"/>
            <w:vAlign w:val="center"/>
          </w:tcPr>
          <w:p>
            <w:pPr>
              <w:pStyle w:val="TableText"/>
            </w:pPr>
            <w:r>
              <w:t>③の構造変化を扱う候補</w:t>
            </w:r>
          </w:p>
        </w:tc>
        <w:tc>
          <w:tcPr>
            <w:tcW w:type="dxa" w:w="3810"/>
            <w:vAlign w:val="center"/>
          </w:tcPr>
          <w:p>
            <w:pPr>
              <w:pStyle w:val="TableText"/>
            </w:pPr>
            <w:r>
              <w:t>関係行列は概ねC²規模 学習グラフの妥当性</w:t>
            </w:r>
          </w:p>
        </w:tc>
      </w:tr>
      <w:tr>
        <w:trPr>
          <w:cantSplit/>
        </w:trPr>
        <w:tc>
          <w:tcPr>
            <w:tcW w:type="dxa" w:w="2050"/>
            <w:vAlign w:val="center"/>
          </w:tcPr>
          <w:p>
            <w:pPr>
              <w:pStyle w:val="TableText"/>
            </w:pPr>
            <w:r>
              <w:t>対比</w:t>
            </w:r>
          </w:p>
        </w:tc>
        <w:tc>
          <w:tcPr>
            <w:tcW w:type="dxa" w:w="3500"/>
            <w:vAlign w:val="center"/>
          </w:tcPr>
          <w:p>
            <w:pPr>
              <w:pStyle w:val="TableText"/>
            </w:pPr>
            <w:r>
              <w:t>再構成以外の信号を利用</w:t>
            </w:r>
          </w:p>
        </w:tc>
        <w:tc>
          <w:tcPr>
            <w:tcW w:type="dxa" w:w="3810"/>
            <w:vAlign w:val="center"/>
          </w:tcPr>
          <w:p>
            <w:pPr>
              <w:pStyle w:val="TableText"/>
            </w:pPr>
            <w:r>
              <w:t>増強の仮定 表現坍塌 分数解釈</w:t>
            </w:r>
          </w:p>
        </w:tc>
      </w:tr>
      <w:tr>
        <w:trPr>
          <w:cantSplit/>
        </w:trPr>
        <w:tc>
          <w:tcPr>
            <w:tcW w:type="dxa" w:w="2050"/>
            <w:vAlign w:val="center"/>
          </w:tcPr>
          <w:p>
            <w:pPr>
              <w:pStyle w:val="TableText"/>
            </w:pPr>
            <w:r>
              <w:t>Transformer</w:t>
            </w:r>
          </w:p>
        </w:tc>
        <w:tc>
          <w:tcPr>
            <w:tcW w:type="dxa" w:w="3500"/>
            <w:vAlign w:val="center"/>
          </w:tcPr>
          <w:p>
            <w:pPr>
              <w:pStyle w:val="TableText"/>
            </w:pPr>
            <w:r>
              <w:t>長い文脈を扱いやすい</w:t>
            </w:r>
          </w:p>
        </w:tc>
        <w:tc>
          <w:tcPr>
            <w:tcW w:type="dxa" w:w="3810"/>
            <w:vAlign w:val="center"/>
          </w:tcPr>
          <w:p>
            <w:pPr>
              <w:pStyle w:val="TableText"/>
            </w:pPr>
            <w:r>
              <w:t>標準的な全注意は系列長の二乗に増大 改良型は異なる</w:t>
            </w:r>
          </w:p>
        </w:tc>
      </w:tr>
      <w:tr>
        <w:trPr>
          <w:cantSplit/>
        </w:trPr>
        <w:tc>
          <w:tcPr>
            <w:tcW w:type="dxa" w:w="2050"/>
            <w:vAlign w:val="center"/>
          </w:tcPr>
          <w:p>
            <w:pPr>
              <w:pStyle w:val="TableText"/>
            </w:pPr>
            <w:r>
              <w:t>DiffusionとLLM</w:t>
            </w:r>
          </w:p>
        </w:tc>
        <w:tc>
          <w:tcPr>
            <w:tcW w:type="dxa" w:w="3500"/>
            <w:vAlign w:val="center"/>
          </w:tcPr>
          <w:p>
            <w:pPr>
              <w:pStyle w:val="TableText"/>
            </w:pPr>
            <w:r>
              <w:t>複雑な分布や事前学習を利用可能</w:t>
            </w:r>
          </w:p>
        </w:tc>
        <w:tc>
          <w:tcPr>
            <w:tcW w:type="dxa" w:w="3810"/>
            <w:vAlign w:val="center"/>
          </w:tcPr>
          <w:p>
            <w:pPr>
              <w:pStyle w:val="TableText"/>
            </w:pPr>
            <w:r>
              <w:t>反復推論やモデルサイズの負担 実測が必要</w:t>
            </w:r>
          </w:p>
        </w:tc>
      </w:tr>
    </w:tbl>
    <w:p>
      <w:pPr>
        <w:spacing w:after="0"/>
        <w:snapToGrid w:val="0"/>
      </w:pPr>
    </w:p>
    <w:p>
      <w:pPr>
        <w:snapToGrid w:val="0"/>
      </w:pPr>
      <w:r>
        <w:t>必要学習量に共通の最小サンプル数はない。独立した窓数より、正常工況、季節、設備状態、運転モードをどれだけ網羅できるかが重要である。訓練時間、CPU/GPU、メモリ、1窓の推論時間、更新頻度、警報遅延を記録しなければリアルタイム適合性は判断できない。</w:t>
      </w:r>
    </w:p>
    <w:p>
      <w:pPr>
        <w:snapToGrid w:val="0"/>
      </w:pPr>
      <w:r>
        <w:t>社会インフラでは、モード別の正常モデル、単位統一、センサ同期、欠損区間、保全後の分布変化を扱う必要がある。正常な設備更新を異常として永続警報することも、故障をオンライン更新で正常として吸収することも避けたい。</w:t>
      </w:r>
    </w:p>
    <w:p>
      <w:pPr>
        <w:snapToGrid w:val="0"/>
      </w:pPr>
      <w:r>
        <w:t>適用候補は水処理・配水、設備状態監視、交通やトンネル計測、サーバ監視。社内末端圧力推定では、既存AIへの入力群を独立検知器に渡す構成が候補となる。最初は予測停止を自動決定する前に、検知スコアと推定誤差の関係を記録して有効性を確認する。</w:t>
      </w:r>
    </w:p>
    <w:p>
      <w:pPr>
        <w:pStyle w:val="Heading2"/>
        <w:snapToGrid w:val="0"/>
      </w:pPr>
      <w:r>
        <w:t>7 既読論文と山原氏の研究への接続</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比較軸</w:t>
            </w:r>
          </w:p>
        </w:tc>
        <w:tc>
          <w:tcPr>
            <w:tcW w:type="dxa" w:w="3500"/>
            <w:vAlign w:val="center"/>
            <w:shd w:fill="E8EEF5"/>
          </w:tcPr>
          <w:p>
            <w:pPr>
              <w:pStyle w:val="TableText"/>
              <w:keepNext/>
            </w:pPr>
            <w:r>
              <w:rPr>
                <w:b/>
                <w:color w:val="1F4D78"/>
              </w:rPr>
              <w:t>既読研究との接続</w:t>
            </w:r>
          </w:p>
        </w:tc>
        <w:tc>
          <w:tcPr>
            <w:tcW w:type="dxa" w:w="3810"/>
            <w:vAlign w:val="center"/>
            <w:shd w:fill="E8EEF5"/>
          </w:tcPr>
          <w:p>
            <w:pPr>
              <w:pStyle w:val="TableText"/>
              <w:keepNext/>
            </w:pPr>
            <w:r>
              <w:rPr>
                <w:b/>
                <w:color w:val="1F4D78"/>
              </w:rPr>
              <w:t>本サーベイから得られる追加視点</w:t>
            </w:r>
          </w:p>
        </w:tc>
      </w:tr>
      <w:tr>
        <w:trPr>
          <w:cantSplit/>
        </w:trPr>
        <w:tc>
          <w:tcPr>
            <w:tcW w:type="dxa" w:w="2050"/>
            <w:vAlign w:val="center"/>
          </w:tcPr>
          <w:p>
            <w:pPr>
              <w:pStyle w:val="TableText"/>
              <w:keepNext/>
            </w:pPr>
            <w:r>
              <w:t>Density Regression</w:t>
            </w:r>
          </w:p>
        </w:tc>
        <w:tc>
          <w:tcPr>
            <w:tcW w:type="dxa" w:w="3500"/>
            <w:vAlign w:val="center"/>
          </w:tcPr>
          <w:p>
            <w:pPr>
              <w:pStyle w:val="TableText"/>
              <w:keepNext/>
            </w:pPr>
            <w:r>
              <w:t>入力密度と回帰の予測分散を関係付ける</w:t>
            </w:r>
          </w:p>
        </w:tc>
        <w:tc>
          <w:tcPr>
            <w:tcW w:type="dxa" w:w="3810"/>
            <w:vAlign w:val="center"/>
          </w:tcPr>
          <w:p>
            <w:pPr>
              <w:pStyle w:val="TableText"/>
              <w:keepNext/>
            </w:pPr>
            <w:r>
              <w:t>②の低密度と異常形態を分ける必要が分かる</w:t>
            </w:r>
          </w:p>
        </w:tc>
      </w:tr>
      <w:tr>
        <w:trPr>
          <w:cantSplit/>
        </w:trPr>
        <w:tc>
          <w:tcPr>
            <w:tcW w:type="dxa" w:w="2050"/>
            <w:vAlign w:val="center"/>
          </w:tcPr>
          <w:p>
            <w:pPr>
              <w:pStyle w:val="TableText"/>
              <w:keepNext/>
            </w:pPr>
            <w:r>
              <w:t>OutPro</w:t>
            </w:r>
          </w:p>
        </w:tc>
        <w:tc>
          <w:tcPr>
            <w:tcW w:type="dxa" w:w="3500"/>
            <w:vAlign w:val="center"/>
          </w:tcPr>
          <w:p>
            <w:pPr>
              <w:pStyle w:val="TableText"/>
              <w:keepNext/>
            </w:pPr>
            <w:r>
              <w:t>対象モデルを考慮した変数選択と部分空間距離</w:t>
            </w:r>
          </w:p>
        </w:tc>
        <w:tc>
          <w:tcPr>
            <w:tcW w:type="dxa" w:w="3810"/>
            <w:vAlign w:val="center"/>
          </w:tcPr>
          <w:p>
            <w:pPr>
              <w:pStyle w:val="TableText"/>
              <w:keepNext/>
            </w:pPr>
            <w:r>
              <w:t>時間窓や相関の変化を追加して比較可能</w:t>
            </w:r>
          </w:p>
        </w:tc>
      </w:tr>
      <w:tr>
        <w:trPr>
          <w:cantSplit/>
        </w:trPr>
        <w:tc>
          <w:tcPr>
            <w:tcW w:type="dxa" w:w="2050"/>
            <w:vAlign w:val="center"/>
          </w:tcPr>
          <w:p>
            <w:pPr>
              <w:pStyle w:val="TableText"/>
              <w:keepNext/>
            </w:pPr>
            <w:r>
              <w:t>Reconditionor と SOLID</w:t>
            </w:r>
          </w:p>
        </w:tc>
        <w:tc>
          <w:tcPr>
            <w:tcW w:type="dxa" w:w="3500"/>
            <w:vAlign w:val="center"/>
          </w:tcPr>
          <w:p>
            <w:pPr>
              <w:pStyle w:val="TableText"/>
              <w:keepNext/>
            </w:pPr>
            <w:r>
              <w:t>条件付き分布シフトの診断と予測モデル適応</w:t>
            </w:r>
          </w:p>
        </w:tc>
        <w:tc>
          <w:tcPr>
            <w:tcW w:type="dxa" w:w="3810"/>
            <w:vAlign w:val="center"/>
          </w:tcPr>
          <w:p>
            <w:pPr>
              <w:pStyle w:val="TableText"/>
              <w:keepNext/>
            </w:pPr>
            <w:r>
              <w:t>異常検知後に更新すべきかという別問題につながる</w:t>
            </w:r>
          </w:p>
        </w:tc>
      </w:tr>
      <w:tr>
        <w:trPr>
          <w:cantSplit/>
        </w:trPr>
        <w:tc>
          <w:tcPr>
            <w:tcW w:type="dxa" w:w="2050"/>
            <w:vAlign w:val="center"/>
          </w:tcPr>
          <w:p>
            <w:pPr>
              <w:pStyle w:val="TableText"/>
            </w:pPr>
            <w:r>
              <w:t>本サーベイ</w:t>
            </w:r>
          </w:p>
        </w:tc>
        <w:tc>
          <w:tcPr>
            <w:tcW w:type="dxa" w:w="3500"/>
            <w:vAlign w:val="center"/>
          </w:tcPr>
          <w:p>
            <w:pPr>
              <w:pStyle w:val="TableText"/>
            </w:pPr>
            <w:r>
              <w:t>入力時系列の正常性を学習する候補群</w:t>
            </w:r>
          </w:p>
        </w:tc>
        <w:tc>
          <w:tcPr>
            <w:tcW w:type="dxa" w:w="3810"/>
            <w:vAlign w:val="center"/>
          </w:tcPr>
          <w:p>
            <w:pPr>
              <w:pStyle w:val="TableText"/>
            </w:pPr>
            <w:r>
              <w:t>予測 重構 表示差異という比較軸を提供</w:t>
            </w:r>
          </w:p>
        </w:tc>
      </w:tr>
    </w:tbl>
    <w:p>
      <w:pPr>
        <w:spacing w:after="0"/>
        <w:snapToGrid w:val="0"/>
      </w:pPr>
    </w:p>
    <w:p>
      <w:pPr>
        <w:snapToGrid w:val="0"/>
      </w:pPr>
      <w:r>
        <w:t>Reconditionorの入力と出力の条件関係の変化と、③の入力項目同士の関係の変化は同一ではない。OutProなどの得点と本篇の時系列得点を比較するときも、検知単位を一点または窓に合わせる。</w:t>
      </w:r>
    </w:p>
    <w:p>
      <w:pPr>
        <w:snapToGrid w:val="0"/>
      </w:pPr>
      <w:r>
        <w:t>山原氏の論文との接続は、末端圧力推定という用途に基づく構想である。原論文の入力項目、時間窓、学習モデル、計測条件を確認してから具体化する。現段階で特定のセンサ構成や実験結果を山原氏の研究として記載しない。</w:t>
      </w:r>
    </w:p>
    <w:p>
      <w:pPr>
        <w:snapToGrid w:val="0"/>
      </w:pPr>
      <w:r>
        <w:t>例えば入力を流量、弁状態などとした場合、各値が範囲内でも組合せが未経験なら③の候補となる。GDNやMSCREDの関係表現が検知できるか、検知時に圧力推定誤差が実際に増えるかを別々に評価する。</w:t>
      </w:r>
    </w:p>
    <w:p>
      <w:pPr>
        <w:pStyle w:val="Heading2"/>
        <w:snapToGrid w:val="0"/>
      </w:pPr>
      <w:r>
        <w:t>8 次の精読候補</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優先候補</w:t>
            </w:r>
          </w:p>
        </w:tc>
        <w:tc>
          <w:tcPr>
            <w:tcW w:type="dxa" w:w="3500"/>
            <w:vAlign w:val="center"/>
            <w:shd w:fill="E8EEF5"/>
          </w:tcPr>
          <w:p>
            <w:pPr>
              <w:pStyle w:val="TableText"/>
              <w:keepNext/>
            </w:pPr>
            <w:r>
              <w:rPr>
                <w:b/>
                <w:color w:val="1F4D78"/>
              </w:rPr>
              <w:t>選ぶ理由</w:t>
            </w:r>
          </w:p>
        </w:tc>
        <w:tc>
          <w:tcPr>
            <w:tcW w:type="dxa" w:w="3810"/>
            <w:vAlign w:val="center"/>
            <w:shd w:fill="E8EEF5"/>
          </w:tcPr>
          <w:p>
            <w:pPr>
              <w:pStyle w:val="TableText"/>
              <w:keepNext/>
            </w:pPr>
            <w:r>
              <w:rPr>
                <w:b/>
                <w:color w:val="1F4D78"/>
              </w:rPr>
              <w:t>原論文で確定させる項目</w:t>
            </w:r>
          </w:p>
        </w:tc>
      </w:tr>
      <w:tr>
        <w:trPr>
          <w:cantSplit/>
        </w:trPr>
        <w:tc>
          <w:tcPr>
            <w:tcW w:type="dxa" w:w="2050"/>
            <w:vAlign w:val="center"/>
          </w:tcPr>
          <w:p>
            <w:pPr>
              <w:pStyle w:val="TableText"/>
              <w:keepNext/>
            </w:pPr>
            <w:r>
              <w:t>MSCRED AAAI 2019</w:t>
            </w:r>
          </w:p>
        </w:tc>
        <w:tc>
          <w:tcPr>
            <w:tcW w:type="dxa" w:w="3500"/>
            <w:vAlign w:val="center"/>
          </w:tcPr>
          <w:p>
            <w:pPr>
              <w:pStyle w:val="TableText"/>
              <w:keepNext/>
            </w:pPr>
            <w:r>
              <w:t>変数間関係と時間を明示的にモデル化</w:t>
            </w:r>
          </w:p>
        </w:tc>
        <w:tc>
          <w:tcPr>
            <w:tcW w:type="dxa" w:w="3810"/>
            <w:vAlign w:val="center"/>
          </w:tcPr>
          <w:p>
            <w:pPr>
              <w:pStyle w:val="TableText"/>
              <w:keepNext/>
            </w:pPr>
            <w:r>
              <w:t>signature matrix 閾値 窓長と異常区間</w:t>
            </w:r>
          </w:p>
        </w:tc>
      </w:tr>
      <w:tr>
        <w:trPr>
          <w:cantSplit/>
        </w:trPr>
        <w:tc>
          <w:tcPr>
            <w:tcW w:type="dxa" w:w="2050"/>
            <w:vAlign w:val="center"/>
          </w:tcPr>
          <w:p>
            <w:pPr>
              <w:pStyle w:val="TableText"/>
              <w:keepNext/>
            </w:pPr>
            <w:r>
              <w:t>GDN AAAI 2021</w:t>
            </w:r>
          </w:p>
        </w:tc>
        <w:tc>
          <w:tcPr>
            <w:tcW w:type="dxa" w:w="3500"/>
            <w:vAlign w:val="center"/>
          </w:tcPr>
          <w:p>
            <w:pPr>
              <w:pStyle w:val="TableText"/>
              <w:keepNext/>
            </w:pPr>
            <w:r>
              <w:t>依存グラフと予測偏差 ③に関連</w:t>
            </w:r>
          </w:p>
        </w:tc>
        <w:tc>
          <w:tcPr>
            <w:tcW w:type="dxa" w:w="3810"/>
            <w:vAlign w:val="center"/>
          </w:tcPr>
          <w:p>
            <w:pPr>
              <w:pStyle w:val="TableText"/>
              <w:keepNext/>
            </w:pPr>
            <w:r>
              <w:t>グラフ構築 スコア正規化 閾値 検知遅延</w:t>
            </w:r>
          </w:p>
        </w:tc>
      </w:tr>
      <w:tr>
        <w:trPr>
          <w:cantSplit/>
        </w:trPr>
        <w:tc>
          <w:tcPr>
            <w:tcW w:type="dxa" w:w="2050"/>
            <w:vAlign w:val="center"/>
          </w:tcPr>
          <w:p>
            <w:pPr>
              <w:pStyle w:val="TableText"/>
              <w:keepNext/>
            </w:pPr>
            <w:r>
              <w:t>InterFusion KDD 2021</w:t>
            </w:r>
          </w:p>
        </w:tc>
        <w:tc>
          <w:tcPr>
            <w:tcW w:type="dxa" w:w="3500"/>
            <w:vAlign w:val="center"/>
          </w:tcPr>
          <w:p>
            <w:pPr>
              <w:pStyle w:val="TableText"/>
              <w:keepNext/>
            </w:pPr>
            <w:r>
              <w:t>時間依存と変数依存を分けた潜在表現</w:t>
            </w:r>
          </w:p>
        </w:tc>
        <w:tc>
          <w:tcPr>
            <w:tcW w:type="dxa" w:w="3810"/>
            <w:vAlign w:val="center"/>
          </w:tcPr>
          <w:p>
            <w:pPr>
              <w:pStyle w:val="TableText"/>
              <w:keepNext/>
            </w:pPr>
            <w:r>
              <w:t>確率スコア 入力窓 変数別診断</w:t>
            </w:r>
          </w:p>
        </w:tc>
      </w:tr>
      <w:tr>
        <w:trPr>
          <w:cantSplit/>
        </w:trPr>
        <w:tc>
          <w:tcPr>
            <w:tcW w:type="dxa" w:w="2050"/>
            <w:vAlign w:val="center"/>
          </w:tcPr>
          <w:p>
            <w:pPr>
              <w:pStyle w:val="TableText"/>
              <w:keepNext/>
            </w:pPr>
            <w:r>
              <w:t>DCdetector KDD 2023</w:t>
            </w:r>
          </w:p>
        </w:tc>
        <w:tc>
          <w:tcPr>
            <w:tcW w:type="dxa" w:w="3500"/>
            <w:vAlign w:val="center"/>
          </w:tcPr>
          <w:p>
            <w:pPr>
              <w:pStyle w:val="TableText"/>
              <w:keepNext/>
            </w:pPr>
            <w:r>
              <w:t>対比学習系の比較対象</w:t>
            </w:r>
          </w:p>
        </w:tc>
        <w:tc>
          <w:tcPr>
            <w:tcW w:type="dxa" w:w="3810"/>
            <w:vAlign w:val="center"/>
          </w:tcPr>
          <w:p>
            <w:pPr>
              <w:pStyle w:val="TableText"/>
              <w:keepNext/>
            </w:pPr>
            <w:r>
              <w:t>損失と分数の向き 閾値 評価補正</w:t>
            </w:r>
          </w:p>
        </w:tc>
      </w:tr>
      <w:tr>
        <w:trPr>
          <w:cantSplit/>
        </w:trPr>
        <w:tc>
          <w:tcPr>
            <w:tcW w:type="dxa" w:w="2050"/>
            <w:vAlign w:val="center"/>
          </w:tcPr>
          <w:p>
            <w:pPr>
              <w:pStyle w:val="TableText"/>
            </w:pPr>
            <w:r>
              <w:t>USAD KDD 2020</w:t>
            </w:r>
          </w:p>
        </w:tc>
        <w:tc>
          <w:tcPr>
            <w:tcW w:type="dxa" w:w="3500"/>
            <w:vAlign w:val="center"/>
          </w:tcPr>
          <w:p>
            <w:pPr>
              <w:pStyle w:val="TableText"/>
            </w:pPr>
            <w:r>
              <w:t>比較的理解しやすい再構成系基準</w:t>
            </w:r>
          </w:p>
        </w:tc>
        <w:tc>
          <w:tcPr>
            <w:tcW w:type="dxa" w:w="3810"/>
            <w:vAlign w:val="center"/>
          </w:tcPr>
          <w:p>
            <w:pPr>
              <w:pStyle w:val="TableText"/>
            </w:pPr>
            <w:r>
              <w:t>二段学習 スコア混合 汚染耐性</w:t>
            </w:r>
          </w:p>
        </w:tc>
      </w:tr>
    </w:tbl>
    <w:p>
      <w:pPr>
        <w:spacing w:after="0"/>
        <w:snapToGrid w:val="0"/>
      </w:pPr>
    </w:p>
    <w:p>
      <w:pPr>
        <w:snapToGrid w:val="0"/>
      </w:pPr>
      <w:r>
        <w:t>最初の一篇にはMSCREDまたはGDNが適する。選定理由は本研究③との構造上の関係であり、本サーベイによる最高性能ランキングではない。</w:t>
      </w:r>
    </w:p>
    <w:p>
      <w:pPr>
        <w:pStyle w:val="Heading1"/>
        <w:pageBreakBefore/>
        <w:snapToGrid w:val="0"/>
      </w:pPr>
      <w:r>
        <w:t>第三部分 日本語口頭説明と想定質問</w:t>
      </w:r>
    </w:p>
    <w:p>
      <w:pPr>
        <w:pStyle w:val="Heading2"/>
        <w:snapToGrid w:val="0"/>
      </w:pPr>
      <w:r>
        <w:t>1 約5分の説明原稿</w:t>
      </w:r>
    </w:p>
    <w:p>
      <w:pPr>
        <w:snapToGrid w:val="0"/>
      </w:pPr>
      <w:r>
        <w:t>今回読んだ論文は、2025年にSensorsに掲載された、多変量時系列の深層異常検知に関するサーベイです。個別の新しい検知器を提案する論文ではなく、異常の種類、検知方式、データセット、今後の課題を整理しています。本研究では、手法比較の分類軸を作るために利用します。</w:t>
      </w:r>
    </w:p>
    <w:p>
      <w:pPr>
        <w:snapToGrid w:val="0"/>
      </w:pPr>
      <w:r>
        <w:t>まず、重要なのは、異常には一つの変数だけを見て分かるものと、複数の変数の関係を見なければ分からないものがあることです。例えば二つの入力が普段は同じ方向に変化するとします。両方の値が学習時の範囲内でも、一方だけが逆に動けば、関係としては異常です。これは今回調査している三番目の学習外入力に対応します。一方、データが少ない領域はこのサーベイで独立した異常型にはなっていません。正常だけれど珍しい入力もあるため、低密度と故障は区別する必要があります。</w:t>
      </w:r>
    </w:p>
    <w:p>
      <w:pPr>
        <w:snapToGrid w:val="0"/>
      </w:pPr>
      <w:r>
        <w:t>手法は大きく三つです。一つ目は予測型で、過去の値から現在や将来を予測し、実測値との誤差を使います。二つ目は再構成型で、正常データの特徴を学習し、入力を復元できるかを調べます。三つ目は対比学習型で、異なる視点で作った表現の一致や差異を利用します。ただし実際には予測と再構成を併用する方式などもあるため、比較表では複数のタグを付ける方が適切です。</w:t>
      </w:r>
    </w:p>
    <w:p>
      <w:pPr>
        <w:snapToGrid w:val="0"/>
      </w:pPr>
      <w:r>
        <w:t>今回特に注目したのは、MSCREDとGDNです。MSCREDは複数変数の関係を表す行列を作り、その時間変化を学習します。GDNは変数の依存グラフを学習し、予測からのずれを検知します。どちらも、項目ごとの上下限だけでは分からない組合せの変化を調べる候補です。ただし、構造上対応できそうだということと、三番目の学習外を高い精度で検知できるという実証は分けて考えます。</w:t>
      </w:r>
    </w:p>
    <w:p>
      <w:pPr>
        <w:snapToGrid w:val="0"/>
      </w:pPr>
      <w:r>
        <w:t>データセットでは、配水のWADIと水処理のSWaTが社会インフラに近い候補です。ただし、提供されるラベルは主として攻撃や運用上の異常であり、入力範囲外、低密度、相関変化という三分類のラベルではありません。また、このサーベイのデータ表には時系列としてそのまま利用できない表形式データも含まれています。実験に使う前に、版、入力項目、時間間隔、正常期間と攻撃期間、利用条件を確認します。</w:t>
      </w:r>
    </w:p>
    <w:p>
      <w:pPr>
        <w:snapToGrid w:val="0"/>
      </w:pPr>
      <w:r>
        <w:t>評価については、この論文は全手法を同じ条件で再実験していません。そのため、本文の長所短所から最高性能の方式を決めることはできません。今後は正常データで閾値を校正し、検知率だけでなく、一日当たりの誤警報数、検知遅延、計算時間を比較する必要があります。さらに対象の圧力推定モデルに対して、検知された入力で実際に推定誤差が増えるかを調べたいと考えています。</w:t>
      </w:r>
    </w:p>
    <w:p>
      <w:pPr>
        <w:snapToGrid w:val="0"/>
      </w:pPr>
      <w:r>
        <w:t>今回の結論は、サーベイを使って検知根拠、利用情報、時間依存、変数間依存を分けて整理できたことです。次はMSCREDかGDNを精読し、具体的なスコアと閾値、入力窓、必要データを確定させると、社内事例への適用判断を進められます。</w:t>
      </w:r>
    </w:p>
    <w:p>
      <w:pPr>
        <w:pStyle w:val="Heading2"/>
        <w:snapToGrid w:val="0"/>
      </w:pPr>
      <w:r>
        <w:t>2 想定質問への回答</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質問</w:t>
            </w:r>
          </w:p>
        </w:tc>
        <w:tc>
          <w:tcPr>
            <w:tcW w:type="dxa" w:w="6960"/>
            <w:vAlign w:val="center"/>
            <w:shd w:fill="E8EEF5"/>
          </w:tcPr>
          <w:p>
            <w:pPr>
              <w:pStyle w:val="TableText"/>
            </w:pPr>
            <w:r>
              <w:rPr>
                <w:b/>
                <w:color w:val="1F4D78"/>
              </w:rPr>
              <w:t>回答例</w:t>
            </w:r>
          </w:p>
        </w:tc>
      </w:tr>
      <w:tr>
        <w:trPr>
          <w:cantSplit/>
        </w:trPr>
        <w:tc>
          <w:tcPr>
            <w:tcW w:type="dxa" w:w="2400"/>
            <w:vAlign w:val="center"/>
          </w:tcPr>
          <w:p>
            <w:pPr>
              <w:pStyle w:val="TableText"/>
            </w:pPr>
            <w:r>
              <w:t>この論文は三条件を完全に満たしますか</w:t>
            </w:r>
          </w:p>
        </w:tc>
        <w:tc>
          <w:tcPr>
            <w:tcW w:type="dxa" w:w="6960"/>
            <w:vAlign w:val="center"/>
          </w:tcPr>
          <w:p>
            <w:pPr>
              <w:pStyle w:val="TableText"/>
            </w:pPr>
            <w:r>
              <w:t>異常検知と多変量時系列は中心テーマです。回帰型予測も含みますが、既存の業務回帰モデルに対する学習外検知を統一対象としてはいません。</w:t>
            </w:r>
          </w:p>
        </w:tc>
      </w:tr>
      <w:tr>
        <w:trPr>
          <w:cantSplit/>
        </w:trPr>
        <w:tc>
          <w:tcPr>
            <w:tcW w:type="dxa" w:w="2400"/>
            <w:vAlign w:val="center"/>
          </w:tcPr>
          <w:p>
            <w:pPr>
              <w:pStyle w:val="TableText"/>
            </w:pPr>
            <w:r>
              <w:t>相関異常が分かれば学習外が分かりますか</w:t>
            </w:r>
          </w:p>
        </w:tc>
        <w:tc>
          <w:tcPr>
            <w:tcW w:type="dxa" w:w="6960"/>
            <w:vAlign w:val="center"/>
          </w:tcPr>
          <w:p>
            <w:pPr>
              <w:pStyle w:val="TableText"/>
            </w:pPr>
            <w:r>
              <w:t>三番目の候補にはなりますが、通常のモード変更でも相関は変わります。学習範囲と正常運転の定義を合わせる必要があります。</w:t>
            </w:r>
          </w:p>
        </w:tc>
      </w:tr>
      <w:tr>
        <w:trPr>
          <w:cantSplit/>
        </w:trPr>
        <w:tc>
          <w:tcPr>
            <w:tcW w:type="dxa" w:w="2400"/>
            <w:vAlign w:val="center"/>
          </w:tcPr>
          <w:p>
            <w:pPr>
              <w:pStyle w:val="TableText"/>
            </w:pPr>
            <w:r>
              <w:t>ラベルなしなら性能はどう測りますか</w:t>
            </w:r>
          </w:p>
        </w:tc>
        <w:tc>
          <w:tcPr>
            <w:tcW w:type="dxa" w:w="6960"/>
            <w:vAlign w:val="center"/>
          </w:tcPr>
          <w:p>
            <w:pPr>
              <w:pStyle w:val="TableText"/>
            </w:pPr>
            <w:r>
              <w:t>真の検知率は直接計算できません。正常確認期間、保全記録、専門家確認、制御した異常注入を組み合わせ、分かる範囲を明示します。</w:t>
            </w:r>
          </w:p>
        </w:tc>
      </w:tr>
      <w:tr>
        <w:trPr>
          <w:cantSplit/>
        </w:trPr>
        <w:tc>
          <w:tcPr>
            <w:tcW w:type="dxa" w:w="2400"/>
            <w:vAlign w:val="center"/>
          </w:tcPr>
          <w:p>
            <w:pPr>
              <w:pStyle w:val="TableText"/>
            </w:pPr>
            <w:r>
              <w:t>入力だけで検知できますか</w:t>
            </w:r>
          </w:p>
        </w:tc>
        <w:tc>
          <w:tcPr>
            <w:tcW w:type="dxa" w:w="6960"/>
            <w:vAlign w:val="center"/>
          </w:tcPr>
          <w:p>
            <w:pPr>
              <w:pStyle w:val="TableText"/>
            </w:pPr>
            <w:r>
              <w:t>入力を再構成する方式や入力変数を予測する方式は可能です。業務AIの出力誤差を使う方式では正解出力が必要です。</w:t>
            </w:r>
          </w:p>
        </w:tc>
      </w:tr>
      <w:tr>
        <w:trPr>
          <w:cantSplit/>
        </w:trPr>
        <w:tc>
          <w:tcPr>
            <w:tcW w:type="dxa" w:w="2400"/>
            <w:vAlign w:val="center"/>
          </w:tcPr>
          <w:p>
            <w:pPr>
              <w:pStyle w:val="TableText"/>
            </w:pPr>
            <w:r>
              <w:t>最新の大きいモデルを使うべきですか</w:t>
            </w:r>
          </w:p>
        </w:tc>
        <w:tc>
          <w:tcPr>
            <w:tcW w:type="dxa" w:w="6960"/>
            <w:vAlign w:val="center"/>
          </w:tcPr>
          <w:p>
            <w:pPr>
              <w:pStyle w:val="TableText"/>
            </w:pPr>
            <w:r>
              <w:t>本文からその結論は出ません。まず単純な基準と関係を扱う方式を比較し、計算制約に対する効果を測ります。</w:t>
            </w:r>
          </w:p>
        </w:tc>
      </w:tr>
      <w:tr>
        <w:trPr>
          <w:cantSplit/>
        </w:trPr>
        <w:tc>
          <w:tcPr>
            <w:tcW w:type="dxa" w:w="2400"/>
            <w:vAlign w:val="center"/>
          </w:tcPr>
          <w:p>
            <w:pPr>
              <w:pStyle w:val="TableText"/>
            </w:pPr>
            <w:r>
              <w:t>一番の注意点は何ですか</w:t>
            </w:r>
          </w:p>
        </w:tc>
        <w:tc>
          <w:tcPr>
            <w:tcW w:type="dxa" w:w="6960"/>
            <w:vAlign w:val="center"/>
          </w:tcPr>
          <w:p>
            <w:pPr>
              <w:pStyle w:val="TableText"/>
            </w:pPr>
            <w:r>
              <w:t>異常検知性能と業務AIの信頼性を同じ指標にしないことです。両者の関係を実データで確認します。</w:t>
            </w:r>
          </w:p>
        </w:tc>
      </w:tr>
      <w:tr>
        <w:trPr>
          <w:cantSplit/>
        </w:trPr>
        <w:tc>
          <w:tcPr>
            <w:tcW w:type="dxa" w:w="2400"/>
            <w:vAlign w:val="center"/>
          </w:tcPr>
          <w:p>
            <w:pPr>
              <w:pStyle w:val="TableText"/>
            </w:pPr>
            <w:r>
              <w:t>何を次に報告しますか</w:t>
            </w:r>
          </w:p>
        </w:tc>
        <w:tc>
          <w:tcPr>
            <w:tcW w:type="dxa" w:w="6960"/>
            <w:vAlign w:val="center"/>
          </w:tcPr>
          <w:p>
            <w:pPr>
              <w:pStyle w:val="TableText"/>
            </w:pPr>
            <w:r>
              <w:t>MSCREDかGDNの処理手順、学習と運用の必要情報、スコアと閾値、三番目の学習外の評価方法を報告します。</w:t>
            </w:r>
          </w:p>
        </w:tc>
      </w:tr>
    </w:tbl>
    <w:p>
      <w:pPr>
        <w:spacing w:after="0"/>
        <w:snapToGrid w:val="0"/>
      </w:pPr>
    </w:p>
    <w:p>
      <w:pPr>
        <w:pStyle w:val="Heading1"/>
        <w:pageBreakBefore/>
        <w:snapToGrid w:val="0"/>
      </w:pPr>
      <w:r>
        <w:t>第四部分 方法索引と参照資料</w:t>
      </w:r>
    </w:p>
    <w:p>
      <w:pPr>
        <w:pStyle w:val="Heading2"/>
        <w:snapToGrid w:val="0"/>
      </w:pPr>
      <w:r>
        <w:t>1 表1の46モデル条目</w:t>
      </w:r>
    </w:p>
    <w:p>
      <w:pPr>
        <w:snapToGrid w:val="0"/>
      </w:pPr>
      <w:r>
        <w:t>下記はサーベイの配置を保持した索引である。各方式の全実験を個別に再検証した表ではない。同名AnomalyLLMは原文で異なる研究とされている。分類の重複は本文で説明した。</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原文の大分類</w:t>
            </w:r>
          </w:p>
        </w:tc>
        <w:tc>
          <w:tcPr>
            <w:tcW w:type="dxa" w:w="3500"/>
            <w:vAlign w:val="center"/>
            <w:shd w:fill="E8EEF5"/>
          </w:tcPr>
          <w:p>
            <w:pPr>
              <w:pStyle w:val="TableText"/>
            </w:pPr>
            <w:r>
              <w:rPr>
                <w:b/>
                <w:color w:val="1F4D78"/>
              </w:rPr>
              <w:t>骨格</w:t>
            </w:r>
          </w:p>
        </w:tc>
        <w:tc>
          <w:tcPr>
            <w:tcW w:type="dxa" w:w="3810"/>
            <w:vAlign w:val="center"/>
            <w:shd w:fill="E8EEF5"/>
          </w:tcPr>
          <w:p>
            <w:pPr>
              <w:pStyle w:val="TableText"/>
            </w:pPr>
            <w:r>
              <w:rPr>
                <w:b/>
                <w:color w:val="1F4D78"/>
              </w:rPr>
              <w:t>方法名</w:t>
            </w:r>
          </w:p>
        </w:tc>
      </w:tr>
      <w:tr>
        <w:trPr>
          <w:cantSplit/>
        </w:trPr>
        <w:tc>
          <w:tcPr>
            <w:tcW w:type="dxa" w:w="2050"/>
            <w:vAlign w:val="center"/>
          </w:tcPr>
          <w:p>
            <w:pPr>
              <w:pStyle w:val="TableText"/>
            </w:pPr>
            <w:r>
              <w:t>予測 15条目</w:t>
            </w:r>
          </w:p>
        </w:tc>
        <w:tc>
          <w:tcPr>
            <w:tcW w:type="dxa" w:w="3500"/>
            <w:vAlign w:val="center"/>
          </w:tcPr>
          <w:p>
            <w:pPr>
              <w:pStyle w:val="TableText"/>
            </w:pPr>
            <w:r>
              <w:t>CNN</w:t>
            </w:r>
          </w:p>
        </w:tc>
        <w:tc>
          <w:tcPr>
            <w:tcW w:type="dxa" w:w="3810"/>
            <w:vAlign w:val="center"/>
          </w:tcPr>
          <w:p>
            <w:pPr>
              <w:pStyle w:val="TableText"/>
            </w:pPr>
            <w:r>
              <w:t>DeepAnt TCN ms TimesNet</w:t>
            </w:r>
          </w:p>
        </w:tc>
      </w:tr>
      <w:tr>
        <w:trPr>
          <w:cantSplit/>
        </w:trPr>
        <w:tc>
          <w:tcPr>
            <w:tcW w:type="dxa" w:w="2050"/>
            <w:vAlign w:val="center"/>
          </w:tcPr>
          <w:p>
            <w:pPr>
              <w:pStyle w:val="TableText"/>
            </w:pPr>
            <w:r>
              <w:t>予測</w:t>
            </w:r>
          </w:p>
        </w:tc>
        <w:tc>
          <w:tcPr>
            <w:tcW w:type="dxa" w:w="3500"/>
            <w:vAlign w:val="center"/>
          </w:tcPr>
          <w:p>
            <w:pPr>
              <w:pStyle w:val="TableText"/>
            </w:pPr>
            <w:r>
              <w:t>RNN</w:t>
            </w:r>
          </w:p>
        </w:tc>
        <w:tc>
          <w:tcPr>
            <w:tcW w:type="dxa" w:w="3810"/>
            <w:vAlign w:val="center"/>
          </w:tcPr>
          <w:p>
            <w:pPr>
              <w:pStyle w:val="TableText"/>
            </w:pPr>
            <w:r>
              <w:t>LSTM NDT LGMAD THOC AD LTI</w:t>
            </w:r>
          </w:p>
        </w:tc>
      </w:tr>
      <w:tr>
        <w:trPr>
          <w:cantSplit/>
        </w:trPr>
        <w:tc>
          <w:tcPr>
            <w:tcW w:type="dxa" w:w="2050"/>
            <w:vAlign w:val="center"/>
          </w:tcPr>
          <w:p>
            <w:pPr>
              <w:pStyle w:val="TableText"/>
            </w:pPr>
            <w:r>
              <w:t>予測</w:t>
            </w:r>
          </w:p>
        </w:tc>
        <w:tc>
          <w:tcPr>
            <w:tcW w:type="dxa" w:w="3500"/>
            <w:vAlign w:val="center"/>
          </w:tcPr>
          <w:p>
            <w:pPr>
              <w:pStyle w:val="TableText"/>
            </w:pPr>
            <w:r>
              <w:t>GNN</w:t>
            </w:r>
          </w:p>
        </w:tc>
        <w:tc>
          <w:tcPr>
            <w:tcW w:type="dxa" w:w="3810"/>
            <w:vAlign w:val="center"/>
          </w:tcPr>
          <w:p>
            <w:pPr>
              <w:pStyle w:val="TableText"/>
            </w:pPr>
            <w:r>
              <w:t>MTAD GAT GDN FuSAGNet DVGCRN DyGraphAD</w:t>
            </w:r>
          </w:p>
        </w:tc>
      </w:tr>
      <w:tr>
        <w:trPr>
          <w:cantSplit/>
        </w:trPr>
        <w:tc>
          <w:tcPr>
            <w:tcW w:type="dxa" w:w="2050"/>
            <w:vAlign w:val="center"/>
          </w:tcPr>
          <w:p>
            <w:pPr>
              <w:pStyle w:val="TableText"/>
            </w:pPr>
            <w:r>
              <w:t>予測</w:t>
            </w:r>
          </w:p>
        </w:tc>
        <w:tc>
          <w:tcPr>
            <w:tcW w:type="dxa" w:w="3500"/>
            <w:vAlign w:val="center"/>
          </w:tcPr>
          <w:p>
            <w:pPr>
              <w:pStyle w:val="TableText"/>
            </w:pPr>
            <w:r>
              <w:t>Transformer</w:t>
            </w:r>
          </w:p>
        </w:tc>
        <w:tc>
          <w:tcPr>
            <w:tcW w:type="dxa" w:w="3810"/>
            <w:vAlign w:val="center"/>
          </w:tcPr>
          <w:p>
            <w:pPr>
              <w:pStyle w:val="TableText"/>
            </w:pPr>
            <w:r>
              <w:t>MAD CLFormer AnomalyBERT</w:t>
            </w:r>
          </w:p>
        </w:tc>
      </w:tr>
      <w:tr>
        <w:trPr>
          <w:cantSplit/>
        </w:trPr>
        <w:tc>
          <w:tcPr>
            <w:tcW w:type="dxa" w:w="2050"/>
            <w:vAlign w:val="center"/>
          </w:tcPr>
          <w:p>
            <w:pPr>
              <w:pStyle w:val="TableText"/>
            </w:pPr>
            <w:r>
              <w:t>再構成 22条目</w:t>
            </w:r>
          </w:p>
        </w:tc>
        <w:tc>
          <w:tcPr>
            <w:tcW w:type="dxa" w:w="3500"/>
            <w:vAlign w:val="center"/>
          </w:tcPr>
          <w:p>
            <w:pPr>
              <w:pStyle w:val="TableText"/>
            </w:pPr>
            <w:r>
              <w:t>AE系</w:t>
            </w:r>
          </w:p>
        </w:tc>
        <w:tc>
          <w:tcPr>
            <w:tcW w:type="dxa" w:w="3810"/>
            <w:vAlign w:val="center"/>
          </w:tcPr>
          <w:p>
            <w:pPr>
              <w:pStyle w:val="TableText"/>
            </w:pPr>
            <w:r>
              <w:t>DAGMM MSCRED USAD NPSR</w:t>
            </w:r>
          </w:p>
        </w:tc>
      </w:tr>
      <w:tr>
        <w:trPr>
          <w:cantSplit/>
        </w:trPr>
        <w:tc>
          <w:tcPr>
            <w:tcW w:type="dxa" w:w="2050"/>
            <w:vAlign w:val="center"/>
          </w:tcPr>
          <w:p>
            <w:pPr>
              <w:pStyle w:val="TableText"/>
            </w:pPr>
            <w:r>
              <w:t>再構成</w:t>
            </w:r>
          </w:p>
        </w:tc>
        <w:tc>
          <w:tcPr>
            <w:tcW w:type="dxa" w:w="3500"/>
            <w:vAlign w:val="center"/>
          </w:tcPr>
          <w:p>
            <w:pPr>
              <w:pStyle w:val="TableText"/>
            </w:pPr>
            <w:r>
              <w:t>VAE系</w:t>
            </w:r>
          </w:p>
        </w:tc>
        <w:tc>
          <w:tcPr>
            <w:tcW w:type="dxa" w:w="3810"/>
            <w:vAlign w:val="center"/>
          </w:tcPr>
          <w:p>
            <w:pPr>
              <w:pStyle w:val="TableText"/>
            </w:pPr>
            <w:r>
              <w:t>LSTM VAE OmniAnomaly InterFusion SLA VAE LARA</w:t>
            </w:r>
          </w:p>
        </w:tc>
      </w:tr>
      <w:tr>
        <w:trPr>
          <w:cantSplit/>
        </w:trPr>
        <w:tc>
          <w:tcPr>
            <w:tcW w:type="dxa" w:w="2050"/>
            <w:vAlign w:val="center"/>
          </w:tcPr>
          <w:p>
            <w:pPr>
              <w:pStyle w:val="TableText"/>
            </w:pPr>
            <w:r>
              <w:t>再構成</w:t>
            </w:r>
          </w:p>
        </w:tc>
        <w:tc>
          <w:tcPr>
            <w:tcW w:type="dxa" w:w="3500"/>
            <w:vAlign w:val="center"/>
          </w:tcPr>
          <w:p>
            <w:pPr>
              <w:pStyle w:val="TableText"/>
            </w:pPr>
            <w:r>
              <w:t>GAN系</w:t>
            </w:r>
          </w:p>
        </w:tc>
        <w:tc>
          <w:tcPr>
            <w:tcW w:type="dxa" w:w="3810"/>
            <w:vAlign w:val="center"/>
          </w:tcPr>
          <w:p>
            <w:pPr>
              <w:pStyle w:val="TableText"/>
            </w:pPr>
            <w:r>
              <w:t>MAD GAN TadGAN MIM GAN DAEMON DCGAN</w:t>
            </w:r>
          </w:p>
        </w:tc>
      </w:tr>
      <w:tr>
        <w:trPr>
          <w:cantSplit/>
        </w:trPr>
        <w:tc>
          <w:tcPr>
            <w:tcW w:type="dxa" w:w="2050"/>
            <w:vAlign w:val="center"/>
          </w:tcPr>
          <w:p>
            <w:pPr>
              <w:pStyle w:val="TableText"/>
            </w:pPr>
            <w:r>
              <w:t>再構成</w:t>
            </w:r>
          </w:p>
        </w:tc>
        <w:tc>
          <w:tcPr>
            <w:tcW w:type="dxa" w:w="3500"/>
            <w:vAlign w:val="center"/>
          </w:tcPr>
          <w:p>
            <w:pPr>
              <w:pStyle w:val="TableText"/>
            </w:pPr>
            <w:r>
              <w:t>Diffusion系</w:t>
            </w:r>
          </w:p>
        </w:tc>
        <w:tc>
          <w:tcPr>
            <w:tcW w:type="dxa" w:w="3810"/>
            <w:vAlign w:val="center"/>
          </w:tcPr>
          <w:p>
            <w:pPr>
              <w:pStyle w:val="TableText"/>
            </w:pPr>
            <w:r>
              <w:t>DiffusionAE D3R</w:t>
            </w:r>
          </w:p>
        </w:tc>
      </w:tr>
      <w:tr>
        <w:trPr>
          <w:cantSplit/>
        </w:trPr>
        <w:tc>
          <w:tcPr>
            <w:tcW w:type="dxa" w:w="2050"/>
            <w:vAlign w:val="center"/>
          </w:tcPr>
          <w:p>
            <w:pPr>
              <w:pStyle w:val="TableText"/>
            </w:pPr>
            <w:r>
              <w:t>再構成</w:t>
            </w:r>
          </w:p>
        </w:tc>
        <w:tc>
          <w:tcPr>
            <w:tcW w:type="dxa" w:w="3500"/>
            <w:vAlign w:val="center"/>
          </w:tcPr>
          <w:p>
            <w:pPr>
              <w:pStyle w:val="TableText"/>
            </w:pPr>
            <w:r>
              <w:t>Transformer系</w:t>
            </w:r>
          </w:p>
        </w:tc>
        <w:tc>
          <w:tcPr>
            <w:tcW w:type="dxa" w:w="3810"/>
            <w:vAlign w:val="center"/>
          </w:tcPr>
          <w:p>
            <w:pPr>
              <w:pStyle w:val="TableText"/>
            </w:pPr>
            <w:r>
              <w:t>TransAnomaly Anomaly Transformer TranAD MEMTO Dual TF CATCH</w:t>
            </w:r>
          </w:p>
        </w:tc>
      </w:tr>
      <w:tr>
        <w:trPr>
          <w:cantSplit/>
        </w:trPr>
        <w:tc>
          <w:tcPr>
            <w:tcW w:type="dxa" w:w="2050"/>
            <w:vAlign w:val="center"/>
          </w:tcPr>
          <w:p>
            <w:pPr>
              <w:pStyle w:val="TableText"/>
            </w:pPr>
            <w:r>
              <w:t>対比 9条目</w:t>
            </w:r>
          </w:p>
        </w:tc>
        <w:tc>
          <w:tcPr>
            <w:tcW w:type="dxa" w:w="3500"/>
            <w:vAlign w:val="center"/>
          </w:tcPr>
          <w:p>
            <w:pPr>
              <w:pStyle w:val="TableText"/>
            </w:pPr>
            <w:r>
              <w:t>LLM系</w:t>
            </w:r>
          </w:p>
        </w:tc>
        <w:tc>
          <w:tcPr>
            <w:tcW w:type="dxa" w:w="3810"/>
            <w:vAlign w:val="center"/>
          </w:tcPr>
          <w:p>
            <w:pPr>
              <w:pStyle w:val="TableText"/>
            </w:pPr>
            <w:r>
              <w:t>AnomalyLLM 参考文献56 aLLM4TS AnomalyLLM 参考文献58</w:t>
            </w:r>
          </w:p>
        </w:tc>
      </w:tr>
      <w:tr>
        <w:trPr>
          <w:cantSplit/>
        </w:trPr>
        <w:tc>
          <w:tcPr>
            <w:tcW w:type="dxa" w:w="2050"/>
            <w:vAlign w:val="center"/>
          </w:tcPr>
          <w:p>
            <w:pPr>
              <w:pStyle w:val="TableText"/>
            </w:pPr>
            <w:r>
              <w:t>対比</w:t>
            </w:r>
          </w:p>
        </w:tc>
        <w:tc>
          <w:tcPr>
            <w:tcW w:type="dxa" w:w="3500"/>
            <w:vAlign w:val="center"/>
          </w:tcPr>
          <w:p>
            <w:pPr>
              <w:pStyle w:val="TableText"/>
            </w:pPr>
            <w:r>
              <w:t>MLP Mixer</w:t>
            </w:r>
          </w:p>
        </w:tc>
        <w:tc>
          <w:tcPr>
            <w:tcW w:type="dxa" w:w="3810"/>
            <w:vAlign w:val="center"/>
          </w:tcPr>
          <w:p>
            <w:pPr>
              <w:pStyle w:val="TableText"/>
            </w:pPr>
            <w:r>
              <w:t>PatchAD</w:t>
            </w:r>
          </w:p>
        </w:tc>
      </w:tr>
      <w:tr>
        <w:trPr>
          <w:cantSplit/>
        </w:trPr>
        <w:tc>
          <w:tcPr>
            <w:tcW w:type="dxa" w:w="2050"/>
            <w:vAlign w:val="center"/>
          </w:tcPr>
          <w:p>
            <w:pPr>
              <w:pStyle w:val="TableText"/>
            </w:pPr>
            <w:r>
              <w:t>対比</w:t>
            </w:r>
          </w:p>
        </w:tc>
        <w:tc>
          <w:tcPr>
            <w:tcW w:type="dxa" w:w="3500"/>
            <w:vAlign w:val="center"/>
          </w:tcPr>
          <w:p>
            <w:pPr>
              <w:pStyle w:val="TableText"/>
            </w:pPr>
            <w:r>
              <w:t>Transformer系</w:t>
            </w:r>
          </w:p>
        </w:tc>
        <w:tc>
          <w:tcPr>
            <w:tcW w:type="dxa" w:w="3810"/>
            <w:vAlign w:val="center"/>
          </w:tcPr>
          <w:p>
            <w:pPr>
              <w:pStyle w:val="TableText"/>
            </w:pPr>
            <w:r>
              <w:t>TRL CPC RESIST DCdetector SimAD RESTAD</w:t>
            </w:r>
          </w:p>
        </w:tc>
      </w:tr>
    </w:tbl>
    <w:p>
      <w:pPr>
        <w:spacing w:after="0"/>
        <w:snapToGrid w:val="0"/>
      </w:pPr>
    </w:p>
    <w:p>
      <w:pPr>
        <w:pStyle w:val="Heading2"/>
        <w:snapToGrid w:val="0"/>
      </w:pPr>
      <w:r>
        <w:t>2 本篇の根拠と参照箇所</w:t>
      </w:r>
    </w:p>
    <w:p>
      <w:pPr>
        <w:snapToGrid w:val="0"/>
      </w:pPr>
      <w:r>
        <w:t>[S1] Wang F, Jiang Y, Zhang R, Wei A, Xie J, Pang X. A Survey of Deep Anomaly Detection in Multivariate Time Series: Taxonomy, Applications, and Directions. Sensors. 2025;25(1):190. 添付S6.pdf全文。第2節は定義、第3節表1は分類、第4至6節は方法、第7節表2はデータ、第8節は将来方向。論文のCC BY 4.0と各データセットのライセンスは別である。</w:t>
      </w:r>
    </w:p>
    <w:p>
      <w:pPr>
        <w:pStyle w:val="SourceText"/>
        <w:snapToGrid w:val="0"/>
      </w:pPr>
      <w:r/>
      <w:hyperlink r:id="rId11">
        <w:r>
          <w:rPr>
            <w:color w:val="2E74B5"/>
          </w:rPr>
          <w:t>https://doi.org/10.3390/s25010190</w:t>
        </w:r>
      </w:hyperlink>
      <w:r/>
    </w:p>
    <w:p>
      <w:pPr>
        <w:snapToGrid w:val="0"/>
      </w:pPr>
      <w:r>
        <w:t>[S2] Zhang C et al. A Deep Neural Network for Unsupervised Anomaly Detection and Diagnosis in Multivariate Time Series Data. MSCRED原論文、AAAI 2019。関係行列、時間依存、再構成残差の説明を補足確認。</w:t>
      </w:r>
    </w:p>
    <w:p>
      <w:pPr>
        <w:pStyle w:val="SourceText"/>
        <w:snapToGrid w:val="0"/>
      </w:pPr>
      <w:r/>
      <w:hyperlink r:id="rId12">
        <w:r>
          <w:rPr>
            <w:color w:val="2E74B5"/>
          </w:rPr>
          <w:t>https://arxiv.org/abs/1811.08055</w:t>
        </w:r>
      </w:hyperlink>
      <w:r/>
    </w:p>
    <w:p>
      <w:pPr>
        <w:snapToGrid w:val="0"/>
      </w:pPr>
      <w:r>
        <w:t>[S3] Deng A, Hooi B. Graph Neural Network-Based Anomaly Detection in Multivariate Time Series. AAAI 2021;35(5):4027–4035。GDNの正式書誌と構造学習の位置付け。</w:t>
      </w:r>
    </w:p>
    <w:p>
      <w:pPr>
        <w:pStyle w:val="SourceText"/>
        <w:snapToGrid w:val="0"/>
      </w:pPr>
      <w:r/>
      <w:hyperlink r:id="rId13">
        <w:r>
          <w:rPr>
            <w:color w:val="2E74B5"/>
          </w:rPr>
          <w:t>https://doi.org/10.1609/aaai.v35i5.16523</w:t>
        </w:r>
      </w:hyperlink>
      <w:r/>
    </w:p>
    <w:p>
      <w:pPr>
        <w:snapToGrid w:val="0"/>
      </w:pPr>
      <w:r>
        <w:t>[S4] Yang Y et al. DCdetector: Dual Attention Contrastive Representation Learning for Time Series Anomaly Detection. KDD 2023。双注意と純対比学習の位置付け。</w:t>
      </w:r>
    </w:p>
    <w:p>
      <w:pPr>
        <w:pStyle w:val="SourceText"/>
        <w:snapToGrid w:val="0"/>
      </w:pPr>
      <w:r/>
      <w:hyperlink r:id="rId14">
        <w:r>
          <w:rPr>
            <w:color w:val="2E74B5"/>
          </w:rPr>
          <w:t>https://arxiv.org/abs/2306.10347</w:t>
        </w:r>
      </w:hyperlink>
      <w:r/>
    </w:p>
    <w:p>
      <w:pPr>
        <w:snapToGrid w:val="0"/>
      </w:pPr>
      <w:r>
        <w:t>[S5] SUTD iTrust SWaT公式データ案内と提供条件入口。採用版を指定して利用。</w:t>
      </w:r>
    </w:p>
    <w:p>
      <w:pPr>
        <w:pStyle w:val="SourceText"/>
        <w:snapToGrid w:val="0"/>
      </w:pPr>
      <w:r/>
      <w:hyperlink r:id="rId15">
        <w:r>
          <w:rPr>
            <w:color w:val="2E74B5"/>
          </w:rPr>
          <w:t>https://www.sutd.edu.sg/itrust/itrust-labs/datasets/dataset-characteristics/swat/</w:t>
        </w:r>
      </w:hyperlink>
      <w:r/>
    </w:p>
    <w:p>
      <w:pPr>
        <w:pStyle w:val="SourceText"/>
        <w:snapToGrid w:val="0"/>
      </w:pPr>
      <w:r/>
      <w:hyperlink r:id="rId16">
        <w:r>
          <w:rPr>
            <w:color w:val="2E74B5"/>
          </w:rPr>
          <w:t>https://www.sutd.edu.sg/itrust/itrust-labs/datasets/</w:t>
        </w:r>
      </w:hyperlink>
      <w:r/>
    </w:p>
    <w:p>
      <w:pPr>
        <w:snapToGrid w:val="0"/>
      </w:pPr>
      <w:r>
        <w:t>[S6] SUTD iTrust WaDi公式説明。A1の16日、正常14日、攻撃2日、123項目、15攻撃を確認。</w:t>
      </w:r>
    </w:p>
    <w:p>
      <w:pPr>
        <w:pStyle w:val="SourceText"/>
        <w:snapToGrid w:val="0"/>
      </w:pPr>
      <w:r/>
      <w:hyperlink r:id="rId17">
        <w:r>
          <w:rPr>
            <w:color w:val="2E74B5"/>
          </w:rPr>
          <w:t>https://www.sutd.edu.sg/itrust/itrust-labs/datasets/dataset-characteristics/wadi/</w:t>
        </w:r>
      </w:hyperlink>
      <w:r/>
    </w:p>
    <w:p>
      <w:pPr>
        <w:snapToGrid w:val="0"/>
      </w:pPr>
      <w:r>
        <w:t>[S7] OmniAnomaly著者公開リポジトリ。SMDの機械別データ、分割、テストラベルと解釈ラベルの説明。</w:t>
      </w:r>
    </w:p>
    <w:p>
      <w:pPr>
        <w:pStyle w:val="SourceText"/>
        <w:snapToGrid w:val="0"/>
      </w:pPr>
      <w:r/>
      <w:hyperlink r:id="rId18">
        <w:r>
          <w:rPr>
            <w:color w:val="2E74B5"/>
          </w:rPr>
          <w:t>https://github.com/NetManAIOps/OmniAnomaly</w:t>
        </w:r>
      </w:hyperlink>
      <w:r/>
    </w:p>
    <w:p>
      <w:pPr>
        <w:snapToGrid w:val="0"/>
      </w:pPr>
      <w:r>
        <w:t>[S8] Telemanom著者公開リポジトリ。SMAPとMSLのデータ配布、異常区間情報の入口。</w:t>
      </w:r>
    </w:p>
    <w:p>
      <w:pPr>
        <w:pStyle w:val="SourceText"/>
        <w:snapToGrid w:val="0"/>
      </w:pPr>
      <w:r/>
      <w:hyperlink r:id="rId19">
        <w:r>
          <w:rPr>
            <w:color w:val="2E74B5"/>
          </w:rPr>
          <w:t>https://github.com/khundman/telemanom</w:t>
        </w:r>
      </w:hyperlink>
      <w:r/>
    </w:p>
    <w:p>
      <w:pPr>
        <w:snapToGrid w:val="0"/>
      </w:pPr>
      <w:r>
        <w:t>参照確認日 2026年9月8日。追加の原論文確認は上記の分類・データ説明に限定し、個別手法の閾値や性能値は次の精読で確定する。</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88A"/>
        <w:sz w:val="16"/>
      </w:rPr>
      <w:t xml:space="preserve">2026-09-08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Text"/>
    </w:pPr>
    <w:r>
      <w:rPr>
        <w:color w:val="68788A"/>
        <w:sz w:val="16"/>
      </w:rPr>
      <w:t>P04  /  多変量時系列異常検知サーベイ     论文精读・研究報告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1">
    <w:lvl w:ilvl="0">
      <w:start w:val="1"/>
      <w:numFmt w:val="bullet"/>
      <w:lvlText w:val="•"/>
      <w:lvlJc w:val="left"/>
      <w:pPr>
        <w:tabs>
          <w:tab w:val="num" w:pos="540"/>
        </w:tabs>
        <w:ind w:left="540" w:hanging="271"/>
        <w:spacing w:before="0" w:after="80" w:line="300"/>
      </w:p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0" w:lineRule="exact"/>
    </w:pPr>
    <w:rPr>
      <w:rFonts w:ascii="Noto Sans CJK SC" w:hAnsi="Noto Sans CJK SC" w:eastAsia="Noto Sans CJK SC"/>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Noto Sans CJK SC" w:hAnsi="Noto Sans CJK SC"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Noto Sans CJK SC" w:hAnsi="Noto Sans CJK SC"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Noto Sans CJK SC" w:hAnsi="Noto Sans CJK SC"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88" w:lineRule="auto" w:before="0"/>
      <w:contextualSpacing/>
    </w:pPr>
    <w:rPr>
      <w:rFonts w:asciiTheme="majorHAnsi" w:eastAsiaTheme="majorEastAsia" w:hAnsiTheme="majorHAnsi" w:cstheme="majorBidi" w:ascii="Noto Sans CJK SC" w:hAnsi="Noto Sans CJK SC" w:eastAsia="Noto Sans CJK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80" w:line="260" w:lineRule="exact"/>
    </w:pPr>
    <w:rPr>
      <w:rFonts w:ascii="Noto Sans CJK SC" w:hAnsi="Noto Sans CJK SC" w:eastAsia="Noto Sans CJK SC"/>
      <w:b w:val="0"/>
      <w:color w:val="222222"/>
      <w:sz w:val="19"/>
    </w:rPr>
  </w:style>
  <w:style w:type="paragraph" w:customStyle="1" w:styleId="EquationText">
    <w:name w:val="Equation Text"/>
    <w:pPr>
      <w:keepNext/>
      <w:spacing w:before="100" w:after="140" w:line="320" w:lineRule="exact"/>
    </w:pPr>
    <w:rPr>
      <w:rFonts w:ascii="Noto Sans CJK SC" w:hAnsi="Noto Sans CJK SC" w:eastAsia="Noto Sans CJK SC"/>
      <w:b w:val="0"/>
      <w:color w:val="222222"/>
      <w:sz w:val="22"/>
    </w:rPr>
  </w:style>
  <w:style w:type="paragraph" w:customStyle="1" w:styleId="SourceText">
    <w:name w:val="Source Text"/>
    <w:pPr>
      <w:spacing w:before="80" w:after="80" w:line="320" w:lineRule="exact"/>
    </w:pPr>
    <w:rPr>
      <w:rFonts w:ascii="Noto Sans CJK SC" w:hAnsi="Noto Sans CJK SC" w:eastAsia="Noto Sans CJK SC"/>
      <w:b w:val="0"/>
      <w:color w:val="222222"/>
      <w:sz w:val="18"/>
    </w:rPr>
  </w:style>
  <w:style w:type="paragraph" w:customStyle="1" w:styleId="ReportBullet">
    <w:name w:val="Report Bullet"/>
    <w:pPr>
      <w:spacing w:before="0" w:after="80" w:line="320" w:lineRule="exact"/>
    </w:pPr>
    <w:rPr>
      <w:rFonts w:ascii="Noto Sans CJK SC" w:hAnsi="Noto Sans CJK SC" w:eastAsia="Noto Sans CJK SC"/>
      <w:b w:val="0"/>
      <w:color w:val="22222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3390/s25010190" TargetMode="External"/><Relationship Id="rId12" Type="http://schemas.openxmlformats.org/officeDocument/2006/relationships/hyperlink" Target="https://arxiv.org/abs/1811.08055" TargetMode="External"/><Relationship Id="rId13" Type="http://schemas.openxmlformats.org/officeDocument/2006/relationships/hyperlink" Target="https://doi.org/10.1609/aaai.v35i5.16523" TargetMode="External"/><Relationship Id="rId14" Type="http://schemas.openxmlformats.org/officeDocument/2006/relationships/hyperlink" Target="https://arxiv.org/abs/2306.10347" TargetMode="External"/><Relationship Id="rId15" Type="http://schemas.openxmlformats.org/officeDocument/2006/relationships/hyperlink" Target="https://www.sutd.edu.sg/itrust/itrust-labs/datasets/dataset-characteristics/swat/" TargetMode="External"/><Relationship Id="rId16" Type="http://schemas.openxmlformats.org/officeDocument/2006/relationships/hyperlink" Target="https://www.sutd.edu.sg/itrust/itrust-labs/datasets/" TargetMode="External"/><Relationship Id="rId17" Type="http://schemas.openxmlformats.org/officeDocument/2006/relationships/hyperlink" Target="https://www.sutd.edu.sg/itrust/itrust-labs/datasets/dataset-characteristics/wadi/" TargetMode="External"/><Relationship Id="rId18" Type="http://schemas.openxmlformats.org/officeDocument/2006/relationships/hyperlink" Target="https://github.com/NetManAIOps/OmniAnomaly" TargetMode="External"/><Relationship Id="rId19" Type="http://schemas.openxmlformats.org/officeDocument/2006/relationships/hyperlink" Target="https://github.com/khundman/teleman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多变量时序异常检测综述精读与研究分析</dc:title>
  <dc:subject>中文精读／日本語研究報告／口頭説明</dc:subject>
  <dc:creator>研究整理</dc:creator>
  <cp:keywords>学習外入力データ, Reconditionor, SOLID, CDS, 時系列予測</cp:keywords>
  <dc:description>generated by python-docx</dc:description>
  <cp:lastModifiedBy/>
  <cp:revision>1</cp:revision>
  <dcterms:created xsi:type="dcterms:W3CDTF">2013-12-23T23:15:00Z</dcterms:created>
  <dcterms:modified xsi:type="dcterms:W3CDTF">2013-12-23T23:15:00Z</dcterms:modified>
  <cp:category/>
</cp:coreProperties>
</file>