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16种算法的英文名称与回归模型标注</w:t>
      </w:r>
    </w:p>
    <w:p>
      <w:r>
        <w:t>对应论文 Do Deep Neural Networks Contribute to Multivariate Time Series Anomaly Detection?</w:t>
      </w:r>
    </w:p>
    <w:p>
      <w:r>
        <w:t>判断口径：按本文中的用途，将预测后续连续数值的模型标为回归模型；以重构输入为目标的模型单独标注。以下分类是本报告的整理，并非论文原有的回归模型分类。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16"/>
        <w:gridCol w:w="1224"/>
        <w:gridCol w:w="1008"/>
        <w:gridCol w:w="4320"/>
      </w:tblGrid>
      <w:tr>
        <w:trPr>
          <w:cantSplit/>
          <w:tblHeader/>
        </w:trPr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English name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缩写</w:t>
            </w:r>
          </w:p>
        </w:tc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40" w:lineRule="auto"/>
              <w:jc w:val="center"/>
            </w:pPr>
            <w:r>
              <w:rPr>
                <w:b/>
                <w:sz w:val="18"/>
              </w:rPr>
              <w:t>回归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DCE6F1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>模型性质与说明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Multivariate Cumulative Sum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MCUSUM</w:t>
            </w:r>
          </w:p>
        </w:tc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✗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多变量累积和控制图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Multivariate Exponentially Weighted Moving Average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MEWMA</w:t>
            </w:r>
          </w:p>
        </w:tc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✗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多变量指数加权移动平均控制图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Vector Autoregression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VAR</w:t>
            </w:r>
          </w:p>
        </w:tc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✓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向量自回归；用历史多变量值预测当前连续值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Principal Component Analysis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PCA</w:t>
            </w:r>
          </w:p>
        </w:tc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✗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主成分分析；利用投影与重构残差检测异常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Singular Spectrum Analysis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SSA</w:t>
            </w:r>
          </w:p>
        </w:tc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✗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本文用于序列分解与重构；虽可扩展用于预测，此处不作为回归模型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Independent Component Analysis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ICA</w:t>
            </w:r>
          </w:p>
        </w:tc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✗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独立成分分析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Matrix Profile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MP</w:t>
            </w:r>
          </w:p>
        </w:tc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✗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基于时间序列子序列距离的检测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Isolation Forest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IF</w:t>
            </w:r>
          </w:p>
        </w:tc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✗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基于随机划分的异常检测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Local Outlier Factor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LOF</w:t>
            </w:r>
          </w:p>
        </w:tc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✗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基于局部相对密度的异常检测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Density-Based Spatial Clustering of Applications with Noise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DBSCAN</w:t>
            </w:r>
          </w:p>
        </w:tc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✗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基于密度的聚类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One-Class Support Vector Machine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OC-SVM</w:t>
            </w:r>
          </w:p>
        </w:tc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✗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学习正常区域边界；不是支持向量回归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Autoencoder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AE</w:t>
            </w:r>
          </w:p>
        </w:tc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△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重构模型：输出连续值，但目标是重构输入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UnSupervised Anomaly Detection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USAD</w:t>
            </w:r>
          </w:p>
        </w:tc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△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基于自编码器的对抗式重构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Long Short-Term Memory Variational Autoencoder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LSTM-VAE</w:t>
            </w:r>
          </w:p>
        </w:tc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△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概率重构模型：利用时序结构进行变分编码与重构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Deep Autoencoding Gaussian Mixture Model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DAGMM</w:t>
            </w:r>
          </w:p>
        </w:tc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△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重构与密度模型：自编码器结合高斯混合模型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OmniAnomaly</w:t>
            </w:r>
          </w:p>
        </w:tc>
        <w:tc>
          <w:tcPr>
            <w:tcW w:type="dxa" w:w="1224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08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  <w:jc w:val="center"/>
            </w:pPr>
            <w:r>
              <w:rPr>
                <w:b w:val="0"/>
                <w:sz w:val="18"/>
              </w:rPr>
              <w:t>△</w:t>
            </w:r>
          </w:p>
        </w:tc>
        <w:tc>
          <w:tcPr>
            <w:tcW w:type="dxa" w:w="4320"/>
            <w:vAlign w:val="center"/>
            <w:tcMar>
              <w:top w:w="85" w:type="dxa"/>
              <w:left w:w="85" w:type="dxa"/>
              <w:bottom w:w="85" w:type="dxa"/>
              <w:right w:w="85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0" w:line="240" w:lineRule="auto"/>
            </w:pPr>
            <w:r>
              <w:rPr>
                <w:b w:val="0"/>
                <w:sz w:val="18"/>
              </w:rPr>
              <w:t>概率时序重构模型：学习随机潜在表示，以重构概率检测异常</w:t>
            </w:r>
          </w:p>
        </w:tc>
      </w:tr>
    </w:tbl>
    <w:p>
      <w:r>
        <w:t>标记说明：✓ 回归预测模型；✗ 本文用途不属于回归预测；△ 重构或概率建模，单独列示。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40" w:lineRule="auto"/>
    </w:pPr>
    <w:rPr>
      <w:rFonts w:ascii="Noto Sans CJK SC" w:hAnsi="Noto Sans CJK SC" w:eastAsia="Noto Sans CJK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