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Density-Regression 论文精读与研究分析</w:t>
      </w:r>
    </w:p>
    <w:p>
      <w:pPr>
        <w:snapToGrid w:val="0"/>
      </w:pPr>
      <w:r>
        <w:t>中文学习材料 · 日本語研究報告 · 口頭説明原稿</w:t>
      </w:r>
    </w:p>
    <w:p>
      <w:pPr>
        <w:snapToGrid w:val="0"/>
      </w:pPr>
      <w:r>
        <w:t>研究对象：学習外入力データ検知／多変量数値データ／回帰モデル</w:t>
      </w:r>
    </w:p>
    <w:p>
      <w:pPr>
        <w:snapToGrid w:val="0"/>
      </w:pPr>
      <w:r>
        <w:t>阅读日期：2026年9月8日　版本：第1篇 · 初读与证据核对版</w:t>
      </w:r>
    </w:p>
    <w:p>
      <w:pPr>
        <w:snapToGrid w:val="0"/>
      </w:pPr>
      <w:r>
        <w:t>本报告基于上传的25页PDF、正式出版记录、作者公开代码和数据提供方页面。正文页码统一指上传PDF的物理页码，不是PMLR页码。代码核对属于静态阅读和CSV统计，本次未训练模型，也未复现实验指标。</w:t>
      </w:r>
    </w:p>
    <w:p>
      <w:pPr>
        <w:snapToGrid w:val="0"/>
      </w:pPr>
      <w:r>
        <w:t>证据标记：【论文】原文明确内容；【代码】公开实现及随附CSV；【补充来源】数据官方页面；【推导】本报告独立推导；【应用建议】针对实习课题的设计；【未报告／待核实】目前证据不足。各部分共用文末来源编号。</w:t>
      </w:r>
    </w:p>
    <w:p>
      <w:pPr>
        <w:pStyle w:val="Heading2"/>
        <w:snapToGrid w:val="0"/>
      </w:pPr>
      <w:r>
        <w:t>先读这一页：本篇可以怎样向带教定位</w:t>
      </w:r>
    </w:p>
    <w:p>
      <w:pPr>
        <w:snapToGrid w:val="0"/>
      </w:pPr>
      <w:r>
        <w:t>本篇研究的是“分布变化时，回归模型能否合理表达自己有多不确定”。算法名为Density-Regression。核心思路是将训练特征的概率密度接入预测分布：在其他条件相同的情况下，密度越低，预测方差越大。它属于密度与预测不确定性相结合的方法。【论文：§3，PDF pp.4–6】</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要求</w:t>
            </w:r>
          </w:p>
        </w:tc>
        <w:tc>
          <w:tcPr>
            <w:tcW w:type="dxa" w:w="3500"/>
            <w:vAlign w:val="center"/>
            <w:shd w:fill="E8EEF5"/>
          </w:tcPr>
          <w:p>
            <w:pPr>
              <w:pStyle w:val="TableText"/>
              <w:keepNext/>
            </w:pPr>
            <w:r>
              <w:rPr>
                <w:b/>
                <w:color w:val="1F4D78"/>
              </w:rPr>
              <w:t>本篇判断</w:t>
            </w:r>
          </w:p>
        </w:tc>
        <w:tc>
          <w:tcPr>
            <w:tcW w:type="dxa" w:w="3810"/>
            <w:vAlign w:val="center"/>
            <w:shd w:fill="E8EEF5"/>
          </w:tcPr>
          <w:p>
            <w:pPr>
              <w:pStyle w:val="TableText"/>
              <w:keepNext/>
            </w:pPr>
            <w:r>
              <w:rPr>
                <w:b/>
                <w:color w:val="1F4D78"/>
              </w:rPr>
              <w:t>必须保留的限定</w:t>
            </w:r>
          </w:p>
        </w:tc>
      </w:tr>
      <w:tr>
        <w:trPr>
          <w:cantSplit/>
        </w:trPr>
        <w:tc>
          <w:tcPr>
            <w:tcW w:type="dxa" w:w="2050"/>
            <w:vAlign w:val="center"/>
          </w:tcPr>
          <w:p>
            <w:pPr>
              <w:pStyle w:val="TableText"/>
              <w:keepNext/>
            </w:pPr>
            <w:r>
              <w:t>学習外／OOD／anomaly detection</w:t>
            </w:r>
          </w:p>
        </w:tc>
        <w:tc>
          <w:tcPr>
            <w:tcW w:type="dxa" w:w="3500"/>
            <w:vAlign w:val="center"/>
          </w:tcPr>
          <w:p>
            <w:pPr>
              <w:pStyle w:val="TableText"/>
              <w:keepNext/>
            </w:pPr>
            <w:r>
              <w:t>△ 与学習外直接相关</w:t>
            </w:r>
          </w:p>
        </w:tc>
        <w:tc>
          <w:tcPr>
            <w:tcW w:type="dxa" w:w="3810"/>
            <w:vAlign w:val="center"/>
          </w:tcPr>
          <w:p>
            <w:pPr>
              <w:pStyle w:val="TableText"/>
              <w:keepNext/>
            </w:pPr>
            <w:r>
              <w:t>验证分布变化下的不确定性；未给出二元异常阈值和检测率。</w:t>
            </w:r>
          </w:p>
        </w:tc>
      </w:tr>
      <w:tr>
        <w:trPr>
          <w:cantSplit/>
        </w:trPr>
        <w:tc>
          <w:tcPr>
            <w:tcW w:type="dxa" w:w="2050"/>
            <w:vAlign w:val="center"/>
          </w:tcPr>
          <w:p>
            <w:pPr>
              <w:pStyle w:val="TableText"/>
              <w:keepNext/>
            </w:pPr>
            <w:r>
              <w:t>多变量数值输入</w:t>
            </w:r>
          </w:p>
        </w:tc>
        <w:tc>
          <w:tcPr>
            <w:tcW w:type="dxa" w:w="3500"/>
            <w:vAlign w:val="center"/>
          </w:tcPr>
          <w:p>
            <w:pPr>
              <w:pStyle w:val="TableText"/>
              <w:keepNext/>
            </w:pPr>
            <w:r>
              <w:t>✓</w:t>
            </w:r>
          </w:p>
        </w:tc>
        <w:tc>
          <w:tcPr>
            <w:tcW w:type="dxa" w:w="3810"/>
            <w:vAlign w:val="center"/>
          </w:tcPr>
          <w:p>
            <w:pPr>
              <w:pStyle w:val="TableText"/>
              <w:keepNext/>
            </w:pPr>
            <w:r>
              <w:t>天气、Wine Quality等实验符合；不是所有实验都符合。</w:t>
            </w:r>
          </w:p>
        </w:tc>
      </w:tr>
      <w:tr>
        <w:trPr>
          <w:cantSplit/>
        </w:trPr>
        <w:tc>
          <w:tcPr>
            <w:tcW w:type="dxa" w:w="2050"/>
            <w:vAlign w:val="center"/>
          </w:tcPr>
          <w:p>
            <w:pPr>
              <w:pStyle w:val="TableText"/>
              <w:keepNext/>
            </w:pPr>
            <w:r>
              <w:t>回归模型</w:t>
            </w:r>
          </w:p>
        </w:tc>
        <w:tc>
          <w:tcPr>
            <w:tcW w:type="dxa" w:w="3500"/>
            <w:vAlign w:val="center"/>
          </w:tcPr>
          <w:p>
            <w:pPr>
              <w:pStyle w:val="TableText"/>
              <w:keepNext/>
            </w:pPr>
            <w:r>
              <w:t>✓</w:t>
            </w:r>
          </w:p>
        </w:tc>
        <w:tc>
          <w:tcPr>
            <w:tcW w:type="dxa" w:w="3810"/>
            <w:vAlign w:val="center"/>
          </w:tcPr>
          <w:p>
            <w:pPr>
              <w:pStyle w:val="TableText"/>
              <w:keepNext/>
            </w:pPr>
            <w:r>
              <w:t>输出连续目标的均值与方差；天气是多输入、单目标温度回归。</w:t>
            </w:r>
          </w:p>
        </w:tc>
      </w:tr>
      <w:tr>
        <w:trPr>
          <w:cantSplit/>
        </w:trPr>
        <w:tc>
          <w:tcPr>
            <w:tcW w:type="dxa" w:w="2050"/>
            <w:vAlign w:val="center"/>
          </w:tcPr>
          <w:p>
            <w:pPr>
              <w:pStyle w:val="TableText"/>
              <w:keepNext/>
            </w:pPr>
            <w:r>
              <w:t>时间序列数据</w:t>
            </w:r>
          </w:p>
        </w:tc>
        <w:tc>
          <w:tcPr>
            <w:tcW w:type="dxa" w:w="3500"/>
            <w:vAlign w:val="center"/>
          </w:tcPr>
          <w:p>
            <w:pPr>
              <w:pStyle w:val="TableText"/>
              <w:keepNext/>
            </w:pPr>
            <w:r>
              <w:t>✓ 数据层面；△ 时序建模层面</w:t>
            </w:r>
          </w:p>
        </w:tc>
        <w:tc>
          <w:tcPr>
            <w:tcW w:type="dxa" w:w="3810"/>
            <w:vAlign w:val="center"/>
          </w:tcPr>
          <w:p>
            <w:pPr>
              <w:pStyle w:val="TableText"/>
              <w:keepNext/>
            </w:pPr>
            <w:r>
              <w:t>天气代码用单时刻输入预测下一时刻；并非显式学习长序列依赖。</w:t>
            </w:r>
          </w:p>
        </w:tc>
      </w:tr>
      <w:tr>
        <w:trPr>
          <w:cantSplit/>
        </w:trPr>
        <w:tc>
          <w:tcPr>
            <w:tcW w:type="dxa" w:w="2050"/>
            <w:vAlign w:val="center"/>
          </w:tcPr>
          <w:p>
            <w:pPr>
              <w:pStyle w:val="TableText"/>
            </w:pPr>
            <w:r>
              <w:t>综述论文</w:t>
            </w:r>
          </w:p>
        </w:tc>
        <w:tc>
          <w:tcPr>
            <w:tcW w:type="dxa" w:w="3500"/>
            <w:vAlign w:val="center"/>
          </w:tcPr>
          <w:p>
            <w:pPr>
              <w:pStyle w:val="TableText"/>
            </w:pPr>
            <w:r>
              <w:t>×</w:t>
            </w:r>
          </w:p>
        </w:tc>
        <w:tc>
          <w:tcPr>
            <w:tcW w:type="dxa" w:w="3810"/>
            <w:vAlign w:val="center"/>
          </w:tcPr>
          <w:p>
            <w:pPr>
              <w:pStyle w:val="TableText"/>
            </w:pPr>
            <w:r>
              <w:t>原创方法论文；Related Work和附录B可作为后续检索入口。</w:t>
            </w:r>
          </w:p>
        </w:tc>
      </w:tr>
    </w:tbl>
    <w:p>
      <w:pPr>
        <w:spacing w:after="0"/>
        <w:snapToGrid w:val="0"/>
      </w:pPr>
    </w:p>
    <w:p>
      <w:pPr>
        <w:snapToGrid w:val="0"/>
      </w:pPr>
      <w:r>
        <w:t>汇报时可以说：“这是一个适合纳入候选列表的、面向学习外输入风险的概率回归方法。它已经做了多变量气象数据实验，但作为独立的学习外检测器，还需要设计分数、阈值与检测评价。”</w:t>
      </w:r>
    </w:p>
    <w:p>
      <w:pPr>
        <w:snapToGrid w:val="0"/>
      </w:pPr>
      <w:r>
        <w:t>不要说：“它已经证明能检测所有未知异常”“它可以直接给现有任意回归模型外挂”“24小时测试窗口说明它学习了24小时动态”。这三点均超出当前证据。</w:t>
      </w:r>
    </w:p>
    <w:p>
      <w:pPr>
        <w:pStyle w:val="Heading1"/>
        <w:pageBreakBefore/>
        <w:snapToGrid w:val="0"/>
      </w:pPr>
      <w:r>
        <w:t>第一部分　中文精读：真正理解论文</w:t>
      </w:r>
    </w:p>
    <w:p>
      <w:pPr>
        <w:pStyle w:val="Heading2"/>
        <w:snapToGrid w:val="0"/>
      </w:pPr>
      <w:r>
        <w:t>1　论文到底在解决什么问题？</w:t>
      </w:r>
    </w:p>
    <w:p>
      <w:pPr>
        <w:pStyle w:val="Heading3"/>
        <w:snapToGrid w:val="0"/>
      </w:pPr>
      <w:r>
        <w:t>A．通俗解释</w:t>
      </w:r>
    </w:p>
    <w:p>
      <w:pPr>
        <w:snapToGrid w:val="0"/>
      </w:pPr>
      <w:r>
        <w:t>设想一个温度预测模型，过去只看过某个站点的历史数据。换成另一站点、另一年份后，它仍能给出一个温度数字，但这个数字可能不可靠。更危险的是，模型同时给出一个很窄的预测区间，让使用者误以为它很有把握。作者想解决的不是“出现了异常就把数据删掉”，而是“遇到与训练经验不同的数据，回归模型不要继续过度自信”。【论文：§1，PDF pp.1–2】</w:t>
      </w:r>
    </w:p>
    <w:p>
      <w:pPr>
        <w:pStyle w:val="Heading3"/>
        <w:snapToGrid w:val="0"/>
      </w:pPr>
      <w:r>
        <w:t>B．为什么现有方法还不够？</w:t>
      </w:r>
    </w:p>
    <w:p>
      <w:pPr>
        <w:snapToGrid w:val="0"/>
      </w:pPr>
      <w:r>
        <w:t>普通点回归只回答“预测多少”，不回答“不确定多少”。高斯回归增加方差输出，但方差仍可能在未见区域不合理。Deep Ensembles通过多个模型的预测差异估计不确定性，效果通常较强，但需要存储和执行多个模型。部分单次推理方法又依赖先验设定或特征距离约束。作者希望兼顾预测质量、分布变化下的不确定性与推理成本。</w:t>
      </w:r>
    </w:p>
    <w:p>
      <w:pPr>
        <w:pStyle w:val="Heading3"/>
        <w:snapToGrid w:val="0"/>
      </w:pPr>
      <w:r>
        <w:t>C．核心假设与想证明的事情</w:t>
      </w:r>
    </w:p>
    <w:p>
      <w:pPr>
        <w:snapToGrid w:val="0"/>
      </w:pPr>
      <w:r>
        <w:t>【论文的建模想法】训练特征空间中的低密度，能够提示模型缺少可靠经验；因此让密度调节预测分布的集中程度。这里的空间是z=f(x)，不自动等于原始传感器空间。</w:t>
      </w:r>
    </w:p>
    <w:p>
      <w:pPr>
        <w:snapToGrid w:val="0"/>
      </w:pPr>
      <w:r>
        <w:t>【论文的理论目标】说明模型在特征空间具有distance awareness，即离训练分布更远时表达更大不确定性。</w:t>
      </w:r>
    </w:p>
    <w:p>
      <w:pPr>
        <w:snapToGrid w:val="0"/>
      </w:pPr>
      <w:r>
        <w:t>【论文的实验目标】在回归预测与校准指标上接近有竞争力的方法，同时减少相对集成模型的推理开销。实验并没有把“所有OOD一定检测成功”作为已经完成的结果。</w:t>
      </w:r>
    </w:p>
    <w:p>
      <w:pPr>
        <w:pStyle w:val="Heading3"/>
        <w:snapToGrid w:val="0"/>
      </w:pPr>
      <w:r>
        <w:t>D．先分清三个不同的问题</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问题</w:t>
            </w:r>
          </w:p>
        </w:tc>
        <w:tc>
          <w:tcPr>
            <w:tcW w:type="dxa" w:w="3500"/>
            <w:vAlign w:val="center"/>
            <w:shd w:fill="E8EEF5"/>
          </w:tcPr>
          <w:p>
            <w:pPr>
              <w:pStyle w:val="TableText"/>
              <w:keepNext/>
            </w:pPr>
            <w:r>
              <w:rPr>
                <w:b/>
                <w:color w:val="1F4D78"/>
              </w:rPr>
              <w:t>需要的输出</w:t>
            </w:r>
          </w:p>
        </w:tc>
        <w:tc>
          <w:tcPr>
            <w:tcW w:type="dxa" w:w="3810"/>
            <w:vAlign w:val="center"/>
            <w:shd w:fill="E8EEF5"/>
          </w:tcPr>
          <w:p>
            <w:pPr>
              <w:pStyle w:val="TableText"/>
              <w:keepNext/>
            </w:pPr>
            <w:r>
              <w:rPr>
                <w:b/>
                <w:color w:val="1F4D78"/>
              </w:rPr>
              <w:t>本篇覆盖情况</w:t>
            </w:r>
          </w:p>
        </w:tc>
      </w:tr>
      <w:tr>
        <w:trPr>
          <w:cantSplit/>
        </w:trPr>
        <w:tc>
          <w:tcPr>
            <w:tcW w:type="dxa" w:w="2050"/>
            <w:vAlign w:val="center"/>
          </w:tcPr>
          <w:p>
            <w:pPr>
              <w:pStyle w:val="TableText"/>
              <w:keepNext/>
            </w:pPr>
            <w:r>
              <w:t>预测值是否准确？</w:t>
            </w:r>
          </w:p>
        </w:tc>
        <w:tc>
          <w:tcPr>
            <w:tcW w:type="dxa" w:w="3500"/>
            <w:vAlign w:val="center"/>
          </w:tcPr>
          <w:p>
            <w:pPr>
              <w:pStyle w:val="TableText"/>
              <w:keepNext/>
            </w:pPr>
            <w:r>
              <w:t>预测均值与真实y的误差</w:t>
            </w:r>
          </w:p>
        </w:tc>
        <w:tc>
          <w:tcPr>
            <w:tcW w:type="dxa" w:w="3810"/>
            <w:vAlign w:val="center"/>
          </w:tcPr>
          <w:p>
            <w:pPr>
              <w:pStyle w:val="TableText"/>
              <w:keepNext/>
            </w:pPr>
            <w:r>
              <w:t>用RMSE等评价。</w:t>
            </w:r>
          </w:p>
        </w:tc>
      </w:tr>
      <w:tr>
        <w:trPr>
          <w:cantSplit/>
        </w:trPr>
        <w:tc>
          <w:tcPr>
            <w:tcW w:type="dxa" w:w="2050"/>
            <w:vAlign w:val="center"/>
          </w:tcPr>
          <w:p>
            <w:pPr>
              <w:pStyle w:val="TableText"/>
              <w:keepNext/>
            </w:pPr>
            <w:r>
              <w:t>预测分布是否可信？</w:t>
            </w:r>
          </w:p>
        </w:tc>
        <w:tc>
          <w:tcPr>
            <w:tcW w:type="dxa" w:w="3500"/>
            <w:vAlign w:val="center"/>
          </w:tcPr>
          <w:p>
            <w:pPr>
              <w:pStyle w:val="TableText"/>
              <w:keepNext/>
            </w:pPr>
            <w:r>
              <w:t>均值、方差、分位数与真实y</w:t>
            </w:r>
          </w:p>
        </w:tc>
        <w:tc>
          <w:tcPr>
            <w:tcW w:type="dxa" w:w="3810"/>
            <w:vAlign w:val="center"/>
          </w:tcPr>
          <w:p>
            <w:pPr>
              <w:pStyle w:val="TableText"/>
              <w:keepNext/>
            </w:pPr>
            <w:r>
              <w:t>用NLL、Cal、Sharp评价，是重点。</w:t>
            </w:r>
          </w:p>
        </w:tc>
      </w:tr>
      <w:tr>
        <w:trPr>
          <w:cantSplit/>
        </w:trPr>
        <w:tc>
          <w:tcPr>
            <w:tcW w:type="dxa" w:w="2050"/>
            <w:vAlign w:val="center"/>
          </w:tcPr>
          <w:p>
            <w:pPr>
              <w:pStyle w:val="TableText"/>
            </w:pPr>
            <w:r>
              <w:t>是否为学習外输入？</w:t>
            </w:r>
          </w:p>
        </w:tc>
        <w:tc>
          <w:tcPr>
            <w:tcW w:type="dxa" w:w="3500"/>
            <w:vAlign w:val="center"/>
          </w:tcPr>
          <w:p>
            <w:pPr>
              <w:pStyle w:val="TableText"/>
            </w:pPr>
            <w:r>
              <w:t>输入的风险分数和二元判定</w:t>
            </w:r>
          </w:p>
        </w:tc>
        <w:tc>
          <w:tcPr>
            <w:tcW w:type="dxa" w:w="3810"/>
            <w:vAlign w:val="center"/>
          </w:tcPr>
          <w:p>
            <w:pPr>
              <w:pStyle w:val="TableText"/>
            </w:pPr>
            <w:r>
              <w:t>方法可提供候选分数，但未完成阈值和检测指标验证。</w:t>
            </w:r>
          </w:p>
        </w:tc>
      </w:tr>
    </w:tbl>
    <w:p>
      <w:pPr>
        <w:spacing w:after="0"/>
        <w:snapToGrid w:val="0"/>
      </w:pPr>
    </w:p>
    <w:p>
      <w:pPr>
        <w:pStyle w:val="Heading3"/>
        <w:snapToGrid w:val="0"/>
      </w:pPr>
      <w:r>
        <w:t>E．本节要记住</w:t>
      </w:r>
    </w:p>
    <w:p>
      <w:pPr>
        <w:pStyle w:val="ReportBullet"/>
        <w:keepNext/>
        <w:numPr>
          <w:ilvl w:val="0"/>
          <w:numId w:val="51"/>
        </w:numPr>
        <w:snapToGrid w:val="0"/>
      </w:pPr>
      <w:r>
        <w:t>核心问题是分布变化下的回归不确定性，不是传统有标签异常分类。</w:t>
      </w:r>
    </w:p>
    <w:p>
      <w:pPr>
        <w:pStyle w:val="ReportBullet"/>
        <w:keepNext/>
        <w:numPr>
          <w:ilvl w:val="0"/>
          <w:numId w:val="51"/>
        </w:numPr>
        <w:snapToGrid w:val="0"/>
      </w:pPr>
      <w:r>
        <w:t>密度是关于训练经验的信号，不是“输入正常的概率”。</w:t>
      </w:r>
    </w:p>
    <w:p>
      <w:pPr>
        <w:pStyle w:val="ReportBullet"/>
        <w:numPr>
          <w:ilvl w:val="0"/>
          <w:numId w:val="51"/>
        </w:numPr>
        <w:snapToGrid w:val="0"/>
      </w:pPr>
      <w:r>
        <w:t>实习应用必须补上“何时报警”和“报警是否正确”的评价环节。</w:t>
      </w:r>
    </w:p>
    <w:p>
      <w:pPr>
        <w:pStyle w:val="Heading2"/>
        <w:snapToGrid w:val="0"/>
      </w:pPr>
      <w:r>
        <w:t>2　论文结构与阅读顺序</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原文章节</w:t>
            </w:r>
          </w:p>
        </w:tc>
        <w:tc>
          <w:tcPr>
            <w:tcW w:type="dxa" w:w="3500"/>
            <w:vAlign w:val="center"/>
            <w:shd w:fill="E8EEF5"/>
          </w:tcPr>
          <w:p>
            <w:pPr>
              <w:pStyle w:val="TableText"/>
            </w:pPr>
            <w:r>
              <w:rPr>
                <w:b/>
                <w:color w:val="1F4D78"/>
              </w:rPr>
              <w:t>PDF页</w:t>
            </w:r>
          </w:p>
        </w:tc>
        <w:tc>
          <w:tcPr>
            <w:tcW w:type="dxa" w:w="3810"/>
            <w:vAlign w:val="center"/>
            <w:shd w:fill="E8EEF5"/>
          </w:tcPr>
          <w:p>
            <w:pPr>
              <w:pStyle w:val="TableText"/>
            </w:pPr>
            <w:r>
              <w:rPr>
                <w:b/>
                <w:color w:val="1F4D78"/>
              </w:rPr>
              <w:t>作用与建议读法</w:t>
            </w:r>
          </w:p>
        </w:tc>
      </w:tr>
      <w:tr>
        <w:trPr>
          <w:cantSplit/>
        </w:trPr>
        <w:tc>
          <w:tcPr>
            <w:tcW w:type="dxa" w:w="2050"/>
            <w:vAlign w:val="center"/>
          </w:tcPr>
          <w:p>
            <w:pPr>
              <w:pStyle w:val="TableText"/>
            </w:pPr>
            <w:r>
              <w:t>§1 Introduction</w:t>
            </w:r>
          </w:p>
        </w:tc>
        <w:tc>
          <w:tcPr>
            <w:tcW w:type="dxa" w:w="3500"/>
            <w:vAlign w:val="center"/>
          </w:tcPr>
          <w:p>
            <w:pPr>
              <w:pStyle w:val="TableText"/>
            </w:pPr>
            <w:r>
              <w:t>1–2</w:t>
            </w:r>
          </w:p>
        </w:tc>
        <w:tc>
          <w:tcPr>
            <w:tcW w:type="dxa" w:w="3810"/>
            <w:vAlign w:val="center"/>
          </w:tcPr>
          <w:p>
            <w:pPr>
              <w:pStyle w:val="TableText"/>
            </w:pPr>
            <w:r>
              <w:t>建立可靠性与效率之间的研究问题。</w:t>
            </w:r>
          </w:p>
        </w:tc>
      </w:tr>
      <w:tr>
        <w:trPr>
          <w:cantSplit/>
        </w:trPr>
        <w:tc>
          <w:tcPr>
            <w:tcW w:type="dxa" w:w="2050"/>
            <w:vAlign w:val="center"/>
          </w:tcPr>
          <w:p>
            <w:pPr>
              <w:pStyle w:val="TableText"/>
            </w:pPr>
            <w:r>
              <w:t>§2 Background</w:t>
            </w:r>
          </w:p>
        </w:tc>
        <w:tc>
          <w:tcPr>
            <w:tcW w:type="dxa" w:w="3500"/>
            <w:vAlign w:val="center"/>
          </w:tcPr>
          <w:p>
            <w:pPr>
              <w:pStyle w:val="TableText"/>
            </w:pPr>
            <w:r>
              <w:t>3–4</w:t>
            </w:r>
          </w:p>
        </w:tc>
        <w:tc>
          <w:tcPr>
            <w:tcW w:type="dxa" w:w="3810"/>
            <w:vAlign w:val="center"/>
          </w:tcPr>
          <w:p>
            <w:pPr>
              <w:pStyle w:val="TableText"/>
            </w:pPr>
            <w:r>
              <w:t>定义回归、校准、sharpness、推理效率及distance awareness。先掌握本报告第3节。</w:t>
            </w:r>
          </w:p>
        </w:tc>
      </w:tr>
      <w:tr>
        <w:trPr>
          <w:cantSplit/>
        </w:trPr>
        <w:tc>
          <w:tcPr>
            <w:tcW w:type="dxa" w:w="2050"/>
            <w:vAlign w:val="center"/>
          </w:tcPr>
          <w:p>
            <w:pPr>
              <w:pStyle w:val="TableText"/>
            </w:pPr>
            <w:r>
              <w:t>§3.1 Exponential Family Distribution</w:t>
            </w:r>
          </w:p>
        </w:tc>
        <w:tc>
          <w:tcPr>
            <w:tcW w:type="dxa" w:w="3500"/>
            <w:vAlign w:val="center"/>
          </w:tcPr>
          <w:p>
            <w:pPr>
              <w:pStyle w:val="TableText"/>
            </w:pPr>
            <w:r>
              <w:t>4–5</w:t>
            </w:r>
          </w:p>
        </w:tc>
        <w:tc>
          <w:tcPr>
            <w:tcW w:type="dxa" w:w="3810"/>
            <w:vAlign w:val="center"/>
          </w:tcPr>
          <w:p>
            <w:pPr>
              <w:pStyle w:val="TableText"/>
            </w:pPr>
            <w:r>
              <w:t>从指数族构建带密度的高斯回归分布。</w:t>
            </w:r>
          </w:p>
        </w:tc>
      </w:tr>
      <w:tr>
        <w:trPr>
          <w:cantSplit/>
        </w:trPr>
        <w:tc>
          <w:tcPr>
            <w:tcW w:type="dxa" w:w="2050"/>
            <w:vAlign w:val="center"/>
          </w:tcPr>
          <w:p>
            <w:pPr>
              <w:pStyle w:val="TableText"/>
            </w:pPr>
            <w:r>
              <w:t>§3.2 Training and Inference</w:t>
            </w:r>
          </w:p>
        </w:tc>
        <w:tc>
          <w:tcPr>
            <w:tcW w:type="dxa" w:w="3500"/>
            <w:vAlign w:val="center"/>
          </w:tcPr>
          <w:p>
            <w:pPr>
              <w:pStyle w:val="TableText"/>
            </w:pPr>
            <w:r>
              <w:t>5–6</w:t>
            </w:r>
          </w:p>
        </w:tc>
        <w:tc>
          <w:tcPr>
            <w:tcW w:type="dxa" w:w="3810"/>
            <w:vAlign w:val="center"/>
          </w:tcPr>
          <w:p>
            <w:pPr>
              <w:pStyle w:val="TableText"/>
            </w:pPr>
            <w:r>
              <w:t>将公式落地为三阶段训练和单次推理。</w:t>
            </w:r>
          </w:p>
        </w:tc>
      </w:tr>
      <w:tr>
        <w:trPr>
          <w:cantSplit/>
        </w:trPr>
        <w:tc>
          <w:tcPr>
            <w:tcW w:type="dxa" w:w="2050"/>
            <w:vAlign w:val="center"/>
          </w:tcPr>
          <w:p>
            <w:pPr>
              <w:pStyle w:val="TableText"/>
            </w:pPr>
            <w:r>
              <w:t>§3.3 Theoretical Analysis</w:t>
            </w:r>
          </w:p>
        </w:tc>
        <w:tc>
          <w:tcPr>
            <w:tcW w:type="dxa" w:w="3500"/>
            <w:vAlign w:val="center"/>
          </w:tcPr>
          <w:p>
            <w:pPr>
              <w:pStyle w:val="TableText"/>
            </w:pPr>
            <w:r>
              <w:t>6</w:t>
            </w:r>
          </w:p>
        </w:tc>
        <w:tc>
          <w:tcPr>
            <w:tcW w:type="dxa" w:w="3810"/>
            <w:vAlign w:val="center"/>
          </w:tcPr>
          <w:p>
            <w:pPr>
              <w:pStyle w:val="TableText"/>
            </w:pPr>
            <w:r>
              <w:t>提出密度、距离、不确定性的理论联系；结合附录审视。</w:t>
            </w:r>
          </w:p>
        </w:tc>
      </w:tr>
      <w:tr>
        <w:trPr>
          <w:cantSplit/>
        </w:trPr>
        <w:tc>
          <w:tcPr>
            <w:tcW w:type="dxa" w:w="2050"/>
            <w:vAlign w:val="center"/>
          </w:tcPr>
          <w:p>
            <w:pPr>
              <w:pStyle w:val="TableText"/>
            </w:pPr>
            <w:r>
              <w:t>§4 Experiments</w:t>
            </w:r>
          </w:p>
        </w:tc>
        <w:tc>
          <w:tcPr>
            <w:tcW w:type="dxa" w:w="3500"/>
            <w:vAlign w:val="center"/>
          </w:tcPr>
          <w:p>
            <w:pPr>
              <w:pStyle w:val="TableText"/>
            </w:pPr>
            <w:r>
              <w:t>6–9</w:t>
            </w:r>
          </w:p>
        </w:tc>
        <w:tc>
          <w:tcPr>
            <w:tcW w:type="dxa" w:w="3810"/>
            <w:vAlign w:val="center"/>
          </w:tcPr>
          <w:p>
            <w:pPr>
              <w:pStyle w:val="TableText"/>
            </w:pPr>
            <w:r>
              <w:t>Toy、天气、UCI、深度估计及效率；重点读天气表2。</w:t>
            </w:r>
          </w:p>
        </w:tc>
      </w:tr>
      <w:tr>
        <w:trPr>
          <w:cantSplit/>
        </w:trPr>
        <w:tc>
          <w:tcPr>
            <w:tcW w:type="dxa" w:w="2050"/>
            <w:vAlign w:val="center"/>
          </w:tcPr>
          <w:p>
            <w:pPr>
              <w:pStyle w:val="TableText"/>
            </w:pPr>
            <w:r>
              <w:t>§5 Related Work</w:t>
            </w:r>
          </w:p>
        </w:tc>
        <w:tc>
          <w:tcPr>
            <w:tcW w:type="dxa" w:w="3500"/>
            <w:vAlign w:val="center"/>
          </w:tcPr>
          <w:p>
            <w:pPr>
              <w:pStyle w:val="TableText"/>
            </w:pPr>
            <w:r>
              <w:t>8–9</w:t>
            </w:r>
          </w:p>
        </w:tc>
        <w:tc>
          <w:tcPr>
            <w:tcW w:type="dxa" w:w="3810"/>
            <w:vAlign w:val="center"/>
          </w:tcPr>
          <w:p>
            <w:pPr>
              <w:pStyle w:val="TableText"/>
            </w:pPr>
            <w:r>
              <w:t>把方法放进采样／非采样、密度估计等研究路线。</w:t>
            </w:r>
          </w:p>
        </w:tc>
      </w:tr>
      <w:tr>
        <w:trPr>
          <w:cantSplit/>
        </w:trPr>
        <w:tc>
          <w:tcPr>
            <w:tcW w:type="dxa" w:w="2050"/>
            <w:vAlign w:val="center"/>
          </w:tcPr>
          <w:p>
            <w:pPr>
              <w:pStyle w:val="TableText"/>
            </w:pPr>
            <w:r>
              <w:t>§6 Conclusion</w:t>
            </w:r>
          </w:p>
        </w:tc>
        <w:tc>
          <w:tcPr>
            <w:tcW w:type="dxa" w:w="3500"/>
            <w:vAlign w:val="center"/>
          </w:tcPr>
          <w:p>
            <w:pPr>
              <w:pStyle w:val="TableText"/>
            </w:pPr>
            <w:r>
              <w:t>9</w:t>
            </w:r>
          </w:p>
        </w:tc>
        <w:tc>
          <w:tcPr>
            <w:tcW w:type="dxa" w:w="3810"/>
            <w:vAlign w:val="center"/>
          </w:tcPr>
          <w:p>
            <w:pPr>
              <w:pStyle w:val="TableText"/>
            </w:pPr>
            <w:r>
              <w:t>回扣效率和可靠性。没有独立Discussion章。</w:t>
            </w:r>
          </w:p>
        </w:tc>
      </w:tr>
      <w:tr>
        <w:trPr>
          <w:cantSplit/>
        </w:trPr>
        <w:tc>
          <w:tcPr>
            <w:tcW w:type="dxa" w:w="2050"/>
            <w:vAlign w:val="center"/>
          </w:tcPr>
          <w:p>
            <w:pPr>
              <w:pStyle w:val="TableText"/>
            </w:pPr>
            <w:r>
              <w:t>参考文献与术语表</w:t>
            </w:r>
          </w:p>
        </w:tc>
        <w:tc>
          <w:tcPr>
            <w:tcW w:type="dxa" w:w="3500"/>
            <w:vAlign w:val="center"/>
          </w:tcPr>
          <w:p>
            <w:pPr>
              <w:pStyle w:val="TableText"/>
            </w:pPr>
            <w:r>
              <w:t>10–13</w:t>
            </w:r>
          </w:p>
        </w:tc>
        <w:tc>
          <w:tcPr>
            <w:tcW w:type="dxa" w:w="3810"/>
            <w:vAlign w:val="center"/>
          </w:tcPr>
          <w:p>
            <w:pPr>
              <w:pStyle w:val="TableText"/>
            </w:pPr>
            <w:r>
              <w:t>用于追溯基线和英文缩写。</w:t>
            </w:r>
          </w:p>
        </w:tc>
      </w:tr>
      <w:tr>
        <w:trPr>
          <w:cantSplit/>
        </w:trPr>
        <w:tc>
          <w:tcPr>
            <w:tcW w:type="dxa" w:w="2050"/>
            <w:vAlign w:val="center"/>
          </w:tcPr>
          <w:p>
            <w:pPr>
              <w:pStyle w:val="TableText"/>
            </w:pPr>
            <w:r>
              <w:t>附录A</w:t>
            </w:r>
          </w:p>
        </w:tc>
        <w:tc>
          <w:tcPr>
            <w:tcW w:type="dxa" w:w="3500"/>
            <w:vAlign w:val="center"/>
          </w:tcPr>
          <w:p>
            <w:pPr>
              <w:pStyle w:val="TableText"/>
            </w:pPr>
            <w:r>
              <w:t>14–19</w:t>
            </w:r>
          </w:p>
        </w:tc>
        <w:tc>
          <w:tcPr>
            <w:tcW w:type="dxa" w:w="3810"/>
            <w:vAlign w:val="center"/>
          </w:tcPr>
          <w:p>
            <w:pPr>
              <w:pStyle w:val="TableText"/>
            </w:pPr>
            <w:r>
              <w:t>证明；优先看A.3–A.5，不必逐条背积分。</w:t>
            </w:r>
          </w:p>
        </w:tc>
      </w:tr>
      <w:tr>
        <w:trPr>
          <w:cantSplit/>
        </w:trPr>
        <w:tc>
          <w:tcPr>
            <w:tcW w:type="dxa" w:w="2050"/>
            <w:vAlign w:val="center"/>
          </w:tcPr>
          <w:p>
            <w:pPr>
              <w:pStyle w:val="TableText"/>
            </w:pPr>
            <w:r>
              <w:t>附录B</w:t>
            </w:r>
          </w:p>
        </w:tc>
        <w:tc>
          <w:tcPr>
            <w:tcW w:type="dxa" w:w="3500"/>
            <w:vAlign w:val="center"/>
          </w:tcPr>
          <w:p>
            <w:pPr>
              <w:pStyle w:val="TableText"/>
            </w:pPr>
            <w:r>
              <w:t>20–21</w:t>
            </w:r>
          </w:p>
        </w:tc>
        <w:tc>
          <w:tcPr>
            <w:tcW w:type="dxa" w:w="3810"/>
            <w:vAlign w:val="center"/>
          </w:tcPr>
          <w:p>
            <w:pPr>
              <w:pStyle w:val="TableText"/>
            </w:pPr>
            <w:r>
              <w:t>基线、实现、算法示例。</w:t>
            </w:r>
          </w:p>
        </w:tc>
      </w:tr>
      <w:tr>
        <w:trPr>
          <w:cantSplit/>
        </w:trPr>
        <w:tc>
          <w:tcPr>
            <w:tcW w:type="dxa" w:w="2050"/>
            <w:vAlign w:val="center"/>
          </w:tcPr>
          <w:p>
            <w:pPr>
              <w:pStyle w:val="TableText"/>
            </w:pPr>
            <w:r>
              <w:t>附录C</w:t>
            </w:r>
          </w:p>
        </w:tc>
        <w:tc>
          <w:tcPr>
            <w:tcW w:type="dxa" w:w="3500"/>
            <w:vAlign w:val="center"/>
          </w:tcPr>
          <w:p>
            <w:pPr>
              <w:pStyle w:val="TableText"/>
            </w:pPr>
            <w:r>
              <w:t>22–25</w:t>
            </w:r>
          </w:p>
        </w:tc>
        <w:tc>
          <w:tcPr>
            <w:tcW w:type="dxa" w:w="3810"/>
            <w:vAlign w:val="center"/>
          </w:tcPr>
          <w:p>
            <w:pPr>
              <w:pStyle w:val="TableText"/>
            </w:pPr>
            <w:r>
              <w:t>更多图、UCI表5–13及训练时间示意。</w:t>
            </w:r>
          </w:p>
        </w:tc>
      </w:tr>
    </w:tbl>
    <w:p>
      <w:pPr>
        <w:spacing w:after="0"/>
        <w:snapToGrid w:val="0"/>
      </w:pPr>
    </w:p>
    <w:p>
      <w:pPr>
        <w:snapToGrid w:val="0"/>
      </w:pPr>
      <w:r>
        <w:t>推荐顺序：本报告第1节 → 概念与公式 → 三阶段流程 → 天气实验 → 理论限制 → 日文报告与口头稿。先建立算法逻辑，再读长证明。</w:t>
      </w:r>
    </w:p>
    <w:p>
      <w:pPr>
        <w:pStyle w:val="Heading2"/>
        <w:snapToGrid w:val="0"/>
      </w:pPr>
      <w:r>
        <w:t>3　Background：理解“误差”和“不确定性”</w:t>
      </w:r>
    </w:p>
    <w:p>
      <w:pPr>
        <w:pStyle w:val="Heading3"/>
        <w:snapToGrid w:val="0"/>
      </w:pPr>
      <w:r>
        <w:t>A．这一节讲什么？为什么要讲？</w:t>
      </w:r>
    </w:p>
    <w:p>
      <w:pPr>
        <w:snapToGrid w:val="0"/>
      </w:pPr>
      <w:r>
        <w:t>作者先规定如何表示一个回归问题，以及怎样评价一个“带置信程度的预测”。否则，方差大或小都没有统一解释。本节是后面方法和实验共用的语言。【论文：§2，PDF pp.3–4】</w:t>
      </w:r>
    </w:p>
    <w:p>
      <w:pPr>
        <w:pStyle w:val="Heading3"/>
        <w:snapToGrid w:val="0"/>
      </w:pPr>
      <w:r>
        <w:t>B．必须理解的概念</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概念</w:t>
            </w:r>
          </w:p>
        </w:tc>
        <w:tc>
          <w:tcPr>
            <w:tcW w:type="dxa" w:w="3500"/>
            <w:vAlign w:val="center"/>
            <w:shd w:fill="E8EEF5"/>
          </w:tcPr>
          <w:p>
            <w:pPr>
              <w:pStyle w:val="TableText"/>
            </w:pPr>
            <w:r>
              <w:rPr>
                <w:b/>
                <w:color w:val="1F4D78"/>
              </w:rPr>
              <w:t>定义与数学含义</w:t>
            </w:r>
          </w:p>
        </w:tc>
        <w:tc>
          <w:tcPr>
            <w:tcW w:type="dxa" w:w="3810"/>
            <w:vAlign w:val="center"/>
            <w:shd w:fill="E8EEF5"/>
          </w:tcPr>
          <w:p>
            <w:pPr>
              <w:pStyle w:val="TableText"/>
            </w:pPr>
            <w:r>
              <w:rPr>
                <w:b/>
                <w:color w:val="1F4D78"/>
              </w:rPr>
              <w:t>直观含义及与学習外的关系</w:t>
            </w:r>
          </w:p>
        </w:tc>
      </w:tr>
      <w:tr>
        <w:trPr>
          <w:cantSplit/>
        </w:trPr>
        <w:tc>
          <w:tcPr>
            <w:tcW w:type="dxa" w:w="2050"/>
            <w:vAlign w:val="center"/>
          </w:tcPr>
          <w:p>
            <w:pPr>
              <w:pStyle w:val="TableText"/>
            </w:pPr>
            <w:r>
              <w:t>输入x、输出y</w:t>
            </w:r>
          </w:p>
        </w:tc>
        <w:tc>
          <w:tcPr>
            <w:tcW w:type="dxa" w:w="3500"/>
            <w:vAlign w:val="center"/>
          </w:tcPr>
          <w:p>
            <w:pPr>
              <w:pStyle w:val="TableText"/>
            </w:pPr>
            <w:r>
              <w:t>x∈Rᵈ，本文核心推导y∈R；训练集Dₛ={(xᵢ,yᵢ)}。</w:t>
            </w:r>
          </w:p>
        </w:tc>
        <w:tc>
          <w:tcPr>
            <w:tcW w:type="dxa" w:w="3810"/>
            <w:vAlign w:val="center"/>
          </w:tcPr>
          <w:p>
            <w:pPr>
              <w:pStyle w:val="TableText"/>
            </w:pPr>
            <w:r>
              <w:t>多个传感器数值是输入，未来温度或压力是回归目标；多输入不等于多输出。</w:t>
            </w:r>
          </w:p>
        </w:tc>
      </w:tr>
      <w:tr>
        <w:trPr>
          <w:cantSplit/>
        </w:trPr>
        <w:tc>
          <w:tcPr>
            <w:tcW w:type="dxa" w:w="2050"/>
            <w:vAlign w:val="center"/>
          </w:tcPr>
          <w:p>
            <w:pPr>
              <w:pStyle w:val="TableText"/>
            </w:pPr>
            <w:r>
              <w:t>分布变化</w:t>
            </w:r>
          </w:p>
        </w:tc>
        <w:tc>
          <w:tcPr>
            <w:tcW w:type="dxa" w:w="3500"/>
            <w:vAlign w:val="center"/>
          </w:tcPr>
          <w:p>
            <w:pPr>
              <w:pStyle w:val="TableText"/>
            </w:pPr>
            <w:r>
              <w:t>训练Pₛ(x,y)与测试Pₜ(x,y)不同。</w:t>
            </w:r>
          </w:p>
        </w:tc>
        <w:tc>
          <w:tcPr>
            <w:tcW w:type="dxa" w:w="3810"/>
            <w:vAlign w:val="center"/>
          </w:tcPr>
          <w:p>
            <w:pPr>
              <w:pStyle w:val="TableText"/>
            </w:pPr>
            <w:r>
              <w:t>站点、年份或运行条件改变；不一定每个数值都超范围。</w:t>
            </w:r>
          </w:p>
        </w:tc>
      </w:tr>
      <w:tr>
        <w:trPr>
          <w:cantSplit/>
        </w:trPr>
        <w:tc>
          <w:tcPr>
            <w:tcW w:type="dxa" w:w="2050"/>
            <w:vAlign w:val="center"/>
          </w:tcPr>
          <w:p>
            <w:pPr>
              <w:pStyle w:val="TableText"/>
            </w:pPr>
            <w:r>
              <w:t>特征z=f(x)</w:t>
            </w:r>
          </w:p>
        </w:tc>
        <w:tc>
          <w:tcPr>
            <w:tcW w:type="dxa" w:w="3500"/>
            <w:vAlign w:val="center"/>
          </w:tcPr>
          <w:p>
            <w:pPr>
              <w:pStyle w:val="TableText"/>
            </w:pPr>
            <w:r>
              <w:t>神经网络将原始输入映射到学习表示。</w:t>
            </w:r>
          </w:p>
        </w:tc>
        <w:tc>
          <w:tcPr>
            <w:tcW w:type="dxa" w:w="3810"/>
            <w:vAlign w:val="center"/>
          </w:tcPr>
          <w:p>
            <w:pPr>
              <w:pStyle w:val="TableText"/>
            </w:pPr>
            <w:r>
              <w:t>像模型内部的“摘要”；原始输入陌生，不代表摘要一定陌生。</w:t>
            </w:r>
          </w:p>
        </w:tc>
      </w:tr>
      <w:tr>
        <w:trPr>
          <w:cantSplit/>
        </w:trPr>
        <w:tc>
          <w:tcPr>
            <w:tcW w:type="dxa" w:w="2050"/>
            <w:vAlign w:val="center"/>
          </w:tcPr>
          <w:p>
            <w:pPr>
              <w:pStyle w:val="TableText"/>
            </w:pPr>
            <w:r>
              <w:t>高斯预测分布</w:t>
            </w:r>
          </w:p>
        </w:tc>
        <w:tc>
          <w:tcPr>
            <w:tcW w:type="dxa" w:w="3500"/>
            <w:vAlign w:val="center"/>
          </w:tcPr>
          <w:p>
            <w:pPr>
              <w:pStyle w:val="TableText"/>
            </w:pPr>
            <w:r>
              <w:t>Y给定x服从N(μ(x),σ²(x))。</w:t>
            </w:r>
          </w:p>
        </w:tc>
        <w:tc>
          <w:tcPr>
            <w:tcW w:type="dxa" w:w="3810"/>
            <w:vAlign w:val="center"/>
          </w:tcPr>
          <w:p>
            <w:pPr>
              <w:pStyle w:val="TableText"/>
            </w:pPr>
            <w:r>
              <w:t>μ回答中心值，σ回答预测分散程度；σ不是误差本身。</w:t>
            </w:r>
          </w:p>
        </w:tc>
      </w:tr>
      <w:tr>
        <w:trPr>
          <w:cantSplit/>
        </w:trPr>
        <w:tc>
          <w:tcPr>
            <w:tcW w:type="dxa" w:w="2050"/>
            <w:vAlign w:val="center"/>
          </w:tcPr>
          <w:p>
            <w:pPr>
              <w:pStyle w:val="TableText"/>
            </w:pPr>
            <w:r>
              <w:t>Aleatoric uncertainty</w:t>
            </w:r>
          </w:p>
        </w:tc>
        <w:tc>
          <w:tcPr>
            <w:tcW w:type="dxa" w:w="3500"/>
            <w:vAlign w:val="center"/>
          </w:tcPr>
          <w:p>
            <w:pPr>
              <w:pStyle w:val="TableText"/>
            </w:pPr>
            <w:r>
              <w:t>观测噪声或给定x仍存在的随机性。</w:t>
            </w:r>
          </w:p>
        </w:tc>
        <w:tc>
          <w:tcPr>
            <w:tcW w:type="dxa" w:w="3810"/>
            <w:vAlign w:val="center"/>
          </w:tcPr>
          <w:p>
            <w:pPr>
              <w:pStyle w:val="TableText"/>
            </w:pPr>
            <w:r>
              <w:t>熟悉区域也可能噪声很大；高不确定性不等价于OOD。</w:t>
            </w:r>
          </w:p>
        </w:tc>
      </w:tr>
      <w:tr>
        <w:trPr>
          <w:cantSplit/>
        </w:trPr>
        <w:tc>
          <w:tcPr>
            <w:tcW w:type="dxa" w:w="2050"/>
            <w:vAlign w:val="center"/>
          </w:tcPr>
          <w:p>
            <w:pPr>
              <w:pStyle w:val="TableText"/>
            </w:pPr>
            <w:r>
              <w:t>Epistemic uncertainty</w:t>
            </w:r>
          </w:p>
        </w:tc>
        <w:tc>
          <w:tcPr>
            <w:tcW w:type="dxa" w:w="3500"/>
            <w:vAlign w:val="center"/>
          </w:tcPr>
          <w:p>
            <w:pPr>
              <w:pStyle w:val="TableText"/>
            </w:pPr>
            <w:r>
              <w:t>由有限知识、数据和模型引起的不确定性。</w:t>
            </w:r>
          </w:p>
        </w:tc>
        <w:tc>
          <w:tcPr>
            <w:tcW w:type="dxa" w:w="3810"/>
            <w:vAlign w:val="center"/>
          </w:tcPr>
          <w:p>
            <w:pPr>
              <w:pStyle w:val="TableText"/>
            </w:pPr>
            <w:r>
              <w:t>与学習外更接近，但本篇输出方差未提供唯一、独立的二者分解。</w:t>
            </w:r>
          </w:p>
        </w:tc>
      </w:tr>
      <w:tr>
        <w:trPr>
          <w:cantSplit/>
        </w:trPr>
        <w:tc>
          <w:tcPr>
            <w:tcW w:type="dxa" w:w="2050"/>
            <w:vAlign w:val="center"/>
          </w:tcPr>
          <w:p>
            <w:pPr>
              <w:pStyle w:val="TableText"/>
            </w:pPr>
            <w:r>
              <w:t>Calibration</w:t>
            </w:r>
          </w:p>
        </w:tc>
        <w:tc>
          <w:tcPr>
            <w:tcW w:type="dxa" w:w="3500"/>
            <w:vAlign w:val="center"/>
          </w:tcPr>
          <w:p>
            <w:pPr>
              <w:pStyle w:val="TableText"/>
            </w:pPr>
            <w:r>
              <w:t>预测分位数的名义概率与真实覆盖频率一致。</w:t>
            </w:r>
          </w:p>
        </w:tc>
        <w:tc>
          <w:tcPr>
            <w:tcW w:type="dxa" w:w="3810"/>
            <w:vAlign w:val="center"/>
          </w:tcPr>
          <w:p>
            <w:pPr>
              <w:pStyle w:val="TableText"/>
            </w:pPr>
            <w:r>
              <w:t>声称约90%覆盖时，长期应接近90%；总体校准不保证每个子群都校准。</w:t>
            </w:r>
          </w:p>
        </w:tc>
      </w:tr>
      <w:tr>
        <w:trPr>
          <w:cantSplit/>
        </w:trPr>
        <w:tc>
          <w:tcPr>
            <w:tcW w:type="dxa" w:w="2050"/>
            <w:vAlign w:val="center"/>
          </w:tcPr>
          <w:p>
            <w:pPr>
              <w:pStyle w:val="TableText"/>
            </w:pPr>
            <w:r>
              <w:t>Sharpness</w:t>
            </w:r>
          </w:p>
        </w:tc>
        <w:tc>
          <w:tcPr>
            <w:tcW w:type="dxa" w:w="3500"/>
            <w:vAlign w:val="center"/>
          </w:tcPr>
          <w:p>
            <w:pPr>
              <w:pStyle w:val="TableText"/>
            </w:pPr>
            <w:r>
              <w:t>预测分布的集中程度；本文用平均方差的平方根。</w:t>
            </w:r>
          </w:p>
        </w:tc>
        <w:tc>
          <w:tcPr>
            <w:tcW w:type="dxa" w:w="3810"/>
            <w:vAlign w:val="center"/>
          </w:tcPr>
          <w:p>
            <w:pPr>
              <w:pStyle w:val="TableText"/>
            </w:pPr>
            <w:r>
              <w:t>区间窄更有用的前提是足够可信；不能为了小Sharp而过度自信。</w:t>
            </w:r>
          </w:p>
        </w:tc>
      </w:tr>
    </w:tbl>
    <w:p>
      <w:pPr>
        <w:spacing w:after="0"/>
        <w:snapToGrid w:val="0"/>
      </w:pPr>
    </w:p>
    <w:p>
      <w:pPr>
        <w:pStyle w:val="Heading3"/>
        <w:snapToGrid w:val="0"/>
      </w:pPr>
      <w:r>
        <w:t>C．关键公式1：高斯负对数似然</w:t>
      </w:r>
    </w:p>
    <w:p>
      <w:pPr>
        <w:pStyle w:val="EquationText"/>
        <w:jc w:val="center"/>
        <w:snapToGrid w:val="0"/>
      </w:pPr>
      <w:r/>
      <m:oMath>
        <m:r>
          <m:t>L_NLL = (1/2) log(2πσ²) + (y−μ)²/(2σ²)</m:t>
        </m:r>
      </m:oMath>
    </w:p>
    <w:p>
      <w:pPr>
        <w:snapToGrid w:val="0"/>
      </w:pPr>
      <w:r>
        <w:t>这里y是真实目标，μ是预测均值，σ²是预测方差；训练时对样本取平均并最小化。【论文：Eq.2】</w:t>
      </w:r>
    </w:p>
    <w:p>
      <w:pPr>
        <w:snapToGrid w:val="0"/>
      </w:pPr>
      <w:r>
        <w:t>第一项惩罚过宽分布，第二项惩罚相对预测尺度而言过大的误差。若模型很自信却错得很多，第二项会很大；若总是给出很宽区间，第一项又会变大。因此，训练需要在“错得多”和“说得太宽”之间平衡。</w:t>
      </w:r>
    </w:p>
    <w:p>
      <w:pPr>
        <w:snapToGrid w:val="0"/>
      </w:pPr>
      <w:r>
        <w:t>【教学例】同一输入x=(1,2)，真实y=3、预测μ=2。若σ=0.5，L≈2.226；若σ=1，L≈1.419；若σ=2，L≈1.737。这说明“方差越大越好”不成立。例子是本报告构造，不是论文实验。</w:t>
      </w:r>
    </w:p>
    <w:p>
      <w:pPr>
        <w:pStyle w:val="Heading3"/>
        <w:snapToGrid w:val="0"/>
      </w:pPr>
      <w:r>
        <w:t>D．关键公式2：校准与sharpness</w:t>
      </w:r>
    </w:p>
    <w:p>
      <w:pPr>
        <w:pStyle w:val="EquationText"/>
        <w:jc w:val="center"/>
        <w:snapToGrid w:val="0"/>
      </w:pPr>
      <w:r/>
      <m:oMath>
        <m:r>
          <m:t>Cal = Σⱼ [pⱼ − (1/n) Σᵢ 1{Fᵢ(yᵢ) ≤ pⱼ}]²</m:t>
        </m:r>
      </m:oMath>
    </w:p>
    <w:p>
      <w:pPr>
        <w:snapToGrid w:val="0"/>
      </w:pPr>
      <w:r>
        <w:t>Fᵢ是第i个输入对应的预测累积分布函数，pⱼ是选定的概率水平，n是样本数，1{·}为条件成立时取1的指示函数。理想情况下，Fᵢ(yᵢ)在总体上近似均匀分布；不同分位点的实际比例应接近pⱼ。【论文：Eq.6】</w:t>
      </w:r>
    </w:p>
    <w:p>
      <w:pPr>
        <w:snapToGrid w:val="0"/>
      </w:pPr>
      <w:r>
        <w:t>【教学例】p=0.9时，10个样本有8个真实值落在对应90%单侧分位数以下，则该点贡献(0.9−0.8)²=0.01。注意这是单侧累积分位数，不是“μ±某个σ”的双侧区间。</w:t>
      </w:r>
    </w:p>
    <w:p>
      <w:pPr>
        <w:pStyle w:val="EquationText"/>
        <w:jc w:val="center"/>
        <w:snapToGrid w:val="0"/>
      </w:pPr>
      <w:r/>
      <m:oMath>
        <m:r>
          <m:t>Sharp = sqrt[(1/n) Σᵢ σᵢ²]</m:t>
        </m:r>
      </m:oMath>
    </w:p>
    <w:p>
      <w:pPr>
        <w:snapToGrid w:val="0"/>
      </w:pPr>
      <w:r>
        <w:t>Sharp只看模型输出，不需要真实y；因此它本身无法证明预测正确。【论文：Eq.7附近定义】公开天气评估代码使用100个分位点并求平方误差之和，Cal=0.23不能解释为“误检率23%”。【代码：C4】</w:t>
      </w:r>
    </w:p>
    <w:p>
      <w:pPr>
        <w:pStyle w:val="Heading3"/>
        <w:snapToGrid w:val="0"/>
      </w:pPr>
      <w:r>
        <w:t>E．本节真正重要的结论</w:t>
      </w:r>
    </w:p>
    <w:p>
      <w:pPr>
        <w:pStyle w:val="ReportBullet"/>
        <w:keepNext/>
        <w:numPr>
          <w:ilvl w:val="0"/>
          <w:numId w:val="51"/>
        </w:numPr>
        <w:snapToGrid w:val="0"/>
      </w:pPr>
      <w:r>
        <w:t>RMSE小、校准好、区间窄是不同维度，必须一起看。</w:t>
      </w:r>
    </w:p>
    <w:p>
      <w:pPr>
        <w:pStyle w:val="ReportBullet"/>
        <w:keepNext/>
        <w:numPr>
          <w:ilvl w:val="0"/>
          <w:numId w:val="51"/>
        </w:numPr>
        <w:snapToGrid w:val="0"/>
      </w:pPr>
      <w:r>
        <w:t>真实回归标签y与ID/OOD标签是两种标签；评价不确定性仍需要y。</w:t>
      </w:r>
    </w:p>
    <w:p>
      <w:pPr>
        <w:pStyle w:val="ReportBullet"/>
        <w:numPr>
          <w:ilvl w:val="0"/>
          <w:numId w:val="51"/>
        </w:numPr>
        <w:snapToGrid w:val="0"/>
      </w:pPr>
      <w:r>
        <w:t>本篇的不确定性指标不能直接代替异常检测AUROC或误检率。</w:t>
      </w:r>
    </w:p>
    <w:p>
      <w:pPr>
        <w:pStyle w:val="Heading2"/>
        <w:snapToGrid w:val="0"/>
      </w:pPr>
      <w:r>
        <w:t>4　Method §3.1：密度怎样进入回归模型？</w:t>
      </w:r>
    </w:p>
    <w:p>
      <w:pPr>
        <w:pStyle w:val="Heading3"/>
        <w:snapToGrid w:val="0"/>
      </w:pPr>
      <w:r>
        <w:t>A．这一节讲什么？为什么这样构造？</w:t>
      </w:r>
    </w:p>
    <w:p>
      <w:pPr>
        <w:snapToGrid w:val="0"/>
      </w:pPr>
      <w:r>
        <w:t>作者把特征密度作为指数族分布中的缩放因子，令低密度输入对应更平坦的预测分布。指数族的好处是选定合适的充分统计量后，可以得到有解析均值和方差的高斯形式，避免推理时重复采样。【论文：PDF pp.4–5】</w:t>
      </w:r>
    </w:p>
    <w:p>
      <w:pPr>
        <w:pStyle w:val="Heading3"/>
        <w:snapToGrid w:val="0"/>
      </w:pPr>
      <w:r>
        <w:t>B．关键概念</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概念</w:t>
            </w:r>
          </w:p>
        </w:tc>
        <w:tc>
          <w:tcPr>
            <w:tcW w:type="dxa" w:w="3500"/>
            <w:vAlign w:val="center"/>
            <w:shd w:fill="E8EEF5"/>
          </w:tcPr>
          <w:p>
            <w:pPr>
              <w:pStyle w:val="TableText"/>
              <w:keepNext/>
            </w:pPr>
            <w:r>
              <w:rPr>
                <w:b/>
                <w:color w:val="1F4D78"/>
              </w:rPr>
              <w:t>定义／数学含义</w:t>
            </w:r>
          </w:p>
        </w:tc>
        <w:tc>
          <w:tcPr>
            <w:tcW w:type="dxa" w:w="3810"/>
            <w:vAlign w:val="center"/>
            <w:shd w:fill="E8EEF5"/>
          </w:tcPr>
          <w:p>
            <w:pPr>
              <w:pStyle w:val="TableText"/>
              <w:keepNext/>
            </w:pPr>
            <w:r>
              <w:rPr>
                <w:b/>
                <w:color w:val="1F4D78"/>
              </w:rPr>
              <w:t>直观含义／本研究关系</w:t>
            </w:r>
          </w:p>
        </w:tc>
      </w:tr>
      <w:tr>
        <w:trPr>
          <w:cantSplit/>
        </w:trPr>
        <w:tc>
          <w:tcPr>
            <w:tcW w:type="dxa" w:w="2050"/>
            <w:vAlign w:val="center"/>
          </w:tcPr>
          <w:p>
            <w:pPr>
              <w:pStyle w:val="TableText"/>
              <w:keepNext/>
            </w:pPr>
            <w:r>
              <w:t>概率密度p(z)</w:t>
            </w:r>
          </w:p>
        </w:tc>
        <w:tc>
          <w:tcPr>
            <w:tcW w:type="dxa" w:w="3500"/>
            <w:vAlign w:val="center"/>
          </w:tcPr>
          <w:p>
            <w:pPr>
              <w:pStyle w:val="TableText"/>
              <w:keepNext/>
            </w:pPr>
            <w:r>
              <w:t>连续变量在z附近出现频繁程度的函数；概率须对区域积分。</w:t>
            </w:r>
          </w:p>
        </w:tc>
        <w:tc>
          <w:tcPr>
            <w:tcW w:type="dxa" w:w="3810"/>
            <w:vAlign w:val="center"/>
          </w:tcPr>
          <w:p>
            <w:pPr>
              <w:pStyle w:val="TableText"/>
              <w:keepNext/>
            </w:pPr>
            <w:r>
              <w:t>与“正常概率”不同，可大于1，且受坐标缩放影响。</w:t>
            </w:r>
          </w:p>
        </w:tc>
      </w:tr>
      <w:tr>
        <w:trPr>
          <w:cantSplit/>
        </w:trPr>
        <w:tc>
          <w:tcPr>
            <w:tcW w:type="dxa" w:w="2050"/>
            <w:vAlign w:val="center"/>
          </w:tcPr>
          <w:p>
            <w:pPr>
              <w:pStyle w:val="TableText"/>
              <w:keepNext/>
            </w:pPr>
            <w:r>
              <w:t>指数族</w:t>
            </w:r>
          </w:p>
        </w:tc>
        <w:tc>
          <w:tcPr>
            <w:tcW w:type="dxa" w:w="3500"/>
            <w:vAlign w:val="center"/>
          </w:tcPr>
          <w:p>
            <w:pPr>
              <w:pStyle w:val="TableText"/>
              <w:keepNext/>
            </w:pPr>
            <w:r>
              <w:t>分布可写成归一化因子乘exp(参数×统计量)。</w:t>
            </w:r>
          </w:p>
        </w:tc>
        <w:tc>
          <w:tcPr>
            <w:tcW w:type="dxa" w:w="3810"/>
            <w:vAlign w:val="center"/>
          </w:tcPr>
          <w:p>
            <w:pPr>
              <w:pStyle w:val="TableText"/>
              <w:keepNext/>
            </w:pPr>
            <w:r>
              <w:t>用一套形式容纳高斯等分布，使密度调节有可推导的结果。</w:t>
            </w:r>
          </w:p>
        </w:tc>
      </w:tr>
      <w:tr>
        <w:trPr>
          <w:cantSplit/>
        </w:trPr>
        <w:tc>
          <w:tcPr>
            <w:tcW w:type="dxa" w:w="2050"/>
            <w:vAlign w:val="center"/>
          </w:tcPr>
          <w:p>
            <w:pPr>
              <w:pStyle w:val="TableText"/>
              <w:keepNext/>
            </w:pPr>
            <w:r>
              <w:t>充分统计量Φ(z,y)</w:t>
            </w:r>
          </w:p>
        </w:tc>
        <w:tc>
          <w:tcPr>
            <w:tcW w:type="dxa" w:w="3500"/>
            <w:vAlign w:val="center"/>
          </w:tcPr>
          <w:p>
            <w:pPr>
              <w:pStyle w:val="TableText"/>
              <w:keepNext/>
            </w:pPr>
            <w:r>
              <w:t>本篇包含与y²、y及z相关的项。</w:t>
            </w:r>
          </w:p>
        </w:tc>
        <w:tc>
          <w:tcPr>
            <w:tcW w:type="dxa" w:w="3810"/>
            <w:vAlign w:val="center"/>
          </w:tcPr>
          <w:p>
            <w:pPr>
              <w:pStyle w:val="TableText"/>
              <w:keepNext/>
            </w:pPr>
            <w:r>
              <w:t>把指数中关于y的部分整理成二次式，就能认出高斯分布。</w:t>
            </w:r>
          </w:p>
        </w:tc>
      </w:tr>
      <w:tr>
        <w:trPr>
          <w:cantSplit/>
        </w:trPr>
        <w:tc>
          <w:tcPr>
            <w:tcW w:type="dxa" w:w="2050"/>
            <w:vAlign w:val="center"/>
          </w:tcPr>
          <w:p>
            <w:pPr>
              <w:pStyle w:val="TableText"/>
              <w:keepNext/>
            </w:pPr>
            <w:r>
              <w:t>精度precision</w:t>
            </w:r>
          </w:p>
        </w:tc>
        <w:tc>
          <w:tcPr>
            <w:tcW w:type="dxa" w:w="3500"/>
            <w:vAlign w:val="center"/>
          </w:tcPr>
          <w:p>
            <w:pPr>
              <w:pStyle w:val="TableText"/>
              <w:keepNext/>
            </w:pPr>
            <w:r>
              <w:t>方差的倒数1/σ²。</w:t>
            </w:r>
          </w:p>
        </w:tc>
        <w:tc>
          <w:tcPr>
            <w:tcW w:type="dxa" w:w="3810"/>
            <w:vAlign w:val="center"/>
          </w:tcPr>
          <w:p>
            <w:pPr>
              <w:pStyle w:val="TableText"/>
              <w:keepNext/>
            </w:pPr>
            <w:r>
              <w:t>密度增大使精度增大、区间变窄；低密度则相反，但要考虑另一个头的输出。</w:t>
            </w:r>
          </w:p>
        </w:tc>
      </w:tr>
      <w:tr>
        <w:trPr>
          <w:cantSplit/>
        </w:trPr>
        <w:tc>
          <w:tcPr>
            <w:tcW w:type="dxa" w:w="2050"/>
            <w:vAlign w:val="center"/>
          </w:tcPr>
          <w:p>
            <w:pPr>
              <w:pStyle w:val="TableText"/>
            </w:pPr>
            <w:r>
              <w:t>归一化常数</w:t>
            </w:r>
          </w:p>
        </w:tc>
        <w:tc>
          <w:tcPr>
            <w:tcW w:type="dxa" w:w="3500"/>
            <w:vAlign w:val="center"/>
          </w:tcPr>
          <w:p>
            <w:pPr>
              <w:pStyle w:val="TableText"/>
            </w:pPr>
            <w:r>
              <w:t>让条件密度对y积分等于1。</w:t>
            </w:r>
          </w:p>
        </w:tc>
        <w:tc>
          <w:tcPr>
            <w:tcW w:type="dxa" w:w="3810"/>
            <w:vAlign w:val="center"/>
          </w:tcPr>
          <w:p>
            <w:pPr>
              <w:pStyle w:val="TableText"/>
            </w:pPr>
            <w:r>
              <w:t>不能只看指数的大小就当作概率，必须整体归一化。</w:t>
            </w:r>
          </w:p>
        </w:tc>
      </w:tr>
    </w:tbl>
    <w:p>
      <w:pPr>
        <w:spacing w:after="0"/>
        <w:snapToGrid w:val="0"/>
      </w:pPr>
    </w:p>
    <w:p>
      <w:pPr>
        <w:pStyle w:val="Heading3"/>
        <w:snapToGrid w:val="0"/>
      </w:pPr>
      <w:r>
        <w:t>C．关键公式3：完成平方得到均值和方差</w:t>
      </w:r>
    </w:p>
    <w:p>
      <w:pPr>
        <w:snapToGrid w:val="0"/>
      </w:pPr>
      <w:r>
        <w:t>为便于理解，令q=p(z)&gt;0，a=θσ·[z;1]&gt;0，b=θμ·[z;1]。其中[z;1]表示拼上偏置项1。将与y无关的项吸收到归一化常数后，有：</w:t>
      </w:r>
    </w:p>
    <w:p>
      <w:pPr>
        <w:pStyle w:val="EquationText"/>
        <w:jc w:val="center"/>
        <w:snapToGrid w:val="0"/>
      </w:pPr>
      <w:r/>
      <m:oMath>
        <m:r>
          <m:t>p(y|x) ∝ exp{−q[a y² + 2b y]}</m:t>
        </m:r>
      </m:oMath>
    </w:p>
    <w:p>
      <w:pPr>
        <w:pStyle w:val="EquationText"/>
        <w:jc w:val="center"/>
        <w:snapToGrid w:val="0"/>
      </w:pPr>
      <w:r/>
      <m:oMath>
        <m:r>
          <m:t>a y² + 2b y = a(y+b/a)² − b²/a</m:t>
        </m:r>
      </m:oMath>
    </w:p>
    <w:p>
      <w:pPr>
        <w:snapToGrid w:val="0"/>
      </w:pPr>
      <w:r>
        <w:t>于是与标准高斯指数−(y−μ)²/(2σ²)对照，得到：</w:t>
      </w:r>
    </w:p>
    <w:p>
      <w:pPr>
        <w:pStyle w:val="EquationText"/>
        <w:jc w:val="center"/>
        <w:snapToGrid w:val="0"/>
      </w:pPr>
      <w:r/>
      <m:oMath>
        <m:r>
          <m:t>μ = −b/a,     σ² = 1/(2qa)</m:t>
        </m:r>
      </m:oMath>
    </w:p>
    <w:p>
      <w:pPr>
        <w:snapToGrid w:val="0"/>
      </w:pPr>
      <w:r>
        <w:t>【论文：Eq.10、Theorem 3.1；推导：以上完成平方过程】q是密度，a控制正的精度尺度，b控制中心位置。固定a、b时，q降低会使方差增大，但不会直接改变均值。这是最应该掌握的公式。</w:t>
      </w:r>
    </w:p>
    <w:p>
      <w:pPr>
        <w:pStyle w:val="Heading3"/>
        <w:snapToGrid w:val="0"/>
      </w:pPr>
      <w:r>
        <w:t>D．关键公式4：实际参数化</w:t>
      </w:r>
    </w:p>
    <w:p>
      <w:pPr>
        <w:snapToGrid w:val="0"/>
      </w:pPr>
      <w:r>
        <w:t>论文推论3.2用网络输出hσ直接表示log a，从而a=exp(hσ)&gt;0；另一个头输出hμ=b。这样不必担心a被线性层预测成负数。</w:t>
      </w:r>
    </w:p>
    <w:p>
      <w:pPr>
        <w:pStyle w:val="EquationText"/>
        <w:jc w:val="center"/>
        <w:snapToGrid w:val="0"/>
      </w:pPr>
      <w:r/>
      <m:oMath>
        <m:r>
          <m:t>log σ = −(log 2 + log q + hσ)/2</m:t>
        </m:r>
      </m:oMath>
    </w:p>
    <w:p>
      <w:pPr>
        <w:pStyle w:val="EquationText"/>
        <w:jc w:val="center"/>
        <w:snapToGrid w:val="0"/>
      </w:pPr>
      <w:r/>
      <m:oMath>
        <m:r>
          <m:t>σ² = exp(−hσ)/(2q),     μ = −hμ exp(−hσ)</m:t>
        </m:r>
      </m:oMath>
    </w:p>
    <w:p>
      <w:pPr>
        <w:snapToGrid w:val="0"/>
      </w:pPr>
      <w:r>
        <w:t>【推导】实现中也可写μ=σ²(−2qhμ)，但把σ²代入后q会抵消。因此，密度对固定网络输出的直接作用主要落在方差上；第三阶段重新训练回归头仍可能间接改变均值。不能误解为“密度越低，预测均值就自动回到安全值”。</w:t>
      </w:r>
    </w:p>
    <w:p>
      <w:pPr>
        <w:snapToGrid w:val="0"/>
      </w:pPr>
      <w:r>
        <w:t>【符号提醒】方差应为exp(2logσ)=[exp(logσ)]²。附录A.3的Eq.49排版容易混淆，代码示例的计算方式更明确。log参数化是重新定义参数，不是任意原线性函数的对数仍然线性。</w:t>
      </w:r>
    </w:p>
    <w:p>
      <w:pPr>
        <w:pStyle w:val="Heading3"/>
        <w:snapToGrid w:val="0"/>
      </w:pPr>
      <w:r>
        <w:t>E．二维数值例子：范围内也可能缺少经验</w:t>
      </w:r>
    </w:p>
    <w:p>
      <w:pPr>
        <w:snapToGrid w:val="0"/>
      </w:pPr>
      <w:r>
        <w:t>【教学假设】输入x=(x₁,x₂)，特征直接取z=x。训练数据主要靠近x₂=x₁，两个分量各自都在[−2,2]。A=(1,1)符合组合关系；B=(1,−1)每个分量都在范围内，但组合陌生。假设估计密度q(A)=0.20，q(B)=0.02，并为隔离密度效果固定hσ=0、hμ=−2。</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1750"/>
        <w:gridCol w:w="700"/>
        <w:gridCol w:w="650"/>
        <w:gridCol w:w="800"/>
        <w:gridCol w:w="800"/>
        <w:gridCol w:w="4660"/>
      </w:tblGrid>
      <w:tr>
        <w:trPr>
          <w:cantSplit/>
          <w:tblHeader/>
        </w:trPr>
        <w:tc>
          <w:tcPr>
            <w:tcW w:type="dxa" w:w="1750"/>
            <w:vAlign w:val="center"/>
            <w:shd w:fill="E8EEF5"/>
          </w:tcPr>
          <w:p>
            <w:pPr>
              <w:pStyle w:val="TableText"/>
              <w:keepNext/>
            </w:pPr>
            <w:r>
              <w:rPr>
                <w:b/>
                <w:color w:val="1F4D78"/>
              </w:rPr>
              <w:t>位置</w:t>
            </w:r>
          </w:p>
        </w:tc>
        <w:tc>
          <w:tcPr>
            <w:tcW w:type="dxa" w:w="700"/>
            <w:vAlign w:val="center"/>
            <w:shd w:fill="E8EEF5"/>
          </w:tcPr>
          <w:p>
            <w:pPr>
              <w:pStyle w:val="TableText"/>
              <w:keepNext/>
            </w:pPr>
            <w:r>
              <w:rPr>
                <w:b/>
                <w:color w:val="1F4D78"/>
              </w:rPr>
              <w:t>q</w:t>
            </w:r>
          </w:p>
        </w:tc>
        <w:tc>
          <w:tcPr>
            <w:tcW w:type="dxa" w:w="650"/>
            <w:vAlign w:val="center"/>
            <w:shd w:fill="E8EEF5"/>
          </w:tcPr>
          <w:p>
            <w:pPr>
              <w:pStyle w:val="TableText"/>
              <w:keepNext/>
            </w:pPr>
            <w:r>
              <w:rPr>
                <w:b/>
                <w:color w:val="1F4D78"/>
              </w:rPr>
              <w:t>μ</w:t>
            </w:r>
          </w:p>
        </w:tc>
        <w:tc>
          <w:tcPr>
            <w:tcW w:type="dxa" w:w="800"/>
            <w:vAlign w:val="center"/>
            <w:shd w:fill="E8EEF5"/>
          </w:tcPr>
          <w:p>
            <w:pPr>
              <w:pStyle w:val="TableText"/>
              <w:keepNext/>
            </w:pPr>
            <w:r>
              <w:rPr>
                <w:b/>
                <w:color w:val="1F4D78"/>
              </w:rPr>
              <w:t>σ²</w:t>
            </w:r>
          </w:p>
        </w:tc>
        <w:tc>
          <w:tcPr>
            <w:tcW w:type="dxa" w:w="800"/>
            <w:vAlign w:val="center"/>
            <w:shd w:fill="E8EEF5"/>
          </w:tcPr>
          <w:p>
            <w:pPr>
              <w:pStyle w:val="TableText"/>
              <w:keepNext/>
            </w:pPr>
            <w:r>
              <w:rPr>
                <w:b/>
                <w:color w:val="1F4D78"/>
              </w:rPr>
              <w:t>σ</w:t>
            </w:r>
          </w:p>
        </w:tc>
        <w:tc>
          <w:tcPr>
            <w:tcW w:type="dxa" w:w="4660"/>
            <w:vAlign w:val="center"/>
            <w:shd w:fill="E8EEF5"/>
          </w:tcPr>
          <w:p>
            <w:pPr>
              <w:pStyle w:val="TableText"/>
              <w:keepNext/>
            </w:pPr>
            <w:r>
              <w:rPr>
                <w:b/>
                <w:color w:val="1F4D78"/>
              </w:rPr>
              <w:t>近似95%预测区间</w:t>
            </w:r>
          </w:p>
        </w:tc>
      </w:tr>
      <w:tr>
        <w:trPr>
          <w:cantSplit/>
        </w:trPr>
        <w:tc>
          <w:tcPr>
            <w:tcW w:type="dxa" w:w="1750"/>
            <w:vAlign w:val="center"/>
          </w:tcPr>
          <w:p>
            <w:pPr>
              <w:pStyle w:val="TableText"/>
              <w:keepNext/>
            </w:pPr>
            <w:r>
              <w:t>A=(1,1)</w:t>
            </w:r>
          </w:p>
        </w:tc>
        <w:tc>
          <w:tcPr>
            <w:tcW w:type="dxa" w:w="700"/>
            <w:vAlign w:val="center"/>
          </w:tcPr>
          <w:p>
            <w:pPr>
              <w:pStyle w:val="TableText"/>
              <w:keepNext/>
            </w:pPr>
            <w:r>
              <w:t>0.20</w:t>
            </w:r>
          </w:p>
        </w:tc>
        <w:tc>
          <w:tcPr>
            <w:tcW w:type="dxa" w:w="650"/>
            <w:vAlign w:val="center"/>
          </w:tcPr>
          <w:p>
            <w:pPr>
              <w:pStyle w:val="TableText"/>
              <w:keepNext/>
            </w:pPr>
            <w:r>
              <w:t>2</w:t>
            </w:r>
          </w:p>
        </w:tc>
        <w:tc>
          <w:tcPr>
            <w:tcW w:type="dxa" w:w="800"/>
            <w:vAlign w:val="center"/>
          </w:tcPr>
          <w:p>
            <w:pPr>
              <w:pStyle w:val="TableText"/>
              <w:keepNext/>
            </w:pPr>
            <w:r>
              <w:t>2.5</w:t>
            </w:r>
          </w:p>
        </w:tc>
        <w:tc>
          <w:tcPr>
            <w:tcW w:type="dxa" w:w="800"/>
            <w:vAlign w:val="center"/>
          </w:tcPr>
          <w:p>
            <w:pPr>
              <w:pStyle w:val="TableText"/>
              <w:keepNext/>
            </w:pPr>
            <w:r>
              <w:t>1.581</w:t>
            </w:r>
          </w:p>
        </w:tc>
        <w:tc>
          <w:tcPr>
            <w:tcW w:type="dxa" w:w="4660"/>
            <w:vAlign w:val="center"/>
          </w:tcPr>
          <w:p>
            <w:pPr>
              <w:pStyle w:val="TableText"/>
              <w:keepNext/>
            </w:pPr>
            <w:r>
              <w:t>[−1.10,5.10]</w:t>
            </w:r>
          </w:p>
        </w:tc>
      </w:tr>
      <w:tr>
        <w:trPr>
          <w:cantSplit/>
        </w:trPr>
        <w:tc>
          <w:tcPr>
            <w:tcW w:type="dxa" w:w="1750"/>
            <w:vAlign w:val="center"/>
          </w:tcPr>
          <w:p>
            <w:pPr>
              <w:pStyle w:val="TableText"/>
            </w:pPr>
            <w:r>
              <w:t>B=(1,−1)</w:t>
            </w:r>
          </w:p>
        </w:tc>
        <w:tc>
          <w:tcPr>
            <w:tcW w:type="dxa" w:w="700"/>
            <w:vAlign w:val="center"/>
          </w:tcPr>
          <w:p>
            <w:pPr>
              <w:pStyle w:val="TableText"/>
            </w:pPr>
            <w:r>
              <w:t>0.02</w:t>
            </w:r>
          </w:p>
        </w:tc>
        <w:tc>
          <w:tcPr>
            <w:tcW w:type="dxa" w:w="650"/>
            <w:vAlign w:val="center"/>
          </w:tcPr>
          <w:p>
            <w:pPr>
              <w:pStyle w:val="TableText"/>
            </w:pPr>
            <w:r>
              <w:t>2</w:t>
            </w:r>
          </w:p>
        </w:tc>
        <w:tc>
          <w:tcPr>
            <w:tcW w:type="dxa" w:w="800"/>
            <w:vAlign w:val="center"/>
          </w:tcPr>
          <w:p>
            <w:pPr>
              <w:pStyle w:val="TableText"/>
            </w:pPr>
            <w:r>
              <w:t>25</w:t>
            </w:r>
          </w:p>
        </w:tc>
        <w:tc>
          <w:tcPr>
            <w:tcW w:type="dxa" w:w="800"/>
            <w:vAlign w:val="center"/>
          </w:tcPr>
          <w:p>
            <w:pPr>
              <w:pStyle w:val="TableText"/>
            </w:pPr>
            <w:r>
              <w:t>5</w:t>
            </w:r>
          </w:p>
        </w:tc>
        <w:tc>
          <w:tcPr>
            <w:tcW w:type="dxa" w:w="4660"/>
            <w:vAlign w:val="center"/>
          </w:tcPr>
          <w:p>
            <w:pPr>
              <w:pStyle w:val="TableText"/>
            </w:pPr>
            <w:r>
              <w:t>[−7.80,11.80]</w:t>
            </w:r>
          </w:p>
        </w:tc>
      </w:tr>
    </w:tbl>
    <w:p>
      <w:pPr>
        <w:spacing w:after="0"/>
        <w:snapToGrid w:val="0"/>
      </w:pPr>
    </w:p>
    <w:p>
      <w:pPr>
        <w:snapToGrid w:val="0"/>
      </w:pPr>
      <w:r>
        <w:t>q降低10倍，方差增加10倍，标准差增加√10倍。该例说明方法在原理上可能对项目间关系变化作出反应，对应课题③；它不是论文已经完成的③类检测实验，假设的密度也不是代码测量值。</w:t>
      </w:r>
    </w:p>
    <w:p>
      <w:pPr>
        <w:pStyle w:val="Heading3"/>
        <w:snapToGrid w:val="0"/>
      </w:pPr>
      <w:r>
        <w:t>F．本节真正重要的结论</w:t>
      </w:r>
    </w:p>
    <w:p>
      <w:pPr>
        <w:pStyle w:val="ReportBullet"/>
        <w:keepNext/>
        <w:numPr>
          <w:ilvl w:val="0"/>
          <w:numId w:val="51"/>
        </w:numPr>
        <w:snapToGrid w:val="0"/>
      </w:pPr>
      <w:r>
        <w:t>方法把密度变成预测分布的“宽度调节器”。</w:t>
      </w:r>
    </w:p>
    <w:p>
      <w:pPr>
        <w:pStyle w:val="ReportBullet"/>
        <w:keepNext/>
        <w:numPr>
          <w:ilvl w:val="0"/>
          <w:numId w:val="51"/>
        </w:numPr>
        <w:snapToGrid w:val="0"/>
      </w:pPr>
      <w:r>
        <w:t>方差由密度与回归头共同决定，不是密度的单变量函数。</w:t>
      </w:r>
    </w:p>
    <w:p>
      <w:pPr>
        <w:pStyle w:val="ReportBullet"/>
        <w:numPr>
          <w:ilvl w:val="0"/>
          <w:numId w:val="51"/>
        </w:numPr>
        <w:snapToGrid w:val="0"/>
      </w:pPr>
      <w:r>
        <w:t>联合密度有机会反映“各项正常但组合陌生”，但需要实验验证。</w:t>
      </w:r>
    </w:p>
    <w:p>
      <w:pPr>
        <w:pStyle w:val="Heading2"/>
        <w:snapToGrid w:val="0"/>
      </w:pPr>
      <w:r>
        <w:t>5　Method §3.2：训练和使用时分别需要什么？</w:t>
      </w:r>
    </w:p>
    <w:p>
      <w:pPr>
        <w:pStyle w:val="Heading3"/>
        <w:snapToGrid w:val="0"/>
      </w:pPr>
      <w:r>
        <w:t>A．这一节的作用</w:t>
      </w:r>
    </w:p>
    <w:p>
      <w:pPr>
        <w:snapToGrid w:val="0"/>
      </w:pPr>
      <w:r>
        <w:t>本节把概率公式拆成可执行流程。正文算法必须与实际代码分开记录：下面先解释论文Algorithm 1，再在第9节核对天气实现。【论文：PDF pp.5–6；附录B.3】</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1550"/>
        <w:gridCol w:w="2500"/>
        <w:gridCol w:w="2600"/>
        <w:gridCol w:w="2710"/>
      </w:tblGrid>
      <w:tr>
        <w:trPr>
          <w:cantSplit/>
          <w:tblHeader/>
        </w:trPr>
        <w:tc>
          <w:tcPr>
            <w:tcW w:type="dxa" w:w="1550"/>
            <w:vAlign w:val="center"/>
            <w:shd w:fill="E8EEF5"/>
          </w:tcPr>
          <w:p>
            <w:pPr>
              <w:pStyle w:val="TableText"/>
              <w:keepNext/>
            </w:pPr>
            <w:r>
              <w:rPr>
                <w:b/>
                <w:color w:val="1F4D78"/>
              </w:rPr>
              <w:t>阶段</w:t>
            </w:r>
          </w:p>
        </w:tc>
        <w:tc>
          <w:tcPr>
            <w:tcW w:type="dxa" w:w="2500"/>
            <w:vAlign w:val="center"/>
            <w:shd w:fill="E8EEF5"/>
          </w:tcPr>
          <w:p>
            <w:pPr>
              <w:pStyle w:val="TableText"/>
              <w:keepNext/>
            </w:pPr>
            <w:r>
              <w:rPr>
                <w:b/>
                <w:color w:val="1F4D78"/>
              </w:rPr>
              <w:t>输入与训练对象</w:t>
            </w:r>
          </w:p>
        </w:tc>
        <w:tc>
          <w:tcPr>
            <w:tcW w:type="dxa" w:w="2600"/>
            <w:vAlign w:val="center"/>
            <w:shd w:fill="E8EEF5"/>
          </w:tcPr>
          <w:p>
            <w:pPr>
              <w:pStyle w:val="TableText"/>
              <w:keepNext/>
            </w:pPr>
            <w:r>
              <w:rPr>
                <w:b/>
                <w:color w:val="1F4D78"/>
              </w:rPr>
              <w:t>固定对象</w:t>
            </w:r>
          </w:p>
        </w:tc>
        <w:tc>
          <w:tcPr>
            <w:tcW w:type="dxa" w:w="2710"/>
            <w:vAlign w:val="center"/>
            <w:shd w:fill="E8EEF5"/>
          </w:tcPr>
          <w:p>
            <w:pPr>
              <w:pStyle w:val="TableText"/>
              <w:keepNext/>
            </w:pPr>
            <w:r>
              <w:rPr>
                <w:b/>
                <w:color w:val="1F4D78"/>
              </w:rPr>
              <w:t>输出及目的</w:t>
            </w:r>
          </w:p>
        </w:tc>
      </w:tr>
      <w:tr>
        <w:trPr>
          <w:cantSplit/>
        </w:trPr>
        <w:tc>
          <w:tcPr>
            <w:tcW w:type="dxa" w:w="1550"/>
            <w:vAlign w:val="center"/>
          </w:tcPr>
          <w:p>
            <w:pPr>
              <w:pStyle w:val="TableText"/>
              <w:keepNext/>
            </w:pPr>
            <w:r>
              <w:t>1．预训练回归</w:t>
            </w:r>
          </w:p>
        </w:tc>
        <w:tc>
          <w:tcPr>
            <w:tcW w:type="dxa" w:w="2500"/>
            <w:vAlign w:val="center"/>
          </w:tcPr>
          <w:p>
            <w:pPr>
              <w:pStyle w:val="TableText"/>
              <w:keepNext/>
            </w:pPr>
            <w:r>
              <w:t>训练(x,y)；优化特征提取器f与回归头g；先取q=1。</w:t>
            </w:r>
          </w:p>
        </w:tc>
        <w:tc>
          <w:tcPr>
            <w:tcW w:type="dxa" w:w="2600"/>
            <w:vAlign w:val="center"/>
          </w:tcPr>
          <w:p>
            <w:pPr>
              <w:pStyle w:val="TableText"/>
              <w:keepNext/>
            </w:pPr>
            <w:r>
              <w:t>无已学习密度。</w:t>
            </w:r>
          </w:p>
        </w:tc>
        <w:tc>
          <w:tcPr>
            <w:tcW w:type="dxa" w:w="2710"/>
            <w:vAlign w:val="center"/>
          </w:tcPr>
          <w:p>
            <w:pPr>
              <w:pStyle w:val="TableText"/>
              <w:keepNext/>
            </w:pPr>
            <w:r>
              <w:t>学到有预测价值的特征z与初始回归参数。</w:t>
            </w:r>
          </w:p>
        </w:tc>
      </w:tr>
      <w:tr>
        <w:trPr>
          <w:cantSplit/>
        </w:trPr>
        <w:tc>
          <w:tcPr>
            <w:tcW w:type="dxa" w:w="1550"/>
            <w:vAlign w:val="center"/>
          </w:tcPr>
          <w:p>
            <w:pPr>
              <w:pStyle w:val="TableText"/>
              <w:keepNext/>
            </w:pPr>
            <w:r>
              <w:t>2．拟合密度</w:t>
            </w:r>
          </w:p>
        </w:tc>
        <w:tc>
          <w:tcPr>
            <w:tcW w:type="dxa" w:w="2500"/>
            <w:vAlign w:val="center"/>
          </w:tcPr>
          <w:p>
            <w:pPr>
              <w:pStyle w:val="TableText"/>
              <w:keepNext/>
            </w:pPr>
            <w:r>
              <w:t>z=f(x)；最大化训练特征的log p(z)。</w:t>
            </w:r>
          </w:p>
        </w:tc>
        <w:tc>
          <w:tcPr>
            <w:tcW w:type="dxa" w:w="2600"/>
            <w:vAlign w:val="center"/>
          </w:tcPr>
          <w:p>
            <w:pPr>
              <w:pStyle w:val="TableText"/>
              <w:keepNext/>
            </w:pPr>
            <w:r>
              <w:t>固定f。</w:t>
            </w:r>
          </w:p>
        </w:tc>
        <w:tc>
          <w:tcPr>
            <w:tcW w:type="dxa" w:w="2710"/>
            <w:vAlign w:val="center"/>
          </w:tcPr>
          <w:p>
            <w:pPr>
              <w:pStyle w:val="TableText"/>
              <w:keepNext/>
            </w:pPr>
            <w:r>
              <w:t>密度模型p(z;α)，描述训练经验在特征空间如何分布。</w:t>
            </w:r>
          </w:p>
        </w:tc>
      </w:tr>
      <w:tr>
        <w:trPr>
          <w:cantSplit/>
        </w:trPr>
        <w:tc>
          <w:tcPr>
            <w:tcW w:type="dxa" w:w="1550"/>
            <w:vAlign w:val="center"/>
          </w:tcPr>
          <w:p>
            <w:pPr>
              <w:pStyle w:val="TableText"/>
              <w:keepNext/>
            </w:pPr>
            <w:r>
              <w:t>3．重新训练回归头</w:t>
            </w:r>
          </w:p>
        </w:tc>
        <w:tc>
          <w:tcPr>
            <w:tcW w:type="dxa" w:w="2500"/>
            <w:vAlign w:val="center"/>
          </w:tcPr>
          <w:p>
            <w:pPr>
              <w:pStyle w:val="TableText"/>
              <w:keepNext/>
            </w:pPr>
            <w:r>
              <w:t>训练(z,y)和已估计密度；以NLL优化g。</w:t>
            </w:r>
          </w:p>
        </w:tc>
        <w:tc>
          <w:tcPr>
            <w:tcW w:type="dxa" w:w="2600"/>
            <w:vAlign w:val="center"/>
          </w:tcPr>
          <w:p>
            <w:pPr>
              <w:pStyle w:val="TableText"/>
              <w:keepNext/>
            </w:pPr>
            <w:r>
              <w:t>固定f和密度模型。</w:t>
            </w:r>
          </w:p>
        </w:tc>
        <w:tc>
          <w:tcPr>
            <w:tcW w:type="dxa" w:w="2710"/>
            <w:vAlign w:val="center"/>
          </w:tcPr>
          <w:p>
            <w:pPr>
              <w:pStyle w:val="TableText"/>
              <w:keepNext/>
            </w:pPr>
            <w:r>
              <w:t>让均值／方差参数适应密度因子。</w:t>
            </w:r>
          </w:p>
        </w:tc>
      </w:tr>
      <w:tr>
        <w:trPr>
          <w:cantSplit/>
        </w:trPr>
        <w:tc>
          <w:tcPr>
            <w:tcW w:type="dxa" w:w="1550"/>
            <w:vAlign w:val="center"/>
          </w:tcPr>
          <w:p>
            <w:pPr>
              <w:pStyle w:val="TableText"/>
            </w:pPr>
            <w:r>
              <w:t>运行推理</w:t>
            </w:r>
          </w:p>
        </w:tc>
        <w:tc>
          <w:tcPr>
            <w:tcW w:type="dxa" w:w="2500"/>
            <w:vAlign w:val="center"/>
          </w:tcPr>
          <w:p>
            <w:pPr>
              <w:pStyle w:val="TableText"/>
            </w:pPr>
            <w:r>
              <w:t>新x经过预处理、f、密度模型和g。</w:t>
            </w:r>
          </w:p>
        </w:tc>
        <w:tc>
          <w:tcPr>
            <w:tcW w:type="dxa" w:w="2600"/>
            <w:vAlign w:val="center"/>
          </w:tcPr>
          <w:p>
            <w:pPr>
              <w:pStyle w:val="TableText"/>
            </w:pPr>
            <w:r>
              <w:t>全部参数固定。</w:t>
            </w:r>
          </w:p>
        </w:tc>
        <w:tc>
          <w:tcPr>
            <w:tcW w:type="dxa" w:w="2710"/>
            <w:vAlign w:val="center"/>
          </w:tcPr>
          <w:p>
            <w:pPr>
              <w:pStyle w:val="TableText"/>
            </w:pPr>
            <w:r>
              <w:t>输出μ和σ²；不需要当下真实y。</w:t>
            </w:r>
          </w:p>
        </w:tc>
      </w:tr>
    </w:tbl>
    <w:p>
      <w:pPr>
        <w:spacing w:after="0"/>
        <w:snapToGrid w:val="0"/>
      </w:pPr>
    </w:p>
    <w:p>
      <w:pPr>
        <w:pStyle w:val="Heading3"/>
        <w:snapToGrid w:val="0"/>
      </w:pPr>
      <w:r>
        <w:t>B．Normalizing Flow是什么？</w:t>
      </w:r>
    </w:p>
    <w:p>
      <w:pPr>
        <w:snapToGrid w:val="0"/>
      </w:pPr>
      <w:r>
        <w:t>Flow用可逆变换把复杂分布与简单基分布联系起来。若t=sα(z)，则：</w:t>
      </w:r>
    </w:p>
    <w:p>
      <w:pPr>
        <w:pStyle w:val="EquationText"/>
        <w:jc w:val="center"/>
        <w:snapToGrid w:val="0"/>
      </w:pPr>
      <w:r/>
      <m:oMath>
        <m:r>
          <m:t>log p(z) = log p₀(sα(z)) + log |det(∂sα/∂z)|</m:t>
        </m:r>
      </m:oMath>
    </w:p>
    <w:p>
      <w:pPr>
        <w:snapToGrid w:val="0"/>
      </w:pPr>
      <w:r>
        <w:t>【论文：Eq.14】p₀通常为简单高斯，α是变换参数，Jacobian行列式修正空间伸缩导致的密度变化。只保留高斯项、漏掉非恒定的体积修正，一般不能得到正确的原空间密度。</w:t>
      </w:r>
    </w:p>
    <w:p>
      <w:pPr>
        <w:snapToGrid w:val="0"/>
      </w:pPr>
      <w:r>
        <w:t>【二维例】令t=(2z₁,z₂)，Jacobian行列式为2。若p₀为二维标准高斯，在z=(0,0)处p₀(t)=1/(2π)，所以p(z)=2/(2π)=1/π。这个倍数来自空间压缩／拉伸，并不是输入变得“正常两倍”。</w:t>
      </w:r>
    </w:p>
    <w:p>
      <w:pPr>
        <w:snapToGrid w:val="0"/>
      </w:pPr>
      <w:r>
        <w:t>【论文实现说明】Toy采用指数核、L1距离的KDE；其他实验声称采用normalizing flows。KDE把训练样本附近的核贡献相加，运行成本通常随保留样本量增长；flow的代价主要随网络结构增长。</w:t>
      </w:r>
    </w:p>
    <w:p>
      <w:pPr>
        <w:pStyle w:val="Heading3"/>
        <w:snapToGrid w:val="0"/>
      </w:pPr>
      <w:r>
        <w:t>C．是否“只要输入就能检测”？</w:t>
      </w:r>
    </w:p>
    <w:p>
      <w:pPr>
        <w:snapToGrid w:val="0"/>
      </w:pPr>
      <w:r>
        <w:t>运行时无需真实目标y，这一点对压力标签延迟到达的情形有吸引力。但论文方法需要其自身的特征网络、密度模块和预测头；它不是只读原始x且完全独立于目标模型的黑盒检测器。若现有AI模型是不可修改的外部服务，仅有输入／输出接口，直接照搬正文方法受限。</w:t>
      </w:r>
    </w:p>
    <w:p>
      <w:pPr>
        <w:snapToGrid w:val="0"/>
      </w:pPr>
      <w:r>
        <w:t>【应用建议】可以另建原始输入密度检测器，不读取现有AI内部信息；但那是衍生方案，不能把效果归给原论文的Density-Regression。</w:t>
      </w:r>
    </w:p>
    <w:p>
      <w:pPr>
        <w:pStyle w:val="Heading3"/>
        <w:snapToGrid w:val="0"/>
      </w:pPr>
      <w:r>
        <w:t>D．本节真正重要的结论</w:t>
      </w:r>
    </w:p>
    <w:p>
      <w:pPr>
        <w:pStyle w:val="ReportBullet"/>
        <w:keepNext/>
        <w:numPr>
          <w:ilvl w:val="0"/>
          <w:numId w:val="51"/>
        </w:numPr>
        <w:snapToGrid w:val="0"/>
      </w:pPr>
      <w:r>
        <w:t>正文是三阶段监督回归＋密度学习；无需OOD训练样本不等于无需y。</w:t>
      </w:r>
    </w:p>
    <w:p>
      <w:pPr>
        <w:pStyle w:val="ReportBullet"/>
        <w:keepNext/>
        <w:numPr>
          <w:ilvl w:val="0"/>
          <w:numId w:val="51"/>
        </w:numPr>
        <w:snapToGrid w:val="0"/>
      </w:pPr>
      <w:r>
        <w:t>单次推理仍需计算密度模块；“O(1)”指不随集成成员数重复推理。</w:t>
      </w:r>
    </w:p>
    <w:p>
      <w:pPr>
        <w:pStyle w:val="ReportBullet"/>
        <w:numPr>
          <w:ilvl w:val="0"/>
          <w:numId w:val="51"/>
        </w:numPr>
        <w:snapToGrid w:val="0"/>
      </w:pPr>
      <w:r>
        <w:t>运行时不需要y，与评价时需要y，完全不矛盾。</w:t>
      </w:r>
    </w:p>
    <w:p>
      <w:pPr>
        <w:pStyle w:val="Heading2"/>
        <w:snapToGrid w:val="0"/>
      </w:pPr>
      <w:r>
        <w:t>6　Method §3.3与附录A：理论应该信到哪一步？</w:t>
      </w:r>
    </w:p>
    <w:p>
      <w:pPr>
        <w:pStyle w:val="Heading3"/>
        <w:snapToGrid w:val="0"/>
      </w:pPr>
      <w:r>
        <w:t>A．这一节讲什么？为什么重要？</w:t>
      </w:r>
    </w:p>
    <w:p>
      <w:pPr>
        <w:snapToGrid w:val="0"/>
      </w:pPr>
      <w:r>
        <w:t>作者尝试把“低密度时更不确定”的设计提升为distance awareness论证。对实习研究，这决定我们能否把方法视为有理论保障的学习外检测方案。必须把作者主张与证明实际覆盖范围区分开。【论文：PDF p.6、附录A.4–A.5 pp.18–19】</w:t>
      </w:r>
    </w:p>
    <w:p>
      <w:pPr>
        <w:pStyle w:val="Heading3"/>
        <w:snapToGrid w:val="0"/>
      </w:pPr>
      <w:r>
        <w:t>B．关键概念与公式</w:t>
      </w:r>
    </w:p>
    <w:p>
      <w:pPr>
        <w:pStyle w:val="EquationText"/>
        <w:jc w:val="center"/>
        <w:snapToGrid w:val="0"/>
      </w:pPr>
      <w:r/>
      <m:oMath>
        <m:r>
          <m:t>d(z,Zₛ) = E[||z−Zₛ||],     u(z) = H(Y|x) = (1/2)log(2πeσ²(x))</m:t>
        </m:r>
      </m:oMath>
    </w:p>
    <w:p>
      <w:pPr>
        <w:snapToGrid w:val="0"/>
      </w:pPr>
      <w:r>
        <w:t>Zₛ是训练特征分布中的随机变量，d是到该分布的期望距离，不是最近训练样本的距离。u是高斯预测分布的微分熵；它随方差增大而增大，不表示“异常概率”。distance awareness要求u与该距离有相应的单调联系。【论文：Def.2.2、Theorem 3.6】</w:t>
      </w:r>
    </w:p>
    <w:p>
      <w:pPr>
        <w:pStyle w:val="Heading3"/>
        <w:snapToGrid w:val="0"/>
      </w:pPr>
      <w:r>
        <w:t>C．需要限定的三个理论环节</w:t>
      </w:r>
    </w:p>
    <w:p>
      <w:pPr>
        <w:snapToGrid w:val="0"/>
      </w:pPr>
      <w:r>
        <w:t>第一，附录A.5第1部分具体使用一维高斯密度与绝对距离证明单调关系。一般normalizing flow的目标密度不必是一维高斯，也不必单峰。该证明不能直接当成对任意多维、多峰特征分布的完整全局保证。</w:t>
      </w:r>
    </w:p>
    <w:p>
      <w:pPr>
        <w:snapToGrid w:val="0"/>
      </w:pPr>
      <w:r>
        <w:t>【推导反例】令训练分布为等权混合N(−2,0.1²)与N(2,0.1²)。z=0处密度接近0，期望绝对距离约2；z=2处密度约1.995，期望绝对距离约2.0399。距离略增时密度反而大增，说明“密度随到全体分布的期望距离单调下降”不适用于一般多峰分布。</w:t>
      </w:r>
    </w:p>
    <w:p>
      <w:pPr>
        <w:snapToGrid w:val="0"/>
      </w:pPr>
      <w:r>
        <w:t>第二，方差是1/(2qa)，或exp(−hσ)/(2q)。仅知道q→0，还应控制a或hσ的变化，才能推出整个乘积对应的方差→∞。固定回归头输出时结论清楚；跨输入变化时不能默默把回归头当常数。具体密度尾部与头函数增长率需要联合分析。</w:t>
      </w:r>
    </w:p>
    <w:p>
      <w:pPr>
        <w:snapToGrid w:val="0"/>
      </w:pPr>
      <w:r>
        <w:t>第三，“靠近训练数据就有密度→∞、方差→0”不是一般事实。固定带宽高斯在中心的密度是有限值，且对非退化高斯E|z−Zₛ|的最小值仍大于0。数据自身还有观测噪声时，理想预测方差也不应普遍归零。因此附录A.4近端极限的适用条件需要进一步澄清。</w:t>
      </w:r>
    </w:p>
    <w:p>
      <w:pPr>
        <w:pStyle w:val="Heading3"/>
        <w:snapToGrid w:val="0"/>
      </w:pPr>
      <w:r>
        <w:t>D．特征空间保障不等于输入空间保障</w:t>
      </w:r>
    </w:p>
    <w:p>
      <w:pPr>
        <w:snapToGrid w:val="0"/>
      </w:pPr>
      <w:r>
        <w:t>若两个相差很大的原始输入被f映射到相近位置，密度可能都高，这叫特征塌缩风险。对于末端压力模型，某个未见运行工况可能在网络表示中被压缩掉。需要实际检查原始空间和特征空间的OOD分离效果，不能只引用“distance-aware”标题。</w:t>
      </w:r>
    </w:p>
    <w:p>
      <w:pPr>
        <w:pStyle w:val="Heading3"/>
        <w:snapToGrid w:val="0"/>
      </w:pPr>
      <w:r>
        <w:t>E．本节真正重要的结论</w:t>
      </w:r>
    </w:p>
    <w:p>
      <w:pPr>
        <w:pStyle w:val="ReportBullet"/>
        <w:keepNext/>
        <w:numPr>
          <w:ilvl w:val="0"/>
          <w:numId w:val="51"/>
        </w:numPr>
        <w:snapToGrid w:val="0"/>
      </w:pPr>
      <w:r>
        <w:t>完成平方得到高斯均值／方差的代数关系清楚，值得借鉴。</w:t>
      </w:r>
    </w:p>
    <w:p>
      <w:pPr>
        <w:pStyle w:val="ReportBullet"/>
        <w:keepNext/>
        <w:numPr>
          <w:ilvl w:val="0"/>
          <w:numId w:val="51"/>
        </w:numPr>
        <w:snapToGrid w:val="0"/>
      </w:pPr>
      <w:r>
        <w:t>一般分布上的全局单调性与极限论证需要更充分条件。</w:t>
      </w:r>
    </w:p>
    <w:p>
      <w:pPr>
        <w:pStyle w:val="ReportBullet"/>
        <w:numPr>
          <w:ilvl w:val="0"/>
          <w:numId w:val="51"/>
        </w:numPr>
        <w:snapToGrid w:val="0"/>
      </w:pPr>
      <w:r>
        <w:t>这些是阅读中发现的适用范围问题，不等于已经实验证明方法无效。</w:t>
      </w:r>
    </w:p>
    <w:p>
      <w:pPr>
        <w:pStyle w:val="Heading2"/>
        <w:snapToGrid w:val="0"/>
      </w:pPr>
      <w:r>
        <w:t>7　Experiments：作者到底验证了什么？</w:t>
      </w:r>
    </w:p>
    <w:p>
      <w:pPr>
        <w:pStyle w:val="Heading3"/>
        <w:snapToGrid w:val="0"/>
      </w:pPr>
      <w:r>
        <w:t>A．实验设计在全文中的作用</w:t>
      </w:r>
    </w:p>
    <w:p>
      <w:pPr>
        <w:snapToGrid w:val="0"/>
      </w:pPr>
      <w:r>
        <w:t>Toy检验可视化直觉，天气和Wine检验数值回归的分布迁移，图像深度估计检验更高维任务和效率。它们共同支持方法有应用潜力，但各实验的OOD含义不同。【论文：§4，PDF pp.6–9】</w:t>
      </w:r>
    </w:p>
    <w:p>
      <w:pPr>
        <w:pStyle w:val="Heading3"/>
        <w:snapToGrid w:val="0"/>
      </w:pPr>
      <w:r>
        <w:t>B．逐个实验读法</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实验</w:t>
            </w:r>
          </w:p>
        </w:tc>
        <w:tc>
          <w:tcPr>
            <w:tcW w:type="dxa" w:w="3500"/>
            <w:vAlign w:val="center"/>
            <w:shd w:fill="E8EEF5"/>
          </w:tcPr>
          <w:p>
            <w:pPr>
              <w:pStyle w:val="TableText"/>
              <w:keepNext/>
            </w:pPr>
            <w:r>
              <w:rPr>
                <w:b/>
                <w:color w:val="1F4D78"/>
              </w:rPr>
              <w:t>输入／目标／移位</w:t>
            </w:r>
          </w:p>
        </w:tc>
        <w:tc>
          <w:tcPr>
            <w:tcW w:type="dxa" w:w="3810"/>
            <w:vAlign w:val="center"/>
            <w:shd w:fill="E8EEF5"/>
          </w:tcPr>
          <w:p>
            <w:pPr>
              <w:pStyle w:val="TableText"/>
              <w:keepNext/>
            </w:pPr>
            <w:r>
              <w:rPr>
                <w:b/>
                <w:color w:val="1F4D78"/>
              </w:rPr>
              <w:t>真正回答的问题及边界</w:t>
            </w:r>
          </w:p>
        </w:tc>
      </w:tr>
      <w:tr>
        <w:trPr>
          <w:cantSplit/>
        </w:trPr>
        <w:tc>
          <w:tcPr>
            <w:tcW w:type="dxa" w:w="2050"/>
            <w:vAlign w:val="center"/>
          </w:tcPr>
          <w:p>
            <w:pPr>
              <w:pStyle w:val="TableText"/>
              <w:keepNext/>
            </w:pPr>
            <w:r>
              <w:t>Cubic Toy</w:t>
            </w:r>
          </w:p>
        </w:tc>
        <w:tc>
          <w:tcPr>
            <w:tcW w:type="dxa" w:w="3500"/>
            <w:vAlign w:val="center"/>
          </w:tcPr>
          <w:p>
            <w:pPr>
              <w:pStyle w:val="TableText"/>
              <w:keepNext/>
            </w:pPr>
            <w:r>
              <w:t>一维x；y=x³+ε，ε∼N(0,3²)；训练[−4,4]，测试[−7,7]。</w:t>
            </w:r>
          </w:p>
        </w:tc>
        <w:tc>
          <w:tcPr>
            <w:tcW w:type="dxa" w:w="3810"/>
            <w:vAlign w:val="center"/>
          </w:tcPr>
          <w:p>
            <w:pPr>
              <w:pStyle w:val="TableText"/>
              <w:keepNext/>
            </w:pPr>
            <w:r>
              <w:t>训练范围外区间是否扩宽。不是多变量或时间序列证据。</w:t>
            </w:r>
          </w:p>
        </w:tc>
      </w:tr>
      <w:tr>
        <w:trPr>
          <w:cantSplit/>
        </w:trPr>
        <w:tc>
          <w:tcPr>
            <w:tcW w:type="dxa" w:w="2050"/>
            <w:vAlign w:val="center"/>
          </w:tcPr>
          <w:p>
            <w:pPr>
              <w:pStyle w:val="TableText"/>
              <w:keepNext/>
            </w:pPr>
            <w:r>
              <w:t>天气预测</w:t>
            </w:r>
          </w:p>
        </w:tc>
        <w:tc>
          <w:tcPr>
            <w:tcW w:type="dxa" w:w="3500"/>
            <w:vAlign w:val="center"/>
          </w:tcPr>
          <w:p>
            <w:pPr>
              <w:pStyle w:val="TableText"/>
              <w:keepNext/>
            </w:pPr>
            <w:r>
              <w:t>多项气象输入；下一时刻温度；Beutenberg历史→Saaleaue 2022。</w:t>
            </w:r>
          </w:p>
        </w:tc>
        <w:tc>
          <w:tcPr>
            <w:tcW w:type="dxa" w:w="3810"/>
            <w:vAlign w:val="center"/>
          </w:tcPr>
          <w:p>
            <w:pPr>
              <w:pStyle w:val="TableText"/>
              <w:keepNext/>
            </w:pPr>
            <w:r>
              <w:t>跨站点／年份的预测与校准；不是气象灾害异常标签。</w:t>
            </w:r>
          </w:p>
        </w:tc>
      </w:tr>
      <w:tr>
        <w:trPr>
          <w:cantSplit/>
        </w:trPr>
        <w:tc>
          <w:tcPr>
            <w:tcW w:type="dxa" w:w="2050"/>
            <w:vAlign w:val="center"/>
          </w:tcPr>
          <w:p>
            <w:pPr>
              <w:pStyle w:val="TableText"/>
              <w:keepNext/>
            </w:pPr>
            <w:r>
              <w:t>Wine Quality</w:t>
            </w:r>
          </w:p>
        </w:tc>
        <w:tc>
          <w:tcPr>
            <w:tcW w:type="dxa" w:w="3500"/>
            <w:vAlign w:val="center"/>
          </w:tcPr>
          <w:p>
            <w:pPr>
              <w:pStyle w:val="TableText"/>
              <w:keepNext/>
            </w:pPr>
            <w:r>
              <w:t>11项理化输入；质量评分；红葡萄酒→白葡萄酒。</w:t>
            </w:r>
          </w:p>
        </w:tc>
        <w:tc>
          <w:tcPr>
            <w:tcW w:type="dxa" w:w="3810"/>
            <w:vAlign w:val="center"/>
          </w:tcPr>
          <w:p>
            <w:pPr>
              <w:pStyle w:val="TableText"/>
              <w:keepNext/>
            </w:pPr>
            <w:r>
              <w:t>多变量表格回归的域变化；白葡萄酒不是“坏酒”。</w:t>
            </w:r>
          </w:p>
        </w:tc>
      </w:tr>
      <w:tr>
        <w:trPr>
          <w:cantSplit/>
        </w:trPr>
        <w:tc>
          <w:tcPr>
            <w:tcW w:type="dxa" w:w="2050"/>
            <w:vAlign w:val="center"/>
          </w:tcPr>
          <w:p>
            <w:pPr>
              <w:pStyle w:val="TableText"/>
            </w:pPr>
            <w:r>
              <w:t>NYU Depth V2／ApolloScape</w:t>
            </w:r>
          </w:p>
        </w:tc>
        <w:tc>
          <w:tcPr>
            <w:tcW w:type="dxa" w:w="3500"/>
            <w:vAlign w:val="center"/>
          </w:tcPr>
          <w:p>
            <w:pPr>
              <w:pStyle w:val="TableText"/>
            </w:pPr>
            <w:r>
              <w:t>RGB→逐像素深度；室内→户外，并有FGSM扰动。</w:t>
            </w:r>
          </w:p>
        </w:tc>
        <w:tc>
          <w:tcPr>
            <w:tcW w:type="dxa" w:w="3810"/>
            <w:vAlign w:val="center"/>
          </w:tcPr>
          <w:p>
            <w:pPr>
              <w:pStyle w:val="TableText"/>
            </w:pPr>
            <w:r>
              <w:t>视觉回归的分布变化与扰动；与数值传感器课题距离较远。</w:t>
            </w:r>
          </w:p>
        </w:tc>
      </w:tr>
    </w:tbl>
    <w:p>
      <w:pPr>
        <w:spacing w:after="0"/>
        <w:snapToGrid w:val="0"/>
      </w:pPr>
    </w:p>
    <w:p>
      <w:pPr>
        <w:pStyle w:val="Heading3"/>
        <w:snapToGrid w:val="0"/>
      </w:pPr>
      <w:r>
        <w:t>C．最重要的天气结果：表2</w:t>
      </w:r>
    </w:p>
    <w:p>
      <w:pPr>
        <w:snapToGrid w:val="0"/>
      </w:pPr>
      <w:r>
        <w:t>以下为10个随机种子的论文结果，均值±标准差；表内OOD指目标域，不是检测器判定。所有列按论文取越小越好，但Sharp须结合校准解读。</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260"/>
        <w:gridCol w:w="1775"/>
        <w:gridCol w:w="1775"/>
        <w:gridCol w:w="1775"/>
        <w:gridCol w:w="1775"/>
      </w:tblGrid>
      <w:tr>
        <w:trPr>
          <w:cantSplit/>
          <w:tblHeader/>
        </w:trPr>
        <w:tc>
          <w:tcPr>
            <w:tcW w:type="dxa" w:w="2260"/>
            <w:vAlign w:val="center"/>
            <w:shd w:fill="E8EEF5"/>
          </w:tcPr>
          <w:p>
            <w:pPr>
              <w:pStyle w:val="TableText"/>
              <w:keepNext/>
            </w:pPr>
            <w:r>
              <w:rPr>
                <w:b/>
                <w:color w:val="1F4D78"/>
              </w:rPr>
              <w:t>方法</w:t>
            </w:r>
          </w:p>
        </w:tc>
        <w:tc>
          <w:tcPr>
            <w:tcW w:type="dxa" w:w="1775"/>
            <w:vAlign w:val="center"/>
            <w:shd w:fill="E8EEF5"/>
          </w:tcPr>
          <w:p>
            <w:pPr>
              <w:pStyle w:val="TableText"/>
              <w:keepNext/>
            </w:pPr>
            <w:r>
              <w:rPr>
                <w:b/>
                <w:color w:val="1F4D78"/>
              </w:rPr>
              <w:t>OOD NLL</w:t>
            </w:r>
          </w:p>
        </w:tc>
        <w:tc>
          <w:tcPr>
            <w:tcW w:type="dxa" w:w="1775"/>
            <w:vAlign w:val="center"/>
            <w:shd w:fill="E8EEF5"/>
          </w:tcPr>
          <w:p>
            <w:pPr>
              <w:pStyle w:val="TableText"/>
              <w:keepNext/>
            </w:pPr>
            <w:r>
              <w:rPr>
                <w:b/>
                <w:color w:val="1F4D78"/>
              </w:rPr>
              <w:t>OOD RMSE</w:t>
            </w:r>
          </w:p>
        </w:tc>
        <w:tc>
          <w:tcPr>
            <w:tcW w:type="dxa" w:w="1775"/>
            <w:vAlign w:val="center"/>
            <w:shd w:fill="E8EEF5"/>
          </w:tcPr>
          <w:p>
            <w:pPr>
              <w:pStyle w:val="TableText"/>
              <w:keepNext/>
            </w:pPr>
            <w:r>
              <w:rPr>
                <w:b/>
                <w:color w:val="1F4D78"/>
              </w:rPr>
              <w:t>OOD Cal</w:t>
            </w:r>
          </w:p>
        </w:tc>
        <w:tc>
          <w:tcPr>
            <w:tcW w:type="dxa" w:w="1775"/>
            <w:vAlign w:val="center"/>
            <w:shd w:fill="E8EEF5"/>
          </w:tcPr>
          <w:p>
            <w:pPr>
              <w:pStyle w:val="TableText"/>
              <w:keepNext/>
            </w:pPr>
            <w:r>
              <w:rPr>
                <w:b/>
                <w:color w:val="1F4D78"/>
              </w:rPr>
              <w:t>OOD Sharp</w:t>
            </w:r>
          </w:p>
        </w:tc>
      </w:tr>
      <w:tr>
        <w:trPr>
          <w:cantSplit/>
        </w:trPr>
        <w:tc>
          <w:tcPr>
            <w:tcW w:type="dxa" w:w="2260"/>
            <w:vAlign w:val="center"/>
          </w:tcPr>
          <w:p>
            <w:pPr>
              <w:pStyle w:val="TableText"/>
              <w:keepNext/>
            </w:pPr>
            <w:r>
              <w:t>Deterministic</w:t>
            </w:r>
          </w:p>
        </w:tc>
        <w:tc>
          <w:tcPr>
            <w:tcW w:type="dxa" w:w="1775"/>
            <w:vAlign w:val="center"/>
          </w:tcPr>
          <w:p>
            <w:pPr>
              <w:pStyle w:val="TableText"/>
              <w:keepNext/>
            </w:pPr>
            <w:r>
              <w:t>−1.76±0.46</w:t>
            </w:r>
          </w:p>
        </w:tc>
        <w:tc>
          <w:tcPr>
            <w:tcW w:type="dxa" w:w="1775"/>
            <w:vAlign w:val="center"/>
          </w:tcPr>
          <w:p>
            <w:pPr>
              <w:pStyle w:val="TableText"/>
              <w:keepNext/>
            </w:pPr>
            <w:r>
              <w:t>0.15±0.01</w:t>
            </w:r>
          </w:p>
        </w:tc>
        <w:tc>
          <w:tcPr>
            <w:tcW w:type="dxa" w:w="1775"/>
            <w:vAlign w:val="center"/>
          </w:tcPr>
          <w:p>
            <w:pPr>
              <w:pStyle w:val="TableText"/>
              <w:keepNext/>
            </w:pPr>
            <w:r>
              <w:t>0.58±0.35</w:t>
            </w:r>
          </w:p>
        </w:tc>
        <w:tc>
          <w:tcPr>
            <w:tcW w:type="dxa" w:w="1775"/>
            <w:vAlign w:val="center"/>
          </w:tcPr>
          <w:p>
            <w:pPr>
              <w:pStyle w:val="TableText"/>
              <w:keepNext/>
            </w:pPr>
            <w:r>
              <w:t>0.09±0.01</w:t>
            </w:r>
          </w:p>
        </w:tc>
      </w:tr>
      <w:tr>
        <w:trPr>
          <w:cantSplit/>
        </w:trPr>
        <w:tc>
          <w:tcPr>
            <w:tcW w:type="dxa" w:w="2260"/>
            <w:vAlign w:val="center"/>
          </w:tcPr>
          <w:p>
            <w:pPr>
              <w:pStyle w:val="TableText"/>
              <w:keepNext/>
            </w:pPr>
            <w:r>
              <w:t>MC Dropout</w:t>
            </w:r>
          </w:p>
        </w:tc>
        <w:tc>
          <w:tcPr>
            <w:tcW w:type="dxa" w:w="1775"/>
            <w:vAlign w:val="center"/>
          </w:tcPr>
          <w:p>
            <w:pPr>
              <w:pStyle w:val="TableText"/>
              <w:keepNext/>
            </w:pPr>
            <w:r>
              <w:t>−2.52±0.06</w:t>
            </w:r>
          </w:p>
        </w:tc>
        <w:tc>
          <w:tcPr>
            <w:tcW w:type="dxa" w:w="1775"/>
            <w:vAlign w:val="center"/>
          </w:tcPr>
          <w:p>
            <w:pPr>
              <w:pStyle w:val="TableText"/>
              <w:keepNext/>
            </w:pPr>
            <w:r>
              <w:t>0.16±0.00</w:t>
            </w:r>
          </w:p>
        </w:tc>
        <w:tc>
          <w:tcPr>
            <w:tcW w:type="dxa" w:w="1775"/>
            <w:vAlign w:val="center"/>
          </w:tcPr>
          <w:p>
            <w:pPr>
              <w:pStyle w:val="TableText"/>
              <w:keepNext/>
            </w:pPr>
            <w:r>
              <w:t>0.32±0.24</w:t>
            </w:r>
          </w:p>
        </w:tc>
        <w:tc>
          <w:tcPr>
            <w:tcW w:type="dxa" w:w="1775"/>
            <w:vAlign w:val="center"/>
          </w:tcPr>
          <w:p>
            <w:pPr>
              <w:pStyle w:val="TableText"/>
              <w:keepNext/>
            </w:pPr>
            <w:r>
              <w:t>0.16±0.01</w:t>
            </w:r>
          </w:p>
        </w:tc>
      </w:tr>
      <w:tr>
        <w:trPr>
          <w:cantSplit/>
        </w:trPr>
        <w:tc>
          <w:tcPr>
            <w:tcW w:type="dxa" w:w="2260"/>
            <w:vAlign w:val="center"/>
          </w:tcPr>
          <w:p>
            <w:pPr>
              <w:pStyle w:val="TableText"/>
              <w:keepNext/>
            </w:pPr>
            <w:r>
              <w:t>EDL</w:t>
            </w:r>
          </w:p>
        </w:tc>
        <w:tc>
          <w:tcPr>
            <w:tcW w:type="dxa" w:w="1775"/>
            <w:vAlign w:val="center"/>
          </w:tcPr>
          <w:p>
            <w:pPr>
              <w:pStyle w:val="TableText"/>
              <w:keepNext/>
            </w:pPr>
            <w:r>
              <w:t>−2.19±0.22</w:t>
            </w:r>
          </w:p>
        </w:tc>
        <w:tc>
          <w:tcPr>
            <w:tcW w:type="dxa" w:w="1775"/>
            <w:vAlign w:val="center"/>
          </w:tcPr>
          <w:p>
            <w:pPr>
              <w:pStyle w:val="TableText"/>
              <w:keepNext/>
            </w:pPr>
            <w:r>
              <w:t>0.14±0.00</w:t>
            </w:r>
          </w:p>
        </w:tc>
        <w:tc>
          <w:tcPr>
            <w:tcW w:type="dxa" w:w="1775"/>
            <w:vAlign w:val="center"/>
          </w:tcPr>
          <w:p>
            <w:pPr>
              <w:pStyle w:val="TableText"/>
              <w:keepNext/>
            </w:pPr>
            <w:r>
              <w:t>0.68±0.37</w:t>
            </w:r>
          </w:p>
        </w:tc>
        <w:tc>
          <w:tcPr>
            <w:tcW w:type="dxa" w:w="1775"/>
            <w:vAlign w:val="center"/>
          </w:tcPr>
          <w:p>
            <w:pPr>
              <w:pStyle w:val="TableText"/>
              <w:keepNext/>
            </w:pPr>
            <w:r>
              <w:t>0.09±0.01</w:t>
            </w:r>
          </w:p>
        </w:tc>
      </w:tr>
      <w:tr>
        <w:trPr>
          <w:cantSplit/>
        </w:trPr>
        <w:tc>
          <w:tcPr>
            <w:tcW w:type="dxa" w:w="2260"/>
            <w:vAlign w:val="center"/>
          </w:tcPr>
          <w:p>
            <w:pPr>
              <w:pStyle w:val="TableText"/>
              <w:keepNext/>
            </w:pPr>
            <w:r>
              <w:t>Deep Ensembles</w:t>
            </w:r>
          </w:p>
        </w:tc>
        <w:tc>
          <w:tcPr>
            <w:tcW w:type="dxa" w:w="1775"/>
            <w:vAlign w:val="center"/>
          </w:tcPr>
          <w:p>
            <w:pPr>
              <w:pStyle w:val="TableText"/>
              <w:keepNext/>
            </w:pPr>
            <w:r>
              <w:t>−2.44±0.15</w:t>
            </w:r>
          </w:p>
        </w:tc>
        <w:tc>
          <w:tcPr>
            <w:tcW w:type="dxa" w:w="1775"/>
            <w:vAlign w:val="center"/>
          </w:tcPr>
          <w:p>
            <w:pPr>
              <w:pStyle w:val="TableText"/>
              <w:keepNext/>
            </w:pPr>
            <w:r>
              <w:t>0.14±0.00</w:t>
            </w:r>
          </w:p>
        </w:tc>
        <w:tc>
          <w:tcPr>
            <w:tcW w:type="dxa" w:w="1775"/>
            <w:vAlign w:val="center"/>
          </w:tcPr>
          <w:p>
            <w:pPr>
              <w:pStyle w:val="TableText"/>
              <w:keepNext/>
            </w:pPr>
            <w:r>
              <w:t>0.25±0.13</w:t>
            </w:r>
          </w:p>
        </w:tc>
        <w:tc>
          <w:tcPr>
            <w:tcW w:type="dxa" w:w="1775"/>
            <w:vAlign w:val="center"/>
          </w:tcPr>
          <w:p>
            <w:pPr>
              <w:pStyle w:val="TableText"/>
              <w:keepNext/>
            </w:pPr>
            <w:r>
              <w:t>0.10±0.01</w:t>
            </w:r>
          </w:p>
        </w:tc>
      </w:tr>
      <w:tr>
        <w:trPr>
          <w:cantSplit/>
        </w:trPr>
        <w:tc>
          <w:tcPr>
            <w:tcW w:type="dxa" w:w="2260"/>
            <w:vAlign w:val="center"/>
          </w:tcPr>
          <w:p>
            <w:pPr>
              <w:pStyle w:val="TableText"/>
            </w:pPr>
            <w:r>
              <w:t>Density-Regression</w:t>
            </w:r>
          </w:p>
        </w:tc>
        <w:tc>
          <w:tcPr>
            <w:tcW w:type="dxa" w:w="1775"/>
            <w:vAlign w:val="center"/>
          </w:tcPr>
          <w:p>
            <w:pPr>
              <w:pStyle w:val="TableText"/>
            </w:pPr>
            <w:r>
              <w:t>−2.16±0.16</w:t>
            </w:r>
          </w:p>
        </w:tc>
        <w:tc>
          <w:tcPr>
            <w:tcW w:type="dxa" w:w="1775"/>
            <w:vAlign w:val="center"/>
          </w:tcPr>
          <w:p>
            <w:pPr>
              <w:pStyle w:val="TableText"/>
            </w:pPr>
            <w:r>
              <w:t>0.14±0.00</w:t>
            </w:r>
          </w:p>
        </w:tc>
        <w:tc>
          <w:tcPr>
            <w:tcW w:type="dxa" w:w="1775"/>
            <w:vAlign w:val="center"/>
          </w:tcPr>
          <w:p>
            <w:pPr>
              <w:pStyle w:val="TableText"/>
            </w:pPr>
            <w:r>
              <w:t>0.23±0.10</w:t>
            </w:r>
          </w:p>
        </w:tc>
        <w:tc>
          <w:tcPr>
            <w:tcW w:type="dxa" w:w="1775"/>
            <w:vAlign w:val="center"/>
          </w:tcPr>
          <w:p>
            <w:pPr>
              <w:pStyle w:val="TableText"/>
            </w:pPr>
            <w:r>
              <w:t>0.09±0.00</w:t>
            </w:r>
          </w:p>
        </w:tc>
      </w:tr>
    </w:tbl>
    <w:p>
      <w:pPr>
        <w:spacing w:after="0"/>
        <w:snapToGrid w:val="0"/>
      </w:pPr>
    </w:p>
    <w:p>
      <w:pPr>
        <w:snapToGrid w:val="0"/>
      </w:pPr>
      <w:r>
        <w:t>【论文：Table 2，PDF p.7】最有依据的说法是“本方法天气OOD的Cal均值较低，RMSE接近集成模型；NLL上MC Dropout和Ensembles更好”。−2.52小于−2.16，不能因为是负数而反过来排序。Cal从0.25到0.23的差异也不应渲染成显著的大幅领先。</w:t>
      </w:r>
    </w:p>
    <w:p>
      <w:pPr>
        <w:snapToGrid w:val="0"/>
      </w:pPr>
      <w:r>
        <w:t>本方法IID的NLL=−3.99±0.08、RMSE=0.08±0.01、Cal=0.38±0.14、Sharp=0.09±0.00。OOD RMSE比IID更大，说明模型没有消除移位造成的误差。IID与OOD的Sharp均值四舍五入后同为0.09，因此不能声称所有OOD都获得更宽区间。</w:t>
      </w:r>
    </w:p>
    <w:p>
      <w:pPr>
        <w:snapToGrid w:val="0"/>
      </w:pPr>
      <w:r>
        <w:t>【代码：C4】天气评估脚本计算的“NLL”为平均[2logσ+((y−μ)/σ)²]，与标准高斯NLL相差比例和常数；同设置下排序不变，但跨代码／论文比较绝对值须统一定义。温度经过标准化，不能把0.14直接读成0.14℃。</w:t>
      </w:r>
    </w:p>
    <w:p>
      <w:pPr>
        <w:pStyle w:val="Heading3"/>
        <w:snapToGrid w:val="0"/>
      </w:pPr>
      <w:r>
        <w:t>D．Wine、UCI和视觉结果怎样解释？</w:t>
      </w:r>
    </w:p>
    <w:p>
      <w:pPr>
        <w:snapToGrid w:val="0"/>
      </w:pPr>
      <w:r>
        <w:t>Wine表3中，本方法OOD NLL=1.21±0.02、RMSE=0.81±0.03、Cal=0.43±0.20、Sharp=1.07±0.01；集成模型相应均值为1.21、0.80、0.44、1.09。整体更接近“竞争力相当”，不是全面胜出。【论文：PDF p.7】</w:t>
      </w:r>
    </w:p>
    <w:p>
      <w:pPr>
        <w:snapToGrid w:val="0"/>
      </w:pPr>
      <w:r>
        <w:t>附录C.3的9个额外UCI表格提供一般回归性能证据，但没有逐一明确构造OOD场景。因此不能因为数据集数量多，就说方法已经在9种学习外异常上验证成功。部分表中本方法Cal较好，但NLL、RMSE仍有其他方法更优。</w:t>
      </w:r>
    </w:p>
    <w:p>
      <w:pPr>
        <w:snapToGrid w:val="0"/>
      </w:pPr>
      <w:r>
        <w:t>视觉表4中，本方法OOD Cal=20.7369，集成模型22.6413；本方法OOD RMSE=0.3596，集成模型0.3440。说明校准改善与点预测精度不必同步。户外移位下仍有较大校准误差，不能把“相对更好”理解为“足够安全”。【论文：PDF p.7】</w:t>
      </w:r>
    </w:p>
    <w:p>
      <w:pPr>
        <w:pStyle w:val="Heading3"/>
        <w:snapToGrid w:val="0"/>
      </w:pPr>
      <w:r>
        <w:t>E．效率结果的正确读法</w:t>
      </w:r>
    </w:p>
    <w:p>
      <w:pPr>
        <w:snapToGrid w:val="0"/>
      </w:pPr>
      <w:r>
        <w:t>作者在深度估计设置、不同GPU上比较模型规模与延迟，并概述相对Ensembles约4倍的模型规模优势及约5倍的推理速度优势。其适用对象是该实验配置，不是所有CPU／传感器场景的固定倍率。【论文：§4.5、Fig.5，PDF pp.8–9】</w:t>
      </w:r>
    </w:p>
    <w:p>
      <w:pPr>
        <w:snapToGrid w:val="0"/>
      </w:pPr>
      <w:r>
        <w:t>【分析】单样本代价可记为C_f+C_density+C_g；M成员集成为约M(C_f+C_g)，具体仍取决于并行、批量和硬件。论文O(1)指相对采样／成员数量，不表示与维度、网络大小、数据量无关。三阶段训练还增加离线开发成本。</w:t>
      </w:r>
    </w:p>
    <w:p>
      <w:pPr>
        <w:pStyle w:val="Heading3"/>
        <w:snapToGrid w:val="0"/>
      </w:pPr>
      <w:r>
        <w:t>F．本节真正重要的结论</w:t>
      </w:r>
    </w:p>
    <w:p>
      <w:pPr>
        <w:pStyle w:val="ReportBullet"/>
        <w:keepNext/>
        <w:numPr>
          <w:ilvl w:val="0"/>
          <w:numId w:val="51"/>
        </w:numPr>
        <w:snapToGrid w:val="0"/>
      </w:pPr>
      <w:r>
        <w:t>最贴近实习的是天气实验，其次是Wine数值表格实验。</w:t>
      </w:r>
    </w:p>
    <w:p>
      <w:pPr>
        <w:pStyle w:val="ReportBullet"/>
        <w:keepNext/>
        <w:numPr>
          <w:ilvl w:val="0"/>
          <w:numId w:val="51"/>
        </w:numPr>
        <w:snapToGrid w:val="0"/>
      </w:pPr>
      <w:r>
        <w:t>作者评价的是预测分布质量，没有报告二元检测的TPR/FPR/AUROC。</w:t>
      </w:r>
    </w:p>
    <w:p>
      <w:pPr>
        <w:pStyle w:val="ReportBullet"/>
        <w:keepNext/>
        <w:numPr>
          <w:ilvl w:val="0"/>
          <w:numId w:val="51"/>
        </w:numPr>
        <w:snapToGrid w:val="0"/>
      </w:pPr>
      <w:r>
        <w:t>指标存在取舍，不可只抄最好的Cal一列。</w:t>
      </w:r>
    </w:p>
    <w:p>
      <w:pPr>
        <w:pStyle w:val="ReportBullet"/>
        <w:numPr>
          <w:ilvl w:val="0"/>
          <w:numId w:val="51"/>
        </w:numPr>
        <w:snapToGrid w:val="0"/>
      </w:pPr>
      <w:r>
        <w:t>图上的区间覆盖是一段示例，不构成运行中始终覆盖真实值的保证。</w:t>
      </w:r>
    </w:p>
    <w:p>
      <w:pPr>
        <w:pStyle w:val="Heading2"/>
        <w:snapToGrid w:val="0"/>
      </w:pPr>
      <w:r>
        <w:t>8　数据精读：天气输入究竟是什么样？</w:t>
      </w:r>
    </w:p>
    <w:p>
      <w:pPr>
        <w:pStyle w:val="Heading3"/>
        <w:snapToGrid w:val="0"/>
      </w:pPr>
      <w:r>
        <w:t>A．论文描述与代码可确认的事实</w:t>
      </w:r>
    </w:p>
    <w:p>
      <w:pPr>
        <w:snapToGrid w:val="0"/>
      </w:pPr>
      <w:r>
        <w:t>【论文】气象记录为10分钟粒度，涉及14个气象特征的描述。【代码：C1、C2】随附CSV实际为时间戳＋13个数值字段，没有max. wv字段。将风速／风向替换为Wx、Wy，再增加日周期和年周期各一对sin/cos，得到17维模型输入。这说明“原始字段数量”和“实际输入维度”必须分开。</w:t>
      </w:r>
    </w:p>
    <w:p>
      <w:pPr>
        <w:snapToGrid w:val="0"/>
      </w:pPr>
      <w:r>
        <w:t>17维字段：气压p、温度T、位温Tpot、露点Tdew、相对湿度rh、饱和水汽压VPmax、实际水汽压VPact、水汽压亏缺VPdef、比湿sh、水汽摩尔浓度H2OC、空气密度rho、风分量Wx/Wy、Day sin/cos、Year sin/cos。目标为下一条记录的T。时间戳用于周期特征而非直接作为字符串输入。</w:t>
      </w:r>
    </w:p>
    <w:p>
      <w:pPr>
        <w:pStyle w:val="Heading3"/>
        <w:snapToGrid w:val="0"/>
      </w:pPr>
      <w:r>
        <w:t>B．数据量、时间范围与划分</w:t>
      </w:r>
    </w:p>
    <w:p>
      <w:pPr>
        <w:snapToGrid w:val="0"/>
      </w:pPr>
      <w:r>
        <w:t>以下为随附CSV和dataset.py索引的直接统计，不能自动视为正式表2生成时的精确版本。【代码：C1；核对日期2026-09-08】</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1550"/>
        <w:gridCol w:w="2500"/>
        <w:gridCol w:w="2600"/>
        <w:gridCol w:w="2710"/>
      </w:tblGrid>
      <w:tr>
        <w:trPr>
          <w:cantSplit/>
          <w:tblHeader/>
        </w:trPr>
        <w:tc>
          <w:tcPr>
            <w:tcW w:type="dxa" w:w="1550"/>
            <w:vAlign w:val="center"/>
            <w:shd w:fill="E8EEF5"/>
          </w:tcPr>
          <w:p>
            <w:pPr>
              <w:pStyle w:val="TableText"/>
              <w:keepNext/>
            </w:pPr>
            <w:r>
              <w:rPr>
                <w:b/>
                <w:color w:val="1F4D78"/>
              </w:rPr>
              <w:t>集合</w:t>
            </w:r>
          </w:p>
        </w:tc>
        <w:tc>
          <w:tcPr>
            <w:tcW w:type="dxa" w:w="2500"/>
            <w:vAlign w:val="center"/>
            <w:shd w:fill="E8EEF5"/>
          </w:tcPr>
          <w:p>
            <w:pPr>
              <w:pStyle w:val="TableText"/>
              <w:keepNext/>
            </w:pPr>
            <w:r>
              <w:rPr>
                <w:b/>
                <w:color w:val="1F4D78"/>
              </w:rPr>
              <w:t>原始／抽样后记录数</w:t>
            </w:r>
          </w:p>
        </w:tc>
        <w:tc>
          <w:tcPr>
            <w:tcW w:type="dxa" w:w="2600"/>
            <w:vAlign w:val="center"/>
            <w:shd w:fill="E8EEF5"/>
          </w:tcPr>
          <w:p>
            <w:pPr>
              <w:pStyle w:val="TableText"/>
              <w:keepNext/>
            </w:pPr>
            <w:r>
              <w:rPr>
                <w:b/>
                <w:color w:val="1F4D78"/>
              </w:rPr>
              <w:t>代码中的时间范围</w:t>
            </w:r>
          </w:p>
        </w:tc>
        <w:tc>
          <w:tcPr>
            <w:tcW w:type="dxa" w:w="2710"/>
            <w:vAlign w:val="center"/>
            <w:shd w:fill="E8EEF5"/>
          </w:tcPr>
          <w:p>
            <w:pPr>
              <w:pStyle w:val="TableText"/>
              <w:keepNext/>
            </w:pPr>
            <w:r>
              <w:rPr>
                <w:b/>
                <w:color w:val="1F4D78"/>
              </w:rPr>
              <w:t>窗口数量</w:t>
            </w:r>
          </w:p>
        </w:tc>
      </w:tr>
      <w:tr>
        <w:trPr>
          <w:cantSplit/>
        </w:trPr>
        <w:tc>
          <w:tcPr>
            <w:tcW w:type="dxa" w:w="1550"/>
            <w:vAlign w:val="center"/>
          </w:tcPr>
          <w:p>
            <w:pPr>
              <w:pStyle w:val="TableText"/>
              <w:keepNext/>
            </w:pPr>
            <w:r>
              <w:t>源CSV</w:t>
            </w:r>
          </w:p>
        </w:tc>
        <w:tc>
          <w:tcPr>
            <w:tcW w:type="dxa" w:w="2500"/>
            <w:vAlign w:val="center"/>
          </w:tcPr>
          <w:p>
            <w:pPr>
              <w:pStyle w:val="TableText"/>
              <w:keepNext/>
            </w:pPr>
            <w:r>
              <w:t>420,551条原始记录</w:t>
            </w:r>
          </w:p>
        </w:tc>
        <w:tc>
          <w:tcPr>
            <w:tcW w:type="dxa" w:w="2600"/>
            <w:vAlign w:val="center"/>
          </w:tcPr>
          <w:p>
            <w:pPr>
              <w:pStyle w:val="TableText"/>
              <w:keepNext/>
            </w:pPr>
            <w:r>
              <w:t>2009-01-01 00:10～2017-01-01 00:00</w:t>
            </w:r>
          </w:p>
        </w:tc>
        <w:tc>
          <w:tcPr>
            <w:tcW w:type="dxa" w:w="2710"/>
            <w:vAlign w:val="center"/>
          </w:tcPr>
          <w:p>
            <w:pPr>
              <w:pStyle w:val="TableText"/>
              <w:keepNext/>
            </w:pPr>
            <w:r>
              <w:t>抽样后源域70,091条。</w:t>
            </w:r>
          </w:p>
        </w:tc>
      </w:tr>
      <w:tr>
        <w:trPr>
          <w:cantSplit/>
        </w:trPr>
        <w:tc>
          <w:tcPr>
            <w:tcW w:type="dxa" w:w="1550"/>
            <w:vAlign w:val="center"/>
          </w:tcPr>
          <w:p>
            <w:pPr>
              <w:pStyle w:val="TableText"/>
              <w:keepNext/>
            </w:pPr>
            <w:r>
              <w:t>训练</w:t>
            </w:r>
          </w:p>
        </w:tc>
        <w:tc>
          <w:tcPr>
            <w:tcW w:type="dxa" w:w="2500"/>
            <w:vAlign w:val="center"/>
          </w:tcPr>
          <w:p>
            <w:pPr>
              <w:pStyle w:val="TableText"/>
              <w:keepNext/>
            </w:pPr>
            <w:r>
              <w:t>49,063条</w:t>
            </w:r>
          </w:p>
        </w:tc>
        <w:tc>
          <w:tcPr>
            <w:tcW w:type="dxa" w:w="2600"/>
            <w:vAlign w:val="center"/>
          </w:tcPr>
          <w:p>
            <w:pPr>
              <w:pStyle w:val="TableText"/>
              <w:keepNext/>
            </w:pPr>
            <w:r>
              <w:t>2009-01-01 01:00～2014-08-05 01:10</w:t>
            </w:r>
          </w:p>
        </w:tc>
        <w:tc>
          <w:tcPr>
            <w:tcW w:type="dxa" w:w="2710"/>
            <w:vAlign w:val="center"/>
          </w:tcPr>
          <w:p>
            <w:pPr>
              <w:pStyle w:val="TableText"/>
              <w:keepNext/>
            </w:pPr>
            <w:r>
              <w:t>单步输入49,062个样本。</w:t>
            </w:r>
          </w:p>
        </w:tc>
      </w:tr>
      <w:tr>
        <w:trPr>
          <w:cantSplit/>
        </w:trPr>
        <w:tc>
          <w:tcPr>
            <w:tcW w:type="dxa" w:w="1550"/>
            <w:vAlign w:val="center"/>
          </w:tcPr>
          <w:p>
            <w:pPr>
              <w:pStyle w:val="TableText"/>
              <w:keepNext/>
            </w:pPr>
            <w:r>
              <w:t>验证</w:t>
            </w:r>
          </w:p>
        </w:tc>
        <w:tc>
          <w:tcPr>
            <w:tcW w:type="dxa" w:w="2500"/>
            <w:vAlign w:val="center"/>
          </w:tcPr>
          <w:p>
            <w:pPr>
              <w:pStyle w:val="TableText"/>
              <w:keepNext/>
            </w:pPr>
            <w:r>
              <w:t>14,018条</w:t>
            </w:r>
          </w:p>
        </w:tc>
        <w:tc>
          <w:tcPr>
            <w:tcW w:type="dxa" w:w="2600"/>
            <w:vAlign w:val="center"/>
          </w:tcPr>
          <w:p>
            <w:pPr>
              <w:pStyle w:val="TableText"/>
              <w:keepNext/>
            </w:pPr>
            <w:r>
              <w:t>2014-08-05 02:10～2016-03-11 19:00</w:t>
            </w:r>
          </w:p>
        </w:tc>
        <w:tc>
          <w:tcPr>
            <w:tcW w:type="dxa" w:w="2710"/>
            <w:vAlign w:val="center"/>
          </w:tcPr>
          <w:p>
            <w:pPr>
              <w:pStyle w:val="TableText"/>
              <w:keepNext/>
            </w:pPr>
            <w:r>
              <w:t>单步输入14,017个样本。</w:t>
            </w:r>
          </w:p>
        </w:tc>
      </w:tr>
      <w:tr>
        <w:trPr>
          <w:cantSplit/>
        </w:trPr>
        <w:tc>
          <w:tcPr>
            <w:tcW w:type="dxa" w:w="1550"/>
            <w:vAlign w:val="center"/>
          </w:tcPr>
          <w:p>
            <w:pPr>
              <w:pStyle w:val="TableText"/>
              <w:keepNext/>
            </w:pPr>
            <w:r>
              <w:t>IID测试</w:t>
            </w:r>
          </w:p>
        </w:tc>
        <w:tc>
          <w:tcPr>
            <w:tcW w:type="dxa" w:w="2500"/>
            <w:vAlign w:val="center"/>
          </w:tcPr>
          <w:p>
            <w:pPr>
              <w:pStyle w:val="TableText"/>
              <w:keepNext/>
            </w:pPr>
            <w:r>
              <w:t>7,010条</w:t>
            </w:r>
          </w:p>
        </w:tc>
        <w:tc>
          <w:tcPr>
            <w:tcW w:type="dxa" w:w="2600"/>
            <w:vAlign w:val="center"/>
          </w:tcPr>
          <w:p>
            <w:pPr>
              <w:pStyle w:val="TableText"/>
              <w:keepNext/>
            </w:pPr>
            <w:r>
              <w:t>2016-03-11 20:00～2016-12-31 23:10</w:t>
            </w:r>
          </w:p>
        </w:tc>
        <w:tc>
          <w:tcPr>
            <w:tcW w:type="dxa" w:w="2710"/>
            <w:vAlign w:val="center"/>
          </w:tcPr>
          <w:p>
            <w:pPr>
              <w:pStyle w:val="TableText"/>
              <w:keepNext/>
            </w:pPr>
            <w:r>
              <w:t>宽窗口6,986个。</w:t>
            </w:r>
          </w:p>
        </w:tc>
      </w:tr>
      <w:tr>
        <w:trPr>
          <w:cantSplit/>
        </w:trPr>
        <w:tc>
          <w:tcPr>
            <w:tcW w:type="dxa" w:w="1550"/>
            <w:vAlign w:val="center"/>
          </w:tcPr>
          <w:p>
            <w:pPr>
              <w:pStyle w:val="TableText"/>
            </w:pPr>
            <w:r>
              <w:t>OOD CSV／测试</w:t>
            </w:r>
          </w:p>
        </w:tc>
        <w:tc>
          <w:tcPr>
            <w:tcW w:type="dxa" w:w="2500"/>
            <w:vAlign w:val="center"/>
          </w:tcPr>
          <w:p>
            <w:pPr>
              <w:pStyle w:val="TableText"/>
            </w:pPr>
            <w:r>
              <w:t>原始26,497条；抽样后4,417条</w:t>
            </w:r>
          </w:p>
        </w:tc>
        <w:tc>
          <w:tcPr>
            <w:tcW w:type="dxa" w:w="2600"/>
            <w:vAlign w:val="center"/>
          </w:tcPr>
          <w:p>
            <w:pPr>
              <w:pStyle w:val="TableText"/>
            </w:pPr>
            <w:r>
              <w:t>2022-07-01 00:10～2023-01-01 00:00</w:t>
            </w:r>
          </w:p>
        </w:tc>
        <w:tc>
          <w:tcPr>
            <w:tcW w:type="dxa" w:w="2710"/>
            <w:vAlign w:val="center"/>
          </w:tcPr>
          <w:p>
            <w:pPr>
              <w:pStyle w:val="TableText"/>
            </w:pPr>
            <w:r>
              <w:t>宽窗口4,393个。</w:t>
            </w:r>
          </w:p>
        </w:tc>
      </w:tr>
    </w:tbl>
    <w:p>
      <w:pPr>
        <w:spacing w:after="0"/>
        <w:snapToGrid w:val="0"/>
      </w:pPr>
    </w:p>
    <w:p>
      <w:pPr>
        <w:snapToGrid w:val="0"/>
      </w:pPr>
      <w:r>
        <w:t>源域按时间索引约70%／20%／10%划分。OOD单独评估，没有在训练集混入OOD；未给出用于报警评估的固定ID/OOD混合比例。若人为合并两个测试集合，比例将取决于按记录、窗口还是重复预测计数，不能当成论文的异常发生率。</w:t>
      </w:r>
    </w:p>
    <w:p>
      <w:pPr>
        <w:pStyle w:val="Heading3"/>
        <w:snapToGrid w:val="0"/>
      </w:pPr>
      <w:r>
        <w:t>C．一次输入一个时刻，还是一整段？</w:t>
      </w:r>
    </w:p>
    <w:p>
      <w:pPr>
        <w:snapToGrid w:val="0"/>
      </w:pPr>
      <w:r>
        <w:t>代码训练设置input_width=1、label_width=1、shift=1，即x_t∈R¹⁷预测T_(t+1)。测试设置input_width=24、label_width=24、shift=1：输入索引0…23对应标签索引1…24。网络只是Dense(64)→Dense(64)，作用于张量最后一维；每个时刻独立经过同一网络，没有跨时刻的卷积、循环或注意力。因此该测试不是“读完过去24小时，再一次预测未来24小时”。【代码：C2、C3】</w:t>
      </w:r>
    </w:p>
    <w:p>
      <w:pPr>
        <w:snapToGrid w:val="0"/>
      </w:pPr>
      <w:r>
        <w:t>宽窗口之间步长1，彼此重叠。eval.py将所有输出展平，许多时刻会重复计入。独立样本数不能写成6,986×24或4,393×24；评估时应考虑重叠导致的权重与相关性。</w:t>
      </w:r>
    </w:p>
    <w:p>
      <w:pPr>
        <w:pStyle w:val="Heading3"/>
        <w:snapToGrid w:val="0"/>
      </w:pPr>
      <w:r>
        <w:t>D．“每小时”还应核对什么？</w:t>
      </w:r>
    </w:p>
    <w:p>
      <w:pPr>
        <w:snapToGrid w:val="0"/>
      </w:pPr>
      <w:r>
        <w:t>代码用df[5::6]每六行取一行，未按时间戳严格重采样。本次统计发现多数间隔为1小时，但也有非1小时间隔及时间倒退记录。因此x_t→下一条记录并非处处严格等于预测1小时后。源域与OOD先拼接再抽样，也改变了目标域抽样相位。正式复现前应处理重复／乱序／缺测，并明确是否保留论文实现行为。【代码统计；未运行训练】</w:t>
      </w:r>
    </w:p>
    <w:p>
      <w:pPr>
        <w:pStyle w:val="Heading3"/>
        <w:snapToGrid w:val="0"/>
      </w:pPr>
      <w:r>
        <w:t>E．本节真正重要的结论</w:t>
      </w:r>
    </w:p>
    <w:p>
      <w:pPr>
        <w:pStyle w:val="ReportBullet"/>
        <w:keepNext/>
        <w:numPr>
          <w:ilvl w:val="0"/>
          <w:numId w:val="51"/>
        </w:numPr>
        <w:snapToGrid w:val="0"/>
      </w:pPr>
      <w:r>
        <w:t>这篇确实涉及多变量时间序列数据，但公开网络不显式学习多时刻关系。</w:t>
      </w:r>
    </w:p>
    <w:p>
      <w:pPr>
        <w:pStyle w:val="ReportBullet"/>
        <w:keepNext/>
        <w:numPr>
          <w:ilvl w:val="0"/>
          <w:numId w:val="51"/>
        </w:numPr>
        <w:snapToGrid w:val="0"/>
      </w:pPr>
      <w:r>
        <w:t>OOD代码数据实际是2022年下半年，不宜笼统写成完整全年。</w:t>
      </w:r>
    </w:p>
    <w:p>
      <w:pPr>
        <w:pStyle w:val="ReportBullet"/>
        <w:numPr>
          <w:ilvl w:val="0"/>
          <w:numId w:val="51"/>
        </w:numPr>
        <w:snapToGrid w:val="0"/>
      </w:pPr>
      <w:r>
        <w:t>标签表示源域／目标域来源，不表示气象异常或设备故障。</w:t>
      </w:r>
    </w:p>
    <w:p>
      <w:pPr>
        <w:pStyle w:val="Heading2"/>
        <w:snapToGrid w:val="0"/>
      </w:pPr>
      <w:r>
        <w:t>9　公开代码与论文的一致性检查</w:t>
      </w:r>
    </w:p>
    <w:p>
      <w:pPr>
        <w:snapToGrid w:val="0"/>
      </w:pPr>
      <w:r>
        <w:t>核对版本：ab79bf7802f41978bcbe9ce1a5708e01b9e5e193。下列发现只基于静态阅读，尚未确定哪一脚本／提交实际产生论文表2。</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1550"/>
        <w:gridCol w:w="2500"/>
        <w:gridCol w:w="2600"/>
        <w:gridCol w:w="2710"/>
      </w:tblGrid>
      <w:tr>
        <w:trPr>
          <w:cantSplit/>
          <w:tblHeader/>
        </w:trPr>
        <w:tc>
          <w:tcPr>
            <w:tcW w:type="dxa" w:w="1550"/>
            <w:vAlign w:val="center"/>
            <w:shd w:fill="E8EEF5"/>
          </w:tcPr>
          <w:p>
            <w:pPr>
              <w:pStyle w:val="TableText"/>
            </w:pPr>
            <w:r>
              <w:rPr>
                <w:b/>
                <w:color w:val="1F4D78"/>
              </w:rPr>
              <w:t>检查项</w:t>
            </w:r>
          </w:p>
        </w:tc>
        <w:tc>
          <w:tcPr>
            <w:tcW w:type="dxa" w:w="2500"/>
            <w:vAlign w:val="center"/>
            <w:shd w:fill="E8EEF5"/>
          </w:tcPr>
          <w:p>
            <w:pPr>
              <w:pStyle w:val="TableText"/>
            </w:pPr>
            <w:r>
              <w:rPr>
                <w:b/>
                <w:color w:val="1F4D78"/>
              </w:rPr>
              <w:t>正文或附录</w:t>
            </w:r>
          </w:p>
        </w:tc>
        <w:tc>
          <w:tcPr>
            <w:tcW w:type="dxa" w:w="2600"/>
            <w:vAlign w:val="center"/>
            <w:shd w:fill="E8EEF5"/>
          </w:tcPr>
          <w:p>
            <w:pPr>
              <w:pStyle w:val="TableText"/>
            </w:pPr>
            <w:r>
              <w:rPr>
                <w:b/>
                <w:color w:val="1F4D78"/>
              </w:rPr>
              <w:t>当前公开天气代码</w:t>
            </w:r>
          </w:p>
        </w:tc>
        <w:tc>
          <w:tcPr>
            <w:tcW w:type="dxa" w:w="2710"/>
            <w:vAlign w:val="center"/>
            <w:shd w:fill="E8EEF5"/>
          </w:tcPr>
          <w:p>
            <w:pPr>
              <w:pStyle w:val="TableText"/>
            </w:pPr>
            <w:r>
              <w:rPr>
                <w:b/>
                <w:color w:val="1F4D78"/>
              </w:rPr>
              <w:t>对研究的影响</w:t>
            </w:r>
          </w:p>
        </w:tc>
      </w:tr>
      <w:tr>
        <w:trPr>
          <w:cantSplit/>
        </w:trPr>
        <w:tc>
          <w:tcPr>
            <w:tcW w:type="dxa" w:w="1550"/>
            <w:vAlign w:val="center"/>
          </w:tcPr>
          <w:p>
            <w:pPr>
              <w:pStyle w:val="TableText"/>
            </w:pPr>
            <w:r>
              <w:t>密度位置</w:t>
            </w:r>
          </w:p>
        </w:tc>
        <w:tc>
          <w:tcPr>
            <w:tcW w:type="dxa" w:w="2500"/>
            <w:vAlign w:val="center"/>
          </w:tcPr>
          <w:p>
            <w:pPr>
              <w:pStyle w:val="TableText"/>
            </w:pPr>
            <w:r>
              <w:t>正文在预训练特征z=f(x)上建模。</w:t>
            </w:r>
          </w:p>
        </w:tc>
        <w:tc>
          <w:tcPr>
            <w:tcW w:type="dxa" w:w="2600"/>
            <w:vAlign w:val="center"/>
          </w:tcPr>
          <w:p>
            <w:pPr>
              <w:pStyle w:val="TableText"/>
            </w:pPr>
            <w:r>
              <w:t>robust_regression.py在17维预处理输入加常数1后的18维上训练RealNVP。</w:t>
            </w:r>
          </w:p>
        </w:tc>
        <w:tc>
          <w:tcPr>
            <w:tcW w:type="dxa" w:w="2710"/>
            <w:vAlign w:val="center"/>
          </w:tcPr>
          <w:p>
            <w:pPr>
              <w:pStyle w:val="TableText"/>
            </w:pPr>
            <w:r>
              <w:t>不能用当前代码结果直接验证正文“学习特征密度”的同一机制。</w:t>
            </w:r>
          </w:p>
        </w:tc>
      </w:tr>
      <w:tr>
        <w:trPr>
          <w:cantSplit/>
        </w:trPr>
        <w:tc>
          <w:tcPr>
            <w:tcW w:type="dxa" w:w="1550"/>
            <w:vAlign w:val="center"/>
          </w:tcPr>
          <w:p>
            <w:pPr>
              <w:pStyle w:val="TableText"/>
            </w:pPr>
            <w:r>
              <w:t>训练顺序</w:t>
            </w:r>
          </w:p>
        </w:tc>
        <w:tc>
          <w:tcPr>
            <w:tcW w:type="dxa" w:w="2500"/>
            <w:vAlign w:val="center"/>
          </w:tcPr>
          <w:p>
            <w:pPr>
              <w:pStyle w:val="TableText"/>
            </w:pPr>
            <w:r>
              <w:t>预训练f/g→冻结f拟合密度→固定f重训g。</w:t>
            </w:r>
          </w:p>
        </w:tc>
        <w:tc>
          <w:tcPr>
            <w:tcW w:type="dxa" w:w="2600"/>
            <w:vAlign w:val="center"/>
          </w:tcPr>
          <w:p>
            <w:pPr>
              <w:pStyle w:val="TableText"/>
            </w:pPr>
            <w:r>
              <w:t>先训练输入密度；随后优化Dense网络及两个头，没有正文式的特征预训练。</w:t>
            </w:r>
          </w:p>
        </w:tc>
        <w:tc>
          <w:tcPr>
            <w:tcW w:type="dxa" w:w="2710"/>
            <w:vAlign w:val="center"/>
          </w:tcPr>
          <w:p>
            <w:pPr>
              <w:pStyle w:val="TableText"/>
            </w:pPr>
            <w:r>
              <w:t>复现时需区分“论文算法版”和“公开天气脚本版”。</w:t>
            </w:r>
          </w:p>
        </w:tc>
      </w:tr>
      <w:tr>
        <w:trPr>
          <w:cantSplit/>
        </w:trPr>
        <w:tc>
          <w:tcPr>
            <w:tcW w:type="dxa" w:w="1550"/>
            <w:vAlign w:val="center"/>
          </w:tcPr>
          <w:p>
            <w:pPr>
              <w:pStyle w:val="TableText"/>
            </w:pPr>
            <w:r>
              <w:t>密度数值</w:t>
            </w:r>
          </w:p>
        </w:tc>
        <w:tc>
          <w:tcPr>
            <w:tcW w:type="dxa" w:w="2500"/>
            <w:vAlign w:val="center"/>
          </w:tcPr>
          <w:p>
            <w:pPr>
              <w:pStyle w:val="TableText"/>
            </w:pPr>
            <w:r>
              <w:t>公式直接使用log p(z)。</w:t>
            </w:r>
          </w:p>
        </w:tc>
        <w:tc>
          <w:tcPr>
            <w:tcW w:type="dxa" w:w="2600"/>
            <w:vAlign w:val="center"/>
          </w:tcPr>
          <w:p>
            <w:pPr>
              <w:pStyle w:val="TableText"/>
            </w:pPr>
            <w:r>
              <w:t>训练log密度按最小／最大值映射到[1,3]；区间外不截断。</w:t>
            </w:r>
          </w:p>
        </w:tc>
        <w:tc>
          <w:tcPr>
            <w:tcW w:type="dxa" w:w="2710"/>
            <w:vAlign w:val="center"/>
          </w:tcPr>
          <w:p>
            <w:pPr>
              <w:pStyle w:val="TableText"/>
            </w:pPr>
            <w:r>
              <w:t>exp(缩放值)一般不再是已归一化概率密度；影响方差尺度。</w:t>
            </w:r>
          </w:p>
        </w:tc>
      </w:tr>
      <w:tr>
        <w:trPr>
          <w:cantSplit/>
        </w:trPr>
        <w:tc>
          <w:tcPr>
            <w:tcW w:type="dxa" w:w="1550"/>
            <w:vAlign w:val="center"/>
          </w:tcPr>
          <w:p>
            <w:pPr>
              <w:pStyle w:val="TableText"/>
            </w:pPr>
            <w:r>
              <w:t>Flow变换与Jacobian</w:t>
            </w:r>
          </w:p>
        </w:tc>
        <w:tc>
          <w:tcPr>
            <w:tcW w:type="dxa" w:w="2500"/>
            <w:vAlign w:val="center"/>
          </w:tcPr>
          <w:p>
            <w:pPr>
              <w:pStyle w:val="TableText"/>
            </w:pPr>
            <w:r>
              <w:t>密度应遵守一致的变量变换公式。</w:t>
            </w:r>
          </w:p>
        </w:tc>
        <w:tc>
          <w:tcPr>
            <w:tcW w:type="dxa" w:w="2600"/>
            <w:vAlign w:val="center"/>
          </w:tcPr>
          <w:p>
            <w:pPr>
              <w:pStyle w:val="TableText"/>
            </w:pPr>
            <w:r>
              <w:t>训练调用默认training=True，score_samples调用False；方向相反，后者gate=0使logdet累加为0。</w:t>
            </w:r>
          </w:p>
        </w:tc>
        <w:tc>
          <w:tcPr>
            <w:tcW w:type="dxa" w:w="2710"/>
            <w:vAlign w:val="center"/>
          </w:tcPr>
          <w:p>
            <w:pPr>
              <w:pStyle w:val="TableText"/>
            </w:pPr>
            <w:r>
              <w:t>这是需要重点单元验证的密度计算一致性问题；本次未做运行验证。</w:t>
            </w:r>
          </w:p>
        </w:tc>
      </w:tr>
      <w:tr>
        <w:trPr>
          <w:cantSplit/>
        </w:trPr>
        <w:tc>
          <w:tcPr>
            <w:tcW w:type="dxa" w:w="1550"/>
            <w:vAlign w:val="center"/>
          </w:tcPr>
          <w:p>
            <w:pPr>
              <w:pStyle w:val="TableText"/>
            </w:pPr>
            <w:r>
              <w:t>运行入口</w:t>
            </w:r>
          </w:p>
        </w:tc>
        <w:tc>
          <w:tcPr>
            <w:tcW w:type="dxa" w:w="2500"/>
            <w:vAlign w:val="center"/>
          </w:tcPr>
          <w:p>
            <w:pPr>
              <w:pStyle w:val="TableText"/>
            </w:pPr>
            <w:r>
              <w:t>README给出time_series/density_regression.py。</w:t>
            </w:r>
          </w:p>
        </w:tc>
        <w:tc>
          <w:tcPr>
            <w:tcW w:type="dxa" w:w="2600"/>
            <w:vAlign w:val="center"/>
          </w:tcPr>
          <w:p>
            <w:pPr>
              <w:pStyle w:val="TableText"/>
            </w:pPr>
            <w:r>
              <w:t>该文件未见；deploy.sh调用robust_regression.py。</w:t>
            </w:r>
          </w:p>
        </w:tc>
        <w:tc>
          <w:tcPr>
            <w:tcW w:type="dxa" w:w="2710"/>
            <w:vAlign w:val="center"/>
          </w:tcPr>
          <w:p>
            <w:pPr>
              <w:pStyle w:val="TableText"/>
            </w:pPr>
            <w:r>
              <w:t>文档与文件名不一致；不能承诺一条命令复现。</w:t>
            </w:r>
          </w:p>
        </w:tc>
      </w:tr>
      <w:tr>
        <w:trPr>
          <w:cantSplit/>
        </w:trPr>
        <w:tc>
          <w:tcPr>
            <w:tcW w:type="dxa" w:w="1550"/>
            <w:vAlign w:val="center"/>
          </w:tcPr>
          <w:p>
            <w:pPr>
              <w:pStyle w:val="TableText"/>
            </w:pPr>
            <w:r>
              <w:t>完整实验覆盖</w:t>
            </w:r>
          </w:p>
        </w:tc>
        <w:tc>
          <w:tcPr>
            <w:tcW w:type="dxa" w:w="2500"/>
            <w:vAlign w:val="center"/>
          </w:tcPr>
          <w:p>
            <w:pPr>
              <w:pStyle w:val="TableText"/>
            </w:pPr>
            <w:r>
              <w:t>README提到uci和depth_estimation。</w:t>
            </w:r>
          </w:p>
        </w:tc>
        <w:tc>
          <w:tcPr>
            <w:tcW w:type="dxa" w:w="2600"/>
            <w:vAlign w:val="center"/>
          </w:tcPr>
          <w:p>
            <w:pPr>
              <w:pStyle w:val="TableText"/>
            </w:pPr>
            <w:r>
              <w:t>当前克隆未见对应目录。</w:t>
            </w:r>
          </w:p>
        </w:tc>
        <w:tc>
          <w:tcPr>
            <w:tcW w:type="dxa" w:w="2710"/>
            <w:vAlign w:val="center"/>
          </w:tcPr>
          <w:p>
            <w:pPr>
              <w:pStyle w:val="TableText"/>
            </w:pPr>
            <w:r>
              <w:t>UCI／视觉的精确切分与完整复现入口未确认。</w:t>
            </w:r>
          </w:p>
        </w:tc>
      </w:tr>
    </w:tbl>
    <w:p>
      <w:pPr>
        <w:spacing w:after="0"/>
        <w:snapToGrid w:val="0"/>
      </w:pPr>
    </w:p>
    <w:p>
      <w:pPr>
        <w:snapToGrid w:val="0"/>
      </w:pPr>
      <w:r>
        <w:t>【代码：C3、C5】追加常数维还会让训练样本位于18维空间的一个低维平面上，普通全维连续密度建模的解释需要谨慎。以上问题不应在汇报中被表述为“论文造假”或“指标必错”；准确结论是：复现证据不完整，正文与可见代码不完全一致，需核实实验版本。</w:t>
      </w:r>
    </w:p>
    <w:p>
      <w:pPr>
        <w:pStyle w:val="Heading2"/>
        <w:snapToGrid w:val="0"/>
      </w:pPr>
      <w:r>
        <w:t>10　Related Work与Conclusion怎么读？</w:t>
      </w:r>
    </w:p>
    <w:p>
      <w:pPr>
        <w:pStyle w:val="Heading3"/>
        <w:snapToGrid w:val="0"/>
      </w:pPr>
      <w:r>
        <w:t>A．为什么把Related Work放到后面？</w:t>
      </w:r>
    </w:p>
    <w:p>
      <w:pPr>
        <w:snapToGrid w:val="0"/>
      </w:pPr>
      <w:r>
        <w:t>作者先介绍并验证自己的设计，再按研究路线比较它与已有方法的关系。这里可以帮我们建立后续每篇论文共用的分类轴。【论文：§5–6、附录B】</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路线／代表</w:t>
            </w:r>
          </w:p>
        </w:tc>
        <w:tc>
          <w:tcPr>
            <w:tcW w:type="dxa" w:w="3500"/>
            <w:vAlign w:val="center"/>
            <w:shd w:fill="E8EEF5"/>
          </w:tcPr>
          <w:p>
            <w:pPr>
              <w:pStyle w:val="TableText"/>
              <w:keepNext/>
            </w:pPr>
            <w:r>
              <w:rPr>
                <w:b/>
                <w:color w:val="1F4D78"/>
              </w:rPr>
              <w:t>关键思想</w:t>
            </w:r>
          </w:p>
        </w:tc>
        <w:tc>
          <w:tcPr>
            <w:tcW w:type="dxa" w:w="3810"/>
            <w:vAlign w:val="center"/>
            <w:shd w:fill="E8EEF5"/>
          </w:tcPr>
          <w:p>
            <w:pPr>
              <w:pStyle w:val="TableText"/>
              <w:keepNext/>
            </w:pPr>
            <w:r>
              <w:rPr>
                <w:b/>
                <w:color w:val="1F4D78"/>
              </w:rPr>
              <w:t>与Density-Regression的区别</w:t>
            </w:r>
          </w:p>
        </w:tc>
      </w:tr>
      <w:tr>
        <w:trPr>
          <w:cantSplit/>
        </w:trPr>
        <w:tc>
          <w:tcPr>
            <w:tcW w:type="dxa" w:w="2050"/>
            <w:vAlign w:val="center"/>
          </w:tcPr>
          <w:p>
            <w:pPr>
              <w:pStyle w:val="TableText"/>
              <w:keepNext/>
            </w:pPr>
            <w:r>
              <w:t>Deep Ensembles／MC Dropout</w:t>
            </w:r>
          </w:p>
        </w:tc>
        <w:tc>
          <w:tcPr>
            <w:tcW w:type="dxa" w:w="3500"/>
            <w:vAlign w:val="center"/>
          </w:tcPr>
          <w:p>
            <w:pPr>
              <w:pStyle w:val="TableText"/>
              <w:keepNext/>
            </w:pPr>
            <w:r>
              <w:t>多个模型或多次随机前向，汇总均值与方差。</w:t>
            </w:r>
          </w:p>
        </w:tc>
        <w:tc>
          <w:tcPr>
            <w:tcW w:type="dxa" w:w="3810"/>
            <w:vAlign w:val="center"/>
          </w:tcPr>
          <w:p>
            <w:pPr>
              <w:pStyle w:val="TableText"/>
              <w:keepNext/>
            </w:pPr>
            <w:r>
              <w:t>主要代价来自重复推理；本篇以密度模块换取单次输出。</w:t>
            </w:r>
          </w:p>
        </w:tc>
      </w:tr>
      <w:tr>
        <w:trPr>
          <w:cantSplit/>
        </w:trPr>
        <w:tc>
          <w:tcPr>
            <w:tcW w:type="dxa" w:w="2050"/>
            <w:vAlign w:val="center"/>
          </w:tcPr>
          <w:p>
            <w:pPr>
              <w:pStyle w:val="TableText"/>
              <w:keepNext/>
            </w:pPr>
            <w:r>
              <w:t>高斯回归／Quantile Regression</w:t>
            </w:r>
          </w:p>
        </w:tc>
        <w:tc>
          <w:tcPr>
            <w:tcW w:type="dxa" w:w="3500"/>
            <w:vAlign w:val="center"/>
          </w:tcPr>
          <w:p>
            <w:pPr>
              <w:pStyle w:val="TableText"/>
              <w:keepNext/>
            </w:pPr>
            <w:r>
              <w:t>直接学习分布参数或分位数。</w:t>
            </w:r>
          </w:p>
        </w:tc>
        <w:tc>
          <w:tcPr>
            <w:tcW w:type="dxa" w:w="3810"/>
            <w:vAlign w:val="center"/>
          </w:tcPr>
          <w:p>
            <w:pPr>
              <w:pStyle w:val="TableText"/>
              <w:keepNext/>
            </w:pPr>
            <w:r>
              <w:t>不必显式估计输入密度；OOD时的可靠性仍需验证。</w:t>
            </w:r>
          </w:p>
        </w:tc>
      </w:tr>
      <w:tr>
        <w:trPr>
          <w:cantSplit/>
        </w:trPr>
        <w:tc>
          <w:tcPr>
            <w:tcW w:type="dxa" w:w="2050"/>
            <w:vAlign w:val="center"/>
          </w:tcPr>
          <w:p>
            <w:pPr>
              <w:pStyle w:val="TableText"/>
              <w:keepNext/>
            </w:pPr>
            <w:r>
              <w:t>EDL／NatPN</w:t>
            </w:r>
          </w:p>
        </w:tc>
        <w:tc>
          <w:tcPr>
            <w:tcW w:type="dxa" w:w="3500"/>
            <w:vAlign w:val="center"/>
          </w:tcPr>
          <w:p>
            <w:pPr>
              <w:pStyle w:val="TableText"/>
              <w:keepNext/>
            </w:pPr>
            <w:r>
              <w:t>通过证据与先验结构构建预测不确定性；NatPN也使用密度。</w:t>
            </w:r>
          </w:p>
        </w:tc>
        <w:tc>
          <w:tcPr>
            <w:tcW w:type="dxa" w:w="3810"/>
            <w:vAlign w:val="center"/>
          </w:tcPr>
          <w:p>
            <w:pPr>
              <w:pStyle w:val="TableText"/>
              <w:keepNext/>
            </w:pPr>
            <w:r>
              <w:t>本篇强调不用预设贝叶斯先验参数；不代表没有其他超参数。</w:t>
            </w:r>
          </w:p>
        </w:tc>
      </w:tr>
      <w:tr>
        <w:trPr>
          <w:cantSplit/>
        </w:trPr>
        <w:tc>
          <w:tcPr>
            <w:tcW w:type="dxa" w:w="2050"/>
            <w:vAlign w:val="center"/>
          </w:tcPr>
          <w:p>
            <w:pPr>
              <w:pStyle w:val="TableText"/>
              <w:keepNext/>
            </w:pPr>
            <w:r>
              <w:t>SNGP／DUE</w:t>
            </w:r>
          </w:p>
        </w:tc>
        <w:tc>
          <w:tcPr>
            <w:tcW w:type="dxa" w:w="3500"/>
            <w:vAlign w:val="center"/>
          </w:tcPr>
          <w:p>
            <w:pPr>
              <w:pStyle w:val="TableText"/>
              <w:keepNext/>
            </w:pPr>
            <w:r>
              <w:t>Gaussian Process输出层与特征距离／谱约束。</w:t>
            </w:r>
          </w:p>
        </w:tc>
        <w:tc>
          <w:tcPr>
            <w:tcW w:type="dxa" w:w="3810"/>
            <w:vAlign w:val="center"/>
          </w:tcPr>
          <w:p>
            <w:pPr>
              <w:pStyle w:val="TableText"/>
              <w:keepNext/>
            </w:pPr>
            <w:r>
              <w:t>把距离性质带入表征或核；本篇核心是密度调节高斯分布。</w:t>
            </w:r>
          </w:p>
        </w:tc>
      </w:tr>
      <w:tr>
        <w:trPr>
          <w:cantSplit/>
        </w:trPr>
        <w:tc>
          <w:tcPr>
            <w:tcW w:type="dxa" w:w="2050"/>
            <w:vAlign w:val="center"/>
          </w:tcPr>
          <w:p>
            <w:pPr>
              <w:pStyle w:val="TableText"/>
            </w:pPr>
            <w:r>
              <w:t>Density-Softmax</w:t>
            </w:r>
          </w:p>
        </w:tc>
        <w:tc>
          <w:tcPr>
            <w:tcW w:type="dxa" w:w="3500"/>
            <w:vAlign w:val="center"/>
          </w:tcPr>
          <w:p>
            <w:pPr>
              <w:pStyle w:val="TableText"/>
            </w:pPr>
            <w:r>
              <w:t>利用密度调节分类预测。</w:t>
            </w:r>
          </w:p>
        </w:tc>
        <w:tc>
          <w:tcPr>
            <w:tcW w:type="dxa" w:w="3810"/>
            <w:vAlign w:val="center"/>
          </w:tcPr>
          <w:p>
            <w:pPr>
              <w:pStyle w:val="TableText"/>
            </w:pPr>
            <w:r>
              <w:t>本篇面向连续回归目标，不能只把分类softmax原样搬过来。</w:t>
            </w:r>
          </w:p>
        </w:tc>
      </w:tr>
    </w:tbl>
    <w:p>
      <w:pPr>
        <w:spacing w:after="0"/>
        <w:snapToGrid w:val="0"/>
      </w:pPr>
    </w:p>
    <w:p>
      <w:pPr>
        <w:pStyle w:val="Heading3"/>
        <w:snapToGrid w:val="0"/>
      </w:pPr>
      <w:r>
        <w:t>B．结论的研究价值与空白</w:t>
      </w:r>
    </w:p>
    <w:p>
      <w:pPr>
        <w:snapToGrid w:val="0"/>
      </w:pPr>
      <w:r>
        <w:t>值得保留的是“用密度调节预测不确定性”的设计和数值回归实验。尚未回答的是：在指定误报预算下，三类学習外各能检测多少；未知项目间关系是否一定保留在特征里；面对工业实时约束是否仍有收益；代码与正文机制的差异如何影响结果。</w:t>
      </w:r>
    </w:p>
    <w:p>
      <w:pPr>
        <w:pStyle w:val="Heading3"/>
        <w:snapToGrid w:val="0"/>
      </w:pPr>
      <w:r>
        <w:t>C．本节真正重要的结论</w:t>
      </w:r>
    </w:p>
    <w:p>
      <w:pPr>
        <w:pStyle w:val="ReportBullet"/>
        <w:keepNext/>
        <w:numPr>
          <w:ilvl w:val="0"/>
          <w:numId w:val="51"/>
        </w:numPr>
        <w:snapToGrid w:val="0"/>
      </w:pPr>
      <w:r>
        <w:t>分类应允许多标签：本篇同时属于密度型、模型不确定性型和模型内置型。</w:t>
      </w:r>
    </w:p>
    <w:p>
      <w:pPr>
        <w:pStyle w:val="ReportBullet"/>
        <w:keepNext/>
        <w:numPr>
          <w:ilvl w:val="0"/>
          <w:numId w:val="51"/>
        </w:numPr>
        <w:snapToGrid w:val="0"/>
      </w:pPr>
      <w:r>
        <w:t>本篇不是综述，但其基线列表可作为下一轮精读路线。</w:t>
      </w:r>
    </w:p>
    <w:p>
      <w:pPr>
        <w:pStyle w:val="ReportBullet"/>
        <w:numPr>
          <w:ilvl w:val="0"/>
          <w:numId w:val="51"/>
        </w:numPr>
        <w:snapToGrid w:val="0"/>
      </w:pPr>
      <w:r>
        <w:t>结论适合写成“值得实证比较的候选”，还不能写成“可直接上线”。</w:t>
      </w:r>
    </w:p>
    <w:p>
      <w:pPr>
        <w:pStyle w:val="Heading1"/>
        <w:pageBreakBefore/>
        <w:snapToGrid w:val="0"/>
      </w:pPr>
      <w:r>
        <w:t>第二部分　日本語研究報告</w:t>
      </w:r>
    </w:p>
    <w:p>
      <w:pPr>
        <w:pStyle w:val="Heading2"/>
        <w:snapToGrid w:val="0"/>
      </w:pPr>
      <w:r>
        <w:t>1　文献情報と調査目的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内容</w:t>
            </w:r>
          </w:p>
        </w:tc>
      </w:tr>
      <w:tr>
        <w:trPr>
          <w:cantSplit/>
        </w:trPr>
        <w:tc>
          <w:tcPr>
            <w:tcW w:type="dxa" w:w="2400"/>
            <w:vAlign w:val="center"/>
          </w:tcPr>
          <w:p>
            <w:pPr>
              <w:pStyle w:val="TableText"/>
            </w:pPr>
            <w:r>
              <w:t>論文名</w:t>
            </w:r>
          </w:p>
        </w:tc>
        <w:tc>
          <w:tcPr>
            <w:tcW w:type="dxa" w:w="6960"/>
            <w:vAlign w:val="center"/>
          </w:tcPr>
          <w:p>
            <w:pPr>
              <w:pStyle w:val="TableText"/>
            </w:pPr>
            <w:r>
              <w:t>Density-Regression: Efficient and Distance-aware Deep Regressor for Uncertainty Estimation under Distribution Shifts</w:t>
            </w:r>
          </w:p>
        </w:tc>
      </w:tr>
      <w:tr>
        <w:trPr>
          <w:cantSplit/>
        </w:trPr>
        <w:tc>
          <w:tcPr>
            <w:tcW w:type="dxa" w:w="2400"/>
            <w:vAlign w:val="center"/>
          </w:tcPr>
          <w:p>
            <w:pPr>
              <w:pStyle w:val="TableText"/>
            </w:pPr>
            <w:r>
              <w:t>著者</w:t>
            </w:r>
          </w:p>
        </w:tc>
        <w:tc>
          <w:tcPr>
            <w:tcW w:type="dxa" w:w="6960"/>
            <w:vAlign w:val="center"/>
          </w:tcPr>
          <w:p>
            <w:pPr>
              <w:pStyle w:val="TableText"/>
            </w:pPr>
            <w:r>
              <w:t>Ha Manh Bui, Anqi Liu</w:t>
            </w:r>
          </w:p>
        </w:tc>
      </w:tr>
      <w:tr>
        <w:trPr>
          <w:cantSplit/>
        </w:trPr>
        <w:tc>
          <w:tcPr>
            <w:tcW w:type="dxa" w:w="2400"/>
            <w:vAlign w:val="center"/>
          </w:tcPr>
          <w:p>
            <w:pPr>
              <w:pStyle w:val="TableText"/>
            </w:pPr>
            <w:r>
              <w:t>発表年・発表先</w:t>
            </w:r>
          </w:p>
        </w:tc>
        <w:tc>
          <w:tcPr>
            <w:tcW w:type="dxa" w:w="6960"/>
            <w:vAlign w:val="center"/>
          </w:tcPr>
          <w:p>
            <w:pPr>
              <w:pStyle w:val="TableText"/>
            </w:pPr>
            <w:r>
              <w:t>2024年、AISTATS 2024、Proceedings of Machine Learning Research, Vol.238, pp.2998–3006。</w:t>
            </w:r>
          </w:p>
        </w:tc>
      </w:tr>
      <w:tr>
        <w:trPr>
          <w:cantSplit/>
        </w:trPr>
        <w:tc>
          <w:tcPr>
            <w:tcW w:type="dxa" w:w="2400"/>
            <w:vAlign w:val="center"/>
          </w:tcPr>
          <w:p>
            <w:pPr>
              <w:pStyle w:val="TableText"/>
            </w:pPr>
            <w:r>
              <w:t>手法名・文献種別</w:t>
            </w:r>
          </w:p>
        </w:tc>
        <w:tc>
          <w:tcPr>
            <w:tcW w:type="dxa" w:w="6960"/>
            <w:vAlign w:val="center"/>
          </w:tcPr>
          <w:p>
            <w:pPr>
              <w:pStyle w:val="TableText"/>
            </w:pPr>
            <w:r>
              <w:t>Density-Regression／提案手法論文。サーベイではない。</w:t>
            </w:r>
          </w:p>
        </w:tc>
      </w:tr>
      <w:tr>
        <w:trPr>
          <w:cantSplit/>
        </w:trPr>
        <w:tc>
          <w:tcPr>
            <w:tcW w:type="dxa" w:w="2400"/>
            <w:vAlign w:val="center"/>
          </w:tcPr>
          <w:p>
            <w:pPr>
              <w:pStyle w:val="TableText"/>
            </w:pPr>
            <w:r>
              <w:t>調査目的</w:t>
            </w:r>
          </w:p>
        </w:tc>
        <w:tc>
          <w:tcPr>
            <w:tcW w:type="dxa" w:w="6960"/>
            <w:vAlign w:val="center"/>
          </w:tcPr>
          <w:p>
            <w:pPr>
              <w:pStyle w:val="TableText"/>
            </w:pPr>
            <w:r>
              <w:t>多変量数値入力を扱う回帰AIに対し、学習外入力の検知候補として利用できるかを検討する。</w:t>
            </w:r>
          </w:p>
        </w:tc>
      </w:tr>
      <w:tr>
        <w:trPr>
          <w:cantSplit/>
        </w:trPr>
        <w:tc>
          <w:tcPr>
            <w:tcW w:type="dxa" w:w="2400"/>
            <w:vAlign w:val="center"/>
          </w:tcPr>
          <w:p>
            <w:pPr>
              <w:pStyle w:val="TableText"/>
            </w:pPr>
            <w:r>
              <w:t>確認範囲</w:t>
            </w:r>
          </w:p>
        </w:tc>
        <w:tc>
          <w:tcPr>
            <w:tcW w:type="dxa" w:w="6960"/>
            <w:vAlign w:val="center"/>
          </w:tcPr>
          <w:p>
            <w:pPr>
              <w:pStyle w:val="TableText"/>
            </w:pPr>
            <w:r>
              <w:t>論文本文・付録、公開コードの静的確認、同梱CSVの件数集計。学習・評価の再実行は未実施。</w:t>
            </w:r>
          </w:p>
        </w:tc>
      </w:tr>
    </w:tbl>
    <w:p>
      <w:pPr>
        <w:spacing w:after="0"/>
        <w:snapToGrid w:val="0"/>
      </w:pPr>
    </w:p>
    <w:p>
      <w:pPr>
        <w:snapToGrid w:val="0"/>
      </w:pPr>
      <w:r>
        <w:t>本手法は、学習データの密度を予測分散に反映する確率的回帰モデルである。分布変化下の予測不確実性を評価しているが、学習内／外を二値判定する閾値や検知性能を直接提示したものではない。【論文：§2–4、S1】</w:t>
      </w:r>
    </w:p>
    <w:p>
      <w:pPr>
        <w:pStyle w:val="Heading2"/>
        <w:snapToGrid w:val="0"/>
      </w:pPr>
      <w:r>
        <w:t>2　「学習外」の定義と三分類への対応</w:t>
      </w:r>
    </w:p>
    <w:p>
      <w:pPr>
        <w:snapToGrid w:val="0"/>
      </w:pPr>
      <w:r>
        <w:t>論文では学習時と評価時の同時分布Pₛ(x,y)≠Pₜ(x,y)を扱う。入力分布P(x)のみが変わり条件付き分布P(y|x)は不変、という限定されたcovariate shiftだけに絞った定義ではない。実験では範囲外入力、観測地点・年の変更、赤ワインから白ワイン、室内から屋外などを用いる。</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本課題の分類</w:t>
            </w:r>
          </w:p>
        </w:tc>
        <w:tc>
          <w:tcPr>
            <w:tcW w:type="dxa" w:w="3500"/>
            <w:vAlign w:val="center"/>
            <w:shd w:fill="E8EEF5"/>
          </w:tcPr>
          <w:p>
            <w:pPr>
              <w:pStyle w:val="TableText"/>
              <w:keepNext/>
            </w:pPr>
            <w:r>
              <w:rPr>
                <w:b/>
                <w:color w:val="1F4D78"/>
              </w:rPr>
              <w:t>本論文との対応</w:t>
            </w:r>
          </w:p>
        </w:tc>
        <w:tc>
          <w:tcPr>
            <w:tcW w:type="dxa" w:w="3810"/>
            <w:vAlign w:val="center"/>
            <w:shd w:fill="E8EEF5"/>
          </w:tcPr>
          <w:p>
            <w:pPr>
              <w:pStyle w:val="TableText"/>
              <w:keepNext/>
            </w:pPr>
            <w:r>
              <w:rPr>
                <w:b/>
                <w:color w:val="1F4D78"/>
              </w:rPr>
              <w:t>根拠と限界</w:t>
            </w:r>
          </w:p>
        </w:tc>
      </w:tr>
      <w:tr>
        <w:trPr>
          <w:cantSplit/>
        </w:trPr>
        <w:tc>
          <w:tcPr>
            <w:tcW w:type="dxa" w:w="2050"/>
            <w:vAlign w:val="center"/>
          </w:tcPr>
          <w:p>
            <w:pPr>
              <w:pStyle w:val="TableText"/>
              <w:keepNext/>
            </w:pPr>
            <w:r>
              <w:t>① 分布または入力範囲から外れる</w:t>
            </w:r>
          </w:p>
        </w:tc>
        <w:tc>
          <w:tcPr>
            <w:tcW w:type="dxa" w:w="3500"/>
            <w:vAlign w:val="center"/>
          </w:tcPr>
          <w:p>
            <w:pPr>
              <w:pStyle w:val="TableText"/>
              <w:keepNext/>
            </w:pPr>
            <w:r>
              <w:t>直接関連あり。</w:t>
            </w:r>
          </w:p>
        </w:tc>
        <w:tc>
          <w:tcPr>
            <w:tcW w:type="dxa" w:w="3810"/>
            <w:vAlign w:val="center"/>
          </w:tcPr>
          <w:p>
            <w:pPr>
              <w:pStyle w:val="TableText"/>
              <w:keepNext/>
            </w:pPr>
            <w:r>
              <w:t>Toyの範囲外と実データのドメイン変更。ただし目標ドメインの全点が各項目の範囲外とは限らない。</w:t>
            </w:r>
          </w:p>
        </w:tc>
      </w:tr>
      <w:tr>
        <w:trPr>
          <w:cantSplit/>
        </w:trPr>
        <w:tc>
          <w:tcPr>
            <w:tcW w:type="dxa" w:w="2050"/>
            <w:vAlign w:val="center"/>
          </w:tcPr>
          <w:p>
            <w:pPr>
              <w:pStyle w:val="TableText"/>
              <w:keepNext/>
            </w:pPr>
            <w:r>
              <w:t>② 学習データが少ない領域</w:t>
            </w:r>
          </w:p>
        </w:tc>
        <w:tc>
          <w:tcPr>
            <w:tcW w:type="dxa" w:w="3500"/>
            <w:vAlign w:val="center"/>
          </w:tcPr>
          <w:p>
            <w:pPr>
              <w:pStyle w:val="TableText"/>
              <w:keepNext/>
            </w:pPr>
            <w:r>
              <w:t>密度を用いる原理上の関連あり。</w:t>
            </w:r>
          </w:p>
        </w:tc>
        <w:tc>
          <w:tcPr>
            <w:tcW w:type="dxa" w:w="3810"/>
            <w:vAlign w:val="center"/>
          </w:tcPr>
          <w:p>
            <w:pPr>
              <w:pStyle w:val="TableText"/>
              <w:keepNext/>
            </w:pPr>
            <w:r>
              <w:t>低密度を不確実性へ反映。ただし特定領域の学習量を操作した独立評価は確認できない。</w:t>
            </w:r>
          </w:p>
        </w:tc>
      </w:tr>
      <w:tr>
        <w:trPr>
          <w:cantSplit/>
        </w:trPr>
        <w:tc>
          <w:tcPr>
            <w:tcW w:type="dxa" w:w="2050"/>
            <w:vAlign w:val="center"/>
          </w:tcPr>
          <w:p>
            <w:pPr>
              <w:pStyle w:val="TableText"/>
            </w:pPr>
            <w:r>
              <w:t>③ 項目は範囲内だが組合せ・相関が異なる</w:t>
            </w:r>
          </w:p>
        </w:tc>
        <w:tc>
          <w:tcPr>
            <w:tcW w:type="dxa" w:w="3500"/>
            <w:vAlign w:val="center"/>
          </w:tcPr>
          <w:p>
            <w:pPr>
              <w:pStyle w:val="TableText"/>
            </w:pPr>
            <w:r>
              <w:t>検知候補になり得る。</w:t>
            </w:r>
          </w:p>
        </w:tc>
        <w:tc>
          <w:tcPr>
            <w:tcW w:type="dxa" w:w="3810"/>
            <w:vAlign w:val="center"/>
          </w:tcPr>
          <w:p>
            <w:pPr>
              <w:pStyle w:val="TableText"/>
            </w:pPr>
            <w:r>
              <w:t>結合密度が捉えれば反応可能。相関のみを変えた実験や③専用の検知率は未報告。</w:t>
            </w:r>
          </w:p>
        </w:tc>
      </w:tr>
    </w:tbl>
    <w:p>
      <w:pPr>
        <w:spacing w:after="0"/>
        <w:snapToGrid w:val="0"/>
      </w:pPr>
    </w:p>
    <w:p>
      <w:pPr>
        <w:snapToGrid w:val="0"/>
      </w:pPr>
      <w:r>
        <w:t>①〜③は排他的ではない。③が結合分布の低密度領域となれば②とも重なる。著者自身がこの三分類を使ったわけではなく、本報告による整理である。</w:t>
      </w:r>
    </w:p>
    <w:p>
      <w:pPr>
        <w:snapToGrid w:val="0"/>
      </w:pPr>
      <w:r>
        <w:t>point／contextual／collective anomalyについても著者の明示分類はない。現行の単時刻入力は点単位のスコアに対応し、周期特徴によって一部の文脈を表現できる可能性はある。一方、系列全体の異常を検知するcollective anomalyの専用評価はない。これらの“可能性”を実証済みの適用範囲と混同しない。</w:t>
      </w:r>
    </w:p>
    <w:p>
      <w:pPr>
        <w:pStyle w:val="Heading2"/>
        <w:snapToGrid w:val="0"/>
      </w:pPr>
      <w:r>
        <w:t>3　手法分類の共通基準</w:t>
      </w:r>
    </w:p>
    <w:p>
      <w:pPr>
        <w:snapToGrid w:val="0"/>
      </w:pPr>
      <w:r>
        <w:t>以降の論文にも適用できるよう、検知根拠と実装条件を別の軸として整理する。同一手法が複数の分類に属してよい。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分類軸</w:t>
            </w:r>
          </w:p>
        </w:tc>
        <w:tc>
          <w:tcPr>
            <w:tcW w:type="dxa" w:w="3500"/>
            <w:vAlign w:val="center"/>
            <w:shd w:fill="E8EEF5"/>
          </w:tcPr>
          <w:p>
            <w:pPr>
              <w:pStyle w:val="TableText"/>
            </w:pPr>
            <w:r>
              <w:rPr>
                <w:b/>
                <w:color w:val="1F4D78"/>
              </w:rPr>
              <w:t>分類候補</w:t>
            </w:r>
          </w:p>
        </w:tc>
        <w:tc>
          <w:tcPr>
            <w:tcW w:type="dxa" w:w="3810"/>
            <w:vAlign w:val="center"/>
            <w:shd w:fill="E8EEF5"/>
          </w:tcPr>
          <w:p>
            <w:pPr>
              <w:pStyle w:val="TableText"/>
            </w:pPr>
            <w:r>
              <w:rPr>
                <w:b/>
                <w:color w:val="1F4D78"/>
              </w:rPr>
              <w:t>本手法</w:t>
            </w:r>
          </w:p>
        </w:tc>
      </w:tr>
      <w:tr>
        <w:trPr>
          <w:cantSplit/>
        </w:trPr>
        <w:tc>
          <w:tcPr>
            <w:tcW w:type="dxa" w:w="2050"/>
            <w:vAlign w:val="center"/>
          </w:tcPr>
          <w:p>
            <w:pPr>
              <w:pStyle w:val="TableText"/>
            </w:pPr>
            <w:r>
              <w:t>検知根拠</w:t>
            </w:r>
          </w:p>
        </w:tc>
        <w:tc>
          <w:tcPr>
            <w:tcW w:type="dxa" w:w="3500"/>
            <w:vAlign w:val="center"/>
          </w:tcPr>
          <w:p>
            <w:pPr>
              <w:pStyle w:val="TableText"/>
            </w:pPr>
            <w:r>
              <w:t>範囲／距離、確率密度、予測不確実性、予測残差、再構成誤差、分布差、ルール等。</w:t>
            </w:r>
          </w:p>
        </w:tc>
        <w:tc>
          <w:tcPr>
            <w:tcW w:type="dxa" w:w="3810"/>
            <w:vAlign w:val="center"/>
          </w:tcPr>
          <w:p>
            <w:pPr>
              <w:pStyle w:val="TableText"/>
            </w:pPr>
            <w:r>
              <w:t>主：確率密度＋予測不確実性。距離は理論的関連であり、直接kNN距離を閾値判定する方式ではない。</w:t>
            </w:r>
          </w:p>
        </w:tc>
      </w:tr>
      <w:tr>
        <w:trPr>
          <w:cantSplit/>
        </w:trPr>
        <w:tc>
          <w:tcPr>
            <w:tcW w:type="dxa" w:w="2050"/>
            <w:vAlign w:val="center"/>
          </w:tcPr>
          <w:p>
            <w:pPr>
              <w:pStyle w:val="TableText"/>
            </w:pPr>
            <w:r>
              <w:t>モデルとの関係</w:t>
            </w:r>
          </w:p>
        </w:tc>
        <w:tc>
          <w:tcPr>
            <w:tcW w:type="dxa" w:w="3500"/>
            <w:vAlign w:val="center"/>
          </w:tcPr>
          <w:p>
            <w:pPr>
              <w:pStyle w:val="TableText"/>
            </w:pPr>
            <w:r>
              <w:t>入力のみの独立型、出力利用型、内部特徴利用型、モデル組込み型。</w:t>
            </w:r>
          </w:p>
        </w:tc>
        <w:tc>
          <w:tcPr>
            <w:tcW w:type="dxa" w:w="3810"/>
            <w:vAlign w:val="center"/>
          </w:tcPr>
          <w:p>
            <w:pPr>
              <w:pStyle w:val="TableText"/>
            </w:pPr>
            <w:r>
              <w:t>本文は内部特徴利用・モデル組込み型。公開気象コードは入力空間の密度を併用。</w:t>
            </w:r>
          </w:p>
        </w:tc>
      </w:tr>
      <w:tr>
        <w:trPr>
          <w:cantSplit/>
        </w:trPr>
        <w:tc>
          <w:tcPr>
            <w:tcW w:type="dxa" w:w="2050"/>
            <w:vAlign w:val="center"/>
          </w:tcPr>
          <w:p>
            <w:pPr>
              <w:pStyle w:val="TableText"/>
            </w:pPr>
            <w:r>
              <w:t>教師情報</w:t>
            </w:r>
          </w:p>
        </w:tc>
        <w:tc>
          <w:tcPr>
            <w:tcW w:type="dxa" w:w="3500"/>
            <w:vAlign w:val="center"/>
          </w:tcPr>
          <w:p>
            <w:pPr>
              <w:pStyle w:val="TableText"/>
            </w:pPr>
            <w:r>
              <w:t>正常入力のみ、(x,y)の回帰教師あり、異常教師あり等。</w:t>
            </w:r>
          </w:p>
        </w:tc>
        <w:tc>
          <w:tcPr>
            <w:tcW w:type="dxa" w:w="3810"/>
            <w:vAlign w:val="center"/>
          </w:tcPr>
          <w:p>
            <w:pPr>
              <w:pStyle w:val="TableText"/>
            </w:pPr>
            <w:r>
              <w:t>回帰学習は(x,y)必須。密度推定は特徴入力のみ。OOD教師は学習に不要。</w:t>
            </w:r>
          </w:p>
        </w:tc>
      </w:tr>
      <w:tr>
        <w:trPr>
          <w:cantSplit/>
        </w:trPr>
        <w:tc>
          <w:tcPr>
            <w:tcW w:type="dxa" w:w="2050"/>
            <w:vAlign w:val="center"/>
          </w:tcPr>
          <w:p>
            <w:pPr>
              <w:pStyle w:val="TableText"/>
            </w:pPr>
            <w:r>
              <w:t>入力単位</w:t>
            </w:r>
          </w:p>
        </w:tc>
        <w:tc>
          <w:tcPr>
            <w:tcW w:type="dxa" w:w="3500"/>
            <w:vAlign w:val="center"/>
          </w:tcPr>
          <w:p>
            <w:pPr>
              <w:pStyle w:val="TableText"/>
            </w:pPr>
            <w:r>
              <w:t>単時刻、時間窓、系列全体、バッチ分布。</w:t>
            </w:r>
          </w:p>
        </w:tc>
        <w:tc>
          <w:tcPr>
            <w:tcW w:type="dxa" w:w="3810"/>
            <w:vAlign w:val="center"/>
          </w:tcPr>
          <w:p>
            <w:pPr>
              <w:pStyle w:val="TableText"/>
            </w:pPr>
            <w:r>
              <w:t>公開気象実装は単時刻。テスト窓は24時刻だが各時刻を独立処理。</w:t>
            </w:r>
          </w:p>
        </w:tc>
      </w:tr>
      <w:tr>
        <w:trPr>
          <w:cantSplit/>
        </w:trPr>
        <w:tc>
          <w:tcPr>
            <w:tcW w:type="dxa" w:w="2050"/>
            <w:vAlign w:val="center"/>
          </w:tcPr>
          <w:p>
            <w:pPr>
              <w:pStyle w:val="TableText"/>
            </w:pPr>
            <w:r>
              <w:t>出力</w:t>
            </w:r>
          </w:p>
        </w:tc>
        <w:tc>
          <w:tcPr>
            <w:tcW w:type="dxa" w:w="3500"/>
            <w:vAlign w:val="center"/>
          </w:tcPr>
          <w:p>
            <w:pPr>
              <w:pStyle w:val="TableText"/>
            </w:pPr>
            <w:r>
              <w:t>二値、異常スコア、予測分布、区間、原因項目等。</w:t>
            </w:r>
          </w:p>
        </w:tc>
        <w:tc>
          <w:tcPr>
            <w:tcW w:type="dxa" w:w="3810"/>
            <w:vAlign w:val="center"/>
          </w:tcPr>
          <w:p>
            <w:pPr>
              <w:pStyle w:val="TableText"/>
            </w:pPr>
            <w:r>
              <w:t>平均・分散。二値、原因項目、検知閾値は未提示。</w:t>
            </w:r>
          </w:p>
        </w:tc>
      </w:tr>
      <w:tr>
        <w:trPr>
          <w:cantSplit/>
        </w:trPr>
        <w:tc>
          <w:tcPr>
            <w:tcW w:type="dxa" w:w="2050"/>
            <w:vAlign w:val="center"/>
          </w:tcPr>
          <w:p>
            <w:pPr>
              <w:pStyle w:val="TableText"/>
            </w:pPr>
            <w:r>
              <w:t>更新方式</w:t>
            </w:r>
          </w:p>
        </w:tc>
        <w:tc>
          <w:tcPr>
            <w:tcW w:type="dxa" w:w="3500"/>
            <w:vAlign w:val="center"/>
          </w:tcPr>
          <w:p>
            <w:pPr>
              <w:pStyle w:val="TableText"/>
            </w:pPr>
            <w:r>
              <w:t>オフライン固定、オンライン更新、適応型。</w:t>
            </w:r>
          </w:p>
        </w:tc>
        <w:tc>
          <w:tcPr>
            <w:tcW w:type="dxa" w:w="3810"/>
            <w:vAlign w:val="center"/>
          </w:tcPr>
          <w:p>
            <w:pPr>
              <w:pStyle w:val="TableText"/>
            </w:pPr>
            <w:r>
              <w:t>本文はオフライン学習後に固定。オンライン適応は未評価。</w:t>
            </w:r>
          </w:p>
        </w:tc>
      </w:tr>
    </w:tbl>
    <w:p>
      <w:pPr>
        <w:spacing w:after="0"/>
        <w:snapToGrid w:val="0"/>
      </w:pPr>
    </w:p>
    <w:p>
      <w:pPr>
        <w:pStyle w:val="Heading2"/>
        <w:snapToGrid w:val="0"/>
      </w:pPr>
      <w:r>
        <w:t>4　データセット調査</w:t>
      </w:r>
    </w:p>
    <w:p>
      <w:pPr>
        <w:pStyle w:val="Heading3"/>
        <w:snapToGrid w:val="0"/>
      </w:pPr>
      <w:r>
        <w:t>4.1　気象時系列：本課題に最も近い実験</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要求項目</w:t>
            </w:r>
          </w:p>
        </w:tc>
        <w:tc>
          <w:tcPr>
            <w:tcW w:type="dxa" w:w="6960"/>
            <w:vAlign w:val="center"/>
            <w:shd w:fill="E8EEF5"/>
          </w:tcPr>
          <w:p>
            <w:pPr>
              <w:pStyle w:val="TableText"/>
            </w:pPr>
            <w:r>
              <w:rPr>
                <w:b/>
                <w:color w:val="1F4D78"/>
              </w:rPr>
              <w:t>確認結果</w:t>
            </w:r>
          </w:p>
        </w:tc>
      </w:tr>
      <w:tr>
        <w:trPr>
          <w:cantSplit/>
        </w:trPr>
        <w:tc>
          <w:tcPr>
            <w:tcW w:type="dxa" w:w="2400"/>
            <w:vAlign w:val="center"/>
          </w:tcPr>
          <w:p>
            <w:pPr>
              <w:pStyle w:val="TableText"/>
            </w:pPr>
            <w:r>
              <w:t>A 入出力</w:t>
            </w:r>
          </w:p>
        </w:tc>
        <w:tc>
          <w:tcPr>
            <w:tcW w:type="dxa" w:w="6960"/>
            <w:vAlign w:val="center"/>
          </w:tcPr>
          <w:p>
            <w:pPr>
              <w:pStyle w:val="TableText"/>
            </w:pPr>
            <w:r>
              <w:t>入力：気圧・気温・湿度関連量・風・周期特徴など。公開CSVは13数値列＋日時、加工後17入力。出力：次レコードの気温T。多入力・単出力回帰。</w:t>
            </w:r>
          </w:p>
        </w:tc>
      </w:tr>
      <w:tr>
        <w:trPr>
          <w:cantSplit/>
        </w:trPr>
        <w:tc>
          <w:tcPr>
            <w:tcW w:type="dxa" w:w="2400"/>
            <w:vAlign w:val="center"/>
          </w:tcPr>
          <w:p>
            <w:pPr>
              <w:pStyle w:val="TableText"/>
            </w:pPr>
            <w:r>
              <w:t>B サンプル数</w:t>
            </w:r>
          </w:p>
        </w:tc>
        <w:tc>
          <w:tcPr>
            <w:tcW w:type="dxa" w:w="6960"/>
            <w:vAlign w:val="center"/>
          </w:tcPr>
          <w:p>
            <w:pPr>
              <w:pStyle w:val="TableText"/>
            </w:pPr>
            <w:r>
              <w:t>元の学習側CSV420,551行、OOD側26,497行。約1時間相当の抽出後、学習49,063行、検証14,018行、IIDテスト7,010行、OOD4,417行。単ステップ学習対は49,062件。</w:t>
            </w:r>
          </w:p>
        </w:tc>
      </w:tr>
      <w:tr>
        <w:trPr>
          <w:cantSplit/>
        </w:trPr>
        <w:tc>
          <w:tcPr>
            <w:tcW w:type="dxa" w:w="2400"/>
            <w:vAlign w:val="center"/>
          </w:tcPr>
          <w:p>
            <w:pPr>
              <w:pStyle w:val="TableText"/>
            </w:pPr>
            <w:r>
              <w:t>C 正解ラベル</w:t>
            </w:r>
          </w:p>
        </w:tc>
        <w:tc>
          <w:tcPr>
            <w:tcW w:type="dxa" w:w="6960"/>
            <w:vAlign w:val="center"/>
          </w:tcPr>
          <w:p>
            <w:pPr>
              <w:pStyle w:val="TableText"/>
            </w:pPr>
            <w:r>
              <w:t>回帰の正解yあり。ID/OODはデータの取得ドメインで定義できる。気象異常や設備故障の正解ラベルではない。</w:t>
            </w:r>
          </w:p>
        </w:tc>
      </w:tr>
      <w:tr>
        <w:trPr>
          <w:cantSplit/>
        </w:trPr>
        <w:tc>
          <w:tcPr>
            <w:tcW w:type="dxa" w:w="2400"/>
            <w:vAlign w:val="center"/>
          </w:tcPr>
          <w:p>
            <w:pPr>
              <w:pStyle w:val="TableText"/>
            </w:pPr>
            <w:r>
              <w:t>D 利用条件</w:t>
            </w:r>
          </w:p>
        </w:tc>
        <w:tc>
          <w:tcPr>
            <w:tcW w:type="dxa" w:w="6960"/>
            <w:vAlign w:val="center"/>
          </w:tcPr>
          <w:p>
            <w:pPr>
              <w:pStyle w:val="TableText"/>
            </w:pPr>
            <w:r>
              <w:t>MPI-BGC公式ダウンロードページはCC BY 4.0を表示。提供元・ライセンス・加工内容の表示が必要。コードは別途Apache-2.0。【S3、C5】</w:t>
            </w:r>
          </w:p>
        </w:tc>
      </w:tr>
      <w:tr>
        <w:trPr>
          <w:cantSplit/>
        </w:trPr>
        <w:tc>
          <w:tcPr>
            <w:tcW w:type="dxa" w:w="2400"/>
            <w:vAlign w:val="center"/>
          </w:tcPr>
          <w:p>
            <w:pPr>
              <w:pStyle w:val="TableText"/>
            </w:pPr>
            <w:r>
              <w:t>E 学習外分類</w:t>
            </w:r>
          </w:p>
        </w:tc>
        <w:tc>
          <w:tcPr>
            <w:tcW w:type="dxa" w:w="6960"/>
            <w:vAlign w:val="center"/>
          </w:tcPr>
          <w:p>
            <w:pPr>
              <w:pStyle w:val="TableText"/>
            </w:pPr>
            <w:r>
              <w:t>地点・年の変更による①が中心。②③を独立に切り分けた評価なし。point等の著者分類なし。</w:t>
            </w:r>
          </w:p>
        </w:tc>
      </w:tr>
      <w:tr>
        <w:trPr>
          <w:cantSplit/>
        </w:trPr>
        <w:tc>
          <w:tcPr>
            <w:tcW w:type="dxa" w:w="2400"/>
            <w:vAlign w:val="center"/>
          </w:tcPr>
          <w:p>
            <w:pPr>
              <w:pStyle w:val="TableText"/>
            </w:pPr>
            <w:r>
              <w:t>F 時間粒度・入力単位</w:t>
            </w:r>
          </w:p>
        </w:tc>
        <w:tc>
          <w:tcPr>
            <w:tcW w:type="dxa" w:w="6960"/>
            <w:vAlign w:val="center"/>
          </w:tcPr>
          <w:p>
            <w:pPr>
              <w:pStyle w:val="TableText"/>
            </w:pPr>
            <w:r>
              <w:t>原記録は概ね10分、コードは6行に1行抽出。学習は1時刻→次時刻。テストは24時刻を一括格納するがDenseは各時刻を独立処理。厳密な等間隔でない記録を確認。</w:t>
            </w:r>
          </w:p>
        </w:tc>
      </w:tr>
      <w:tr>
        <w:trPr>
          <w:cantSplit/>
        </w:trPr>
        <w:tc>
          <w:tcPr>
            <w:tcW w:type="dxa" w:w="2400"/>
            <w:vAlign w:val="center"/>
          </w:tcPr>
          <w:p>
            <w:pPr>
              <w:pStyle w:val="TableText"/>
            </w:pPr>
            <w:r>
              <w:t>G 分割・公開性</w:t>
            </w:r>
          </w:p>
        </w:tc>
        <w:tc>
          <w:tcPr>
            <w:tcW w:type="dxa" w:w="6960"/>
            <w:vAlign w:val="center"/>
          </w:tcPr>
          <w:p>
            <w:pPr>
              <w:pStyle w:val="TableText"/>
            </w:pPr>
            <w:r>
              <w:t>源ドメインを時系列順に約70/20/10%。OODは別集合。コード側は2022年7月〜年末。公式サイトで局・期間を選択しZIP取得、または作者リポジトリ内CSVを利用可能。</w:t>
            </w:r>
          </w:p>
        </w:tc>
      </w:tr>
      <w:tr>
        <w:trPr>
          <w:cantSplit/>
        </w:trPr>
        <w:tc>
          <w:tcPr>
            <w:tcW w:type="dxa" w:w="2400"/>
            <w:vAlign w:val="center"/>
          </w:tcPr>
          <w:p>
            <w:pPr>
              <w:pStyle w:val="TableText"/>
            </w:pPr>
            <w:r>
              <w:t>H 必要情報</w:t>
            </w:r>
          </w:p>
        </w:tc>
        <w:tc>
          <w:tcPr>
            <w:tcW w:type="dxa" w:w="6960"/>
            <w:vAlign w:val="center"/>
          </w:tcPr>
          <w:p>
            <w:pPr>
              <w:pStyle w:val="TableText"/>
            </w:pPr>
            <w:r>
              <w:t>実行時の真のyは不要。ただし本文方式は特徴抽出器・密度モデル・回帰ヘッドが必要。精度／校正の評価にはyが必要。</w:t>
            </w:r>
          </w:p>
        </w:tc>
      </w:tr>
    </w:tbl>
    <w:p>
      <w:pPr>
        <w:spacing w:after="0"/>
        <w:snapToGrid w:val="0"/>
      </w:pPr>
    </w:p>
    <w:p>
      <w:pPr>
        <w:snapToGrid w:val="0"/>
      </w:pPr>
      <w:r>
        <w:t>コードの正規化平均・標準偏差は学習区間から計算される。テスト用の24時刻窓は重複するため、窓数×24を独立サンプル数として扱わない。日時の乱れや欠測を修正した場合は、論文実装とは別の前処理であることを記録する。【C1–C4】</w:t>
      </w:r>
    </w:p>
    <w:p>
      <w:pPr>
        <w:pStyle w:val="Heading3"/>
        <w:snapToGrid w:val="0"/>
      </w:pPr>
      <w:r>
        <w:t>4.2　Toy、Wine Quality、画像実験</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1550"/>
        <w:gridCol w:w="2500"/>
        <w:gridCol w:w="2600"/>
        <w:gridCol w:w="2710"/>
      </w:tblGrid>
      <w:tr>
        <w:trPr>
          <w:cantSplit/>
          <w:tblHeader/>
        </w:trPr>
        <w:tc>
          <w:tcPr>
            <w:tcW w:type="dxa" w:w="1550"/>
            <w:vAlign w:val="center"/>
            <w:shd w:fill="E8EEF5"/>
          </w:tcPr>
          <w:p>
            <w:pPr>
              <w:pStyle w:val="TableText"/>
              <w:keepNext/>
            </w:pPr>
            <w:r>
              <w:rPr>
                <w:b/>
                <w:color w:val="1F4D78"/>
              </w:rPr>
              <w:t>データ</w:t>
            </w:r>
          </w:p>
        </w:tc>
        <w:tc>
          <w:tcPr>
            <w:tcW w:type="dxa" w:w="2500"/>
            <w:vAlign w:val="center"/>
            <w:shd w:fill="E8EEF5"/>
          </w:tcPr>
          <w:p>
            <w:pPr>
              <w:pStyle w:val="TableText"/>
              <w:keepNext/>
            </w:pPr>
            <w:r>
              <w:rPr>
                <w:b/>
                <w:color w:val="1F4D78"/>
              </w:rPr>
              <w:t>入力・出力／件数</w:t>
            </w:r>
          </w:p>
        </w:tc>
        <w:tc>
          <w:tcPr>
            <w:tcW w:type="dxa" w:w="2600"/>
            <w:vAlign w:val="center"/>
            <w:shd w:fill="E8EEF5"/>
          </w:tcPr>
          <w:p>
            <w:pPr>
              <w:pStyle w:val="TableText"/>
              <w:keepNext/>
            </w:pPr>
            <w:r>
              <w:rPr>
                <w:b/>
                <w:color w:val="1F4D78"/>
              </w:rPr>
              <w:t>ラベル・分割・学習外</w:t>
            </w:r>
          </w:p>
        </w:tc>
        <w:tc>
          <w:tcPr>
            <w:tcW w:type="dxa" w:w="2710"/>
            <w:vAlign w:val="center"/>
            <w:shd w:fill="E8EEF5"/>
          </w:tcPr>
          <w:p>
            <w:pPr>
              <w:pStyle w:val="TableText"/>
              <w:keepNext/>
            </w:pPr>
            <w:r>
              <w:rPr>
                <w:b/>
                <w:color w:val="1F4D78"/>
              </w:rPr>
              <w:t>公開性・条件・制約</w:t>
            </w:r>
          </w:p>
        </w:tc>
      </w:tr>
      <w:tr>
        <w:trPr>
          <w:cantSplit/>
        </w:trPr>
        <w:tc>
          <w:tcPr>
            <w:tcW w:type="dxa" w:w="1550"/>
            <w:vAlign w:val="center"/>
          </w:tcPr>
          <w:p>
            <w:pPr>
              <w:pStyle w:val="TableText"/>
              <w:keepNext/>
            </w:pPr>
            <w:r>
              <w:t>Cubic Toy</w:t>
            </w:r>
          </w:p>
        </w:tc>
        <w:tc>
          <w:tcPr>
            <w:tcW w:type="dxa" w:w="2500"/>
            <w:vAlign w:val="center"/>
          </w:tcPr>
          <w:p>
            <w:pPr>
              <w:pStyle w:val="TableText"/>
              <w:keepNext/>
            </w:pPr>
            <w:r>
              <w:t>x∈R、y=x³+ε。公開demoは学習1,000点、テスト1,000点。</w:t>
            </w:r>
          </w:p>
        </w:tc>
        <w:tc>
          <w:tcPr>
            <w:tcW w:type="dxa" w:w="2600"/>
            <w:vAlign w:val="center"/>
          </w:tcPr>
          <w:p>
            <w:pPr>
              <w:pStyle w:val="TableText"/>
              <w:keepNext/>
            </w:pPr>
            <w:r>
              <w:t>学習x∈[−4,4]、テスト[−7,7]。テスト格子上の範囲外は430点＝43%。学習はノイズあり、demoのテスト正解はノイズなし。</w:t>
            </w:r>
          </w:p>
        </w:tc>
        <w:tc>
          <w:tcPr>
            <w:tcW w:type="dxa" w:w="2710"/>
            <w:vAlign w:val="center"/>
          </w:tcPr>
          <w:p>
            <w:pPr>
              <w:pStyle w:val="TableText"/>
              <w:keepNext/>
            </w:pPr>
            <w:r>
              <w:t>コードで生成可能。数値はC6に基づく。時系列ではない。入力だけで範囲外ラベルを定義可能。</w:t>
            </w:r>
          </w:p>
        </w:tc>
      </w:tr>
      <w:tr>
        <w:trPr>
          <w:cantSplit/>
        </w:trPr>
        <w:tc>
          <w:tcPr>
            <w:tcW w:type="dxa" w:w="1550"/>
            <w:vAlign w:val="center"/>
          </w:tcPr>
          <w:p>
            <w:pPr>
              <w:pStyle w:val="TableText"/>
              <w:keepNext/>
            </w:pPr>
            <w:r>
              <w:t>Wine Quality</w:t>
            </w:r>
          </w:p>
        </w:tc>
        <w:tc>
          <w:tcPr>
            <w:tcW w:type="dxa" w:w="2500"/>
            <w:vAlign w:val="center"/>
          </w:tcPr>
          <w:p>
            <w:pPr>
              <w:pStyle w:val="TableText"/>
              <w:keepNext/>
            </w:pPr>
            <w:r>
              <w:t>11理化学変数→0〜10の品質評点を回帰。原データは赤1,599、白4,898件。【S4、S5】</w:t>
            </w:r>
          </w:p>
        </w:tc>
        <w:tc>
          <w:tcPr>
            <w:tcW w:type="dxa" w:w="2600"/>
            <w:vAlign w:val="center"/>
          </w:tcPr>
          <w:p>
            <w:pPr>
              <w:pStyle w:val="TableText"/>
              <w:keepNext/>
            </w:pPr>
            <w:r>
              <w:t>赤を学習／IID、白をOODとする。品質yあり。色によるドメインラベルであり異常品質ラベルではない。正確な論文使用件数・切分比は未確認。</w:t>
            </w:r>
          </w:p>
        </w:tc>
        <w:tc>
          <w:tcPr>
            <w:tcW w:type="dxa" w:w="2710"/>
            <w:vAlign w:val="center"/>
          </w:tcPr>
          <w:p>
            <w:pPr>
              <w:pStyle w:val="TableText"/>
              <w:keepNext/>
            </w:pPr>
            <w:r>
              <w:t>UCIからCSV取得、CC BY 4.0。時系列でなく1行1試料。白全件を評価したと断定しない。</w:t>
            </w:r>
          </w:p>
        </w:tc>
      </w:tr>
      <w:tr>
        <w:trPr>
          <w:cantSplit/>
        </w:trPr>
        <w:tc>
          <w:tcPr>
            <w:tcW w:type="dxa" w:w="1550"/>
            <w:vAlign w:val="center"/>
          </w:tcPr>
          <w:p>
            <w:pPr>
              <w:pStyle w:val="TableText"/>
              <w:keepNext/>
            </w:pPr>
            <w:r>
              <w:t>NYU Depth V2</w:t>
            </w:r>
          </w:p>
        </w:tc>
        <w:tc>
          <w:tcPr>
            <w:tcW w:type="dxa" w:w="2500"/>
            <w:vAlign w:val="center"/>
          </w:tcPr>
          <w:p>
            <w:pPr>
              <w:pStyle w:val="TableText"/>
              <w:keepNext/>
            </w:pPr>
            <w:r>
              <w:t>RGB画像→画素ごとの深度。論文の学習は約27,000組。</w:t>
            </w:r>
          </w:p>
        </w:tc>
        <w:tc>
          <w:tcPr>
            <w:tcW w:type="dxa" w:w="2600"/>
            <w:vAlign w:val="center"/>
          </w:tcPr>
          <w:p>
            <w:pPr>
              <w:pStyle w:val="TableText"/>
              <w:keepNext/>
            </w:pPr>
            <w:r>
              <w:t>IIDは室内データ、cOODはFGSM入力摂動、OODはApolloScape屋外。深度yを使って誤差と校正を評価。正確な各評価件数と比率は未確認。</w:t>
            </w:r>
          </w:p>
        </w:tc>
        <w:tc>
          <w:tcPr>
            <w:tcW w:type="dxa" w:w="2710"/>
            <w:vAlign w:val="center"/>
          </w:tcPr>
          <w:p>
            <w:pPr>
              <w:pStyle w:val="TableText"/>
              <w:keepNext/>
            </w:pPr>
            <w:r>
              <w:t>NYU公式ページに取得方法と引用要求あり。全利用条件は要追加確認。原データの1,449ラベル付き組は論文の約27,000訓練組と同じ数ではない。【S6】</w:t>
            </w:r>
          </w:p>
        </w:tc>
      </w:tr>
      <w:tr>
        <w:trPr>
          <w:cantSplit/>
        </w:trPr>
        <w:tc>
          <w:tcPr>
            <w:tcW w:type="dxa" w:w="1550"/>
            <w:vAlign w:val="center"/>
          </w:tcPr>
          <w:p>
            <w:pPr>
              <w:pStyle w:val="TableText"/>
            </w:pPr>
            <w:r>
              <w:t>ApolloScape</w:t>
            </w:r>
          </w:p>
        </w:tc>
        <w:tc>
          <w:tcPr>
            <w:tcW w:type="dxa" w:w="2500"/>
            <w:vAlign w:val="center"/>
          </w:tcPr>
          <w:p>
            <w:pPr>
              <w:pStyle w:val="TableText"/>
            </w:pPr>
            <w:r>
              <w:t>屋外画像・深度評価用。</w:t>
            </w:r>
          </w:p>
        </w:tc>
        <w:tc>
          <w:tcPr>
            <w:tcW w:type="dxa" w:w="2600"/>
            <w:vAlign w:val="center"/>
          </w:tcPr>
          <w:p>
            <w:pPr>
              <w:pStyle w:val="TableText"/>
            </w:pPr>
            <w:r>
              <w:t>室内学習に対するドメイン変更。論文利用サブセット・件数・切分比は未確認。</w:t>
            </w:r>
          </w:p>
        </w:tc>
        <w:tc>
          <w:tcPr>
            <w:tcW w:type="dxa" w:w="2710"/>
            <w:vAlign w:val="center"/>
          </w:tcPr>
          <w:p>
            <w:pPr>
              <w:pStyle w:val="TableText"/>
            </w:pPr>
            <w:r>
              <w:t>論文掲載先の現公式トップから有効なデータ取得案内を確認できず。現在のダウンロード方法・ライセンスは未確認。【S7】</w:t>
            </w:r>
          </w:p>
        </w:tc>
      </w:tr>
    </w:tbl>
    <w:p>
      <w:pPr>
        <w:spacing w:after="0"/>
        <w:snapToGrid w:val="0"/>
      </w:pPr>
    </w:p>
    <w:p>
      <w:pPr>
        <w:snapToGrid w:val="0"/>
      </w:pPr>
      <w:r>
        <w:t>Wineの入力項目はfixed acidity、volatile acidity、citric acid、residual sugar、chlorides、free sulfur dioxide、total sulfur dioxide、density、pH、sulphates、alcohol。画像実験は元データに動画由来のフレームがあっても、本論文のモデル入力は単画像であり、多変量数値時系列の検証としては数えない。</w:t>
      </w:r>
    </w:p>
    <w:p>
      <w:pPr>
        <w:pStyle w:val="Heading3"/>
        <w:snapToGrid w:val="0"/>
      </w:pPr>
      <w:r>
        <w:t>4.3　付録C.3の追加UCIベンチマーク</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付録表</w:t>
            </w:r>
          </w:p>
        </w:tc>
        <w:tc>
          <w:tcPr>
            <w:tcW w:type="dxa" w:w="3500"/>
            <w:vAlign w:val="center"/>
            <w:shd w:fill="E8EEF5"/>
          </w:tcPr>
          <w:p>
            <w:pPr>
              <w:pStyle w:val="TableText"/>
            </w:pPr>
            <w:r>
              <w:rPr>
                <w:b/>
                <w:color w:val="1F4D78"/>
              </w:rPr>
              <w:t>データセット</w:t>
            </w:r>
          </w:p>
        </w:tc>
        <w:tc>
          <w:tcPr>
            <w:tcW w:type="dxa" w:w="3810"/>
            <w:vAlign w:val="center"/>
            <w:shd w:fill="E8EEF5"/>
          </w:tcPr>
          <w:p>
            <w:pPr>
              <w:pStyle w:val="TableText"/>
            </w:pPr>
            <w:r>
              <w:rPr>
                <w:b/>
                <w:color w:val="1F4D78"/>
              </w:rPr>
              <w:t>本研究への読み方</w:t>
            </w:r>
          </w:p>
        </w:tc>
      </w:tr>
      <w:tr>
        <w:trPr>
          <w:cantSplit/>
        </w:trPr>
        <w:tc>
          <w:tcPr>
            <w:tcW w:type="dxa" w:w="2050"/>
            <w:vAlign w:val="center"/>
          </w:tcPr>
          <w:p>
            <w:pPr>
              <w:pStyle w:val="TableText"/>
            </w:pPr>
            <w:r>
              <w:t>5</w:t>
            </w:r>
          </w:p>
        </w:tc>
        <w:tc>
          <w:tcPr>
            <w:tcW w:type="dxa" w:w="3500"/>
            <w:vAlign w:val="center"/>
          </w:tcPr>
          <w:p>
            <w:pPr>
              <w:pStyle w:val="TableText"/>
            </w:pPr>
            <w:r>
              <w:t>Boston housing</w:t>
            </w:r>
          </w:p>
        </w:tc>
        <w:tc>
          <w:tcPr>
            <w:tcW w:type="dxa" w:w="3810"/>
            <w:vAlign w:val="center"/>
          </w:tcPr>
          <w:p>
            <w:pPr>
              <w:pStyle w:val="TableText"/>
            </w:pPr>
            <w:r>
              <w:t>一般の表形式回帰比較。</w:t>
            </w:r>
          </w:p>
        </w:tc>
      </w:tr>
      <w:tr>
        <w:trPr>
          <w:cantSplit/>
        </w:trPr>
        <w:tc>
          <w:tcPr>
            <w:tcW w:type="dxa" w:w="2050"/>
            <w:vAlign w:val="center"/>
          </w:tcPr>
          <w:p>
            <w:pPr>
              <w:pStyle w:val="TableText"/>
            </w:pPr>
            <w:r>
              <w:t>6</w:t>
            </w:r>
          </w:p>
        </w:tc>
        <w:tc>
          <w:tcPr>
            <w:tcW w:type="dxa" w:w="3500"/>
            <w:vAlign w:val="center"/>
          </w:tcPr>
          <w:p>
            <w:pPr>
              <w:pStyle w:val="TableText"/>
            </w:pPr>
            <w:r>
              <w:t>Concrete</w:t>
            </w:r>
          </w:p>
        </w:tc>
        <w:tc>
          <w:tcPr>
            <w:tcW w:type="dxa" w:w="3810"/>
            <w:vAlign w:val="center"/>
          </w:tcPr>
          <w:p>
            <w:pPr>
              <w:pStyle w:val="TableText"/>
            </w:pPr>
            <w:r>
              <w:t>同上。</w:t>
            </w:r>
          </w:p>
        </w:tc>
      </w:tr>
      <w:tr>
        <w:trPr>
          <w:cantSplit/>
        </w:trPr>
        <w:tc>
          <w:tcPr>
            <w:tcW w:type="dxa" w:w="2050"/>
            <w:vAlign w:val="center"/>
          </w:tcPr>
          <w:p>
            <w:pPr>
              <w:pStyle w:val="TableText"/>
            </w:pPr>
            <w:r>
              <w:t>7</w:t>
            </w:r>
          </w:p>
        </w:tc>
        <w:tc>
          <w:tcPr>
            <w:tcW w:type="dxa" w:w="3500"/>
            <w:vAlign w:val="center"/>
          </w:tcPr>
          <w:p>
            <w:pPr>
              <w:pStyle w:val="TableText"/>
            </w:pPr>
            <w:r>
              <w:t>Energy efficiency</w:t>
            </w:r>
          </w:p>
        </w:tc>
        <w:tc>
          <w:tcPr>
            <w:tcW w:type="dxa" w:w="3810"/>
            <w:vAlign w:val="center"/>
          </w:tcPr>
          <w:p>
            <w:pPr>
              <w:pStyle w:val="TableText"/>
            </w:pPr>
            <w:r>
              <w:t>同上。</w:t>
            </w:r>
          </w:p>
        </w:tc>
      </w:tr>
      <w:tr>
        <w:trPr>
          <w:cantSplit/>
        </w:trPr>
        <w:tc>
          <w:tcPr>
            <w:tcW w:type="dxa" w:w="2050"/>
            <w:vAlign w:val="center"/>
          </w:tcPr>
          <w:p>
            <w:pPr>
              <w:pStyle w:val="TableText"/>
            </w:pPr>
            <w:r>
              <w:t>8</w:t>
            </w:r>
          </w:p>
        </w:tc>
        <w:tc>
          <w:tcPr>
            <w:tcW w:type="dxa" w:w="3500"/>
            <w:vAlign w:val="center"/>
          </w:tcPr>
          <w:p>
            <w:pPr>
              <w:pStyle w:val="TableText"/>
            </w:pPr>
            <w:r>
              <w:t>Kin8nm</w:t>
            </w:r>
          </w:p>
        </w:tc>
        <w:tc>
          <w:tcPr>
            <w:tcW w:type="dxa" w:w="3810"/>
            <w:vAlign w:val="center"/>
          </w:tcPr>
          <w:p>
            <w:pPr>
              <w:pStyle w:val="TableText"/>
            </w:pPr>
            <w:r>
              <w:t>同上。</w:t>
            </w:r>
          </w:p>
        </w:tc>
      </w:tr>
      <w:tr>
        <w:trPr>
          <w:cantSplit/>
        </w:trPr>
        <w:tc>
          <w:tcPr>
            <w:tcW w:type="dxa" w:w="2050"/>
            <w:vAlign w:val="center"/>
          </w:tcPr>
          <w:p>
            <w:pPr>
              <w:pStyle w:val="TableText"/>
            </w:pPr>
            <w:r>
              <w:t>9</w:t>
            </w:r>
          </w:p>
        </w:tc>
        <w:tc>
          <w:tcPr>
            <w:tcW w:type="dxa" w:w="3500"/>
            <w:vAlign w:val="center"/>
          </w:tcPr>
          <w:p>
            <w:pPr>
              <w:pStyle w:val="TableText"/>
            </w:pPr>
            <w:r>
              <w:t>Naval propulsion plant</w:t>
            </w:r>
          </w:p>
        </w:tc>
        <w:tc>
          <w:tcPr>
            <w:tcW w:type="dxa" w:w="3810"/>
            <w:vAlign w:val="center"/>
          </w:tcPr>
          <w:p>
            <w:pPr>
              <w:pStyle w:val="TableText"/>
            </w:pPr>
            <w:r>
              <w:t>インフラ関連名称だが、学習外故障検知の検証と同一視しない。</w:t>
            </w:r>
          </w:p>
        </w:tc>
      </w:tr>
      <w:tr>
        <w:trPr>
          <w:cantSplit/>
        </w:trPr>
        <w:tc>
          <w:tcPr>
            <w:tcW w:type="dxa" w:w="2050"/>
            <w:vAlign w:val="center"/>
          </w:tcPr>
          <w:p>
            <w:pPr>
              <w:pStyle w:val="TableText"/>
            </w:pPr>
            <w:r>
              <w:t>10</w:t>
            </w:r>
          </w:p>
        </w:tc>
        <w:tc>
          <w:tcPr>
            <w:tcW w:type="dxa" w:w="3500"/>
            <w:vAlign w:val="center"/>
          </w:tcPr>
          <w:p>
            <w:pPr>
              <w:pStyle w:val="TableText"/>
            </w:pPr>
            <w:r>
              <w:t>Power plant</w:t>
            </w:r>
          </w:p>
        </w:tc>
        <w:tc>
          <w:tcPr>
            <w:tcW w:type="dxa" w:w="3810"/>
            <w:vAlign w:val="center"/>
          </w:tcPr>
          <w:p>
            <w:pPr>
              <w:pStyle w:val="TableText"/>
            </w:pPr>
            <w:r>
              <w:t>同上。</w:t>
            </w:r>
          </w:p>
        </w:tc>
      </w:tr>
      <w:tr>
        <w:trPr>
          <w:cantSplit/>
        </w:trPr>
        <w:tc>
          <w:tcPr>
            <w:tcW w:type="dxa" w:w="2050"/>
            <w:vAlign w:val="center"/>
          </w:tcPr>
          <w:p>
            <w:pPr>
              <w:pStyle w:val="TableText"/>
            </w:pPr>
            <w:r>
              <w:t>11</w:t>
            </w:r>
          </w:p>
        </w:tc>
        <w:tc>
          <w:tcPr>
            <w:tcW w:type="dxa" w:w="3500"/>
            <w:vAlign w:val="center"/>
          </w:tcPr>
          <w:p>
            <w:pPr>
              <w:pStyle w:val="TableText"/>
            </w:pPr>
            <w:r>
              <w:t>Protein</w:t>
            </w:r>
          </w:p>
        </w:tc>
        <w:tc>
          <w:tcPr>
            <w:tcW w:type="dxa" w:w="3810"/>
            <w:vAlign w:val="center"/>
          </w:tcPr>
          <w:p>
            <w:pPr>
              <w:pStyle w:val="TableText"/>
            </w:pPr>
            <w:r>
              <w:t>一般回帰。</w:t>
            </w:r>
          </w:p>
        </w:tc>
      </w:tr>
      <w:tr>
        <w:trPr>
          <w:cantSplit/>
        </w:trPr>
        <w:tc>
          <w:tcPr>
            <w:tcW w:type="dxa" w:w="2050"/>
            <w:vAlign w:val="center"/>
          </w:tcPr>
          <w:p>
            <w:pPr>
              <w:pStyle w:val="TableText"/>
            </w:pPr>
            <w:r>
              <w:t>12</w:t>
            </w:r>
          </w:p>
        </w:tc>
        <w:tc>
          <w:tcPr>
            <w:tcW w:type="dxa" w:w="3500"/>
            <w:vAlign w:val="center"/>
          </w:tcPr>
          <w:p>
            <w:pPr>
              <w:pStyle w:val="TableText"/>
            </w:pPr>
            <w:r>
              <w:t>Yacht</w:t>
            </w:r>
          </w:p>
        </w:tc>
        <w:tc>
          <w:tcPr>
            <w:tcW w:type="dxa" w:w="3810"/>
            <w:vAlign w:val="center"/>
          </w:tcPr>
          <w:p>
            <w:pPr>
              <w:pStyle w:val="TableText"/>
            </w:pPr>
            <w:r>
              <w:t>一般回帰。</w:t>
            </w:r>
          </w:p>
        </w:tc>
      </w:tr>
      <w:tr>
        <w:trPr>
          <w:cantSplit/>
        </w:trPr>
        <w:tc>
          <w:tcPr>
            <w:tcW w:type="dxa" w:w="2050"/>
            <w:vAlign w:val="center"/>
          </w:tcPr>
          <w:p>
            <w:pPr>
              <w:pStyle w:val="TableText"/>
            </w:pPr>
            <w:r>
              <w:t>13</w:t>
            </w:r>
          </w:p>
        </w:tc>
        <w:tc>
          <w:tcPr>
            <w:tcW w:type="dxa" w:w="3500"/>
            <w:vAlign w:val="center"/>
          </w:tcPr>
          <w:p>
            <w:pPr>
              <w:pStyle w:val="TableText"/>
            </w:pPr>
            <w:r>
              <w:t>Year Prediction MSD</w:t>
            </w:r>
          </w:p>
        </w:tc>
        <w:tc>
          <w:tcPr>
            <w:tcW w:type="dxa" w:w="3810"/>
            <w:vAlign w:val="center"/>
          </w:tcPr>
          <w:p>
            <w:pPr>
              <w:pStyle w:val="TableText"/>
            </w:pPr>
            <w:r>
              <w:t>一般回帰。年の予測という名称だけで時系列モデルとしない。</w:t>
            </w:r>
          </w:p>
        </w:tc>
      </w:tr>
    </w:tbl>
    <w:p>
      <w:pPr>
        <w:spacing w:after="0"/>
        <w:snapToGrid w:val="0"/>
      </w:pPr>
    </w:p>
    <w:p>
      <w:pPr>
        <w:snapToGrid w:val="0"/>
      </w:pPr>
      <w:r>
        <w:t>これらの表では回帰の正解yを用いたNLL・RMSE・Cal・Sharpが提示される。一方、使用入出力列、サンプル数、正確な切分比、時系列としての入力単位、学習外正解ラベルと比率、利用版のライセンスは本論文中の記載だけでは確定できない。現在の公開コードにも対象ディレクトリが見当たらないため、すべて「未確認」とする。一般に知られるデータ全体の件数を論文使用件数として補完しない。</w:t>
      </w:r>
    </w:p>
    <w:p>
      <w:pPr>
        <w:pStyle w:val="Heading2"/>
        <w:snapToGrid w:val="0"/>
      </w:pPr>
      <w:r>
        <w:t>5　検知アルゴリズムと必要情報</w:t>
      </w:r>
    </w:p>
    <w:p>
      <w:pPr>
        <w:pStyle w:val="Heading3"/>
        <w:snapToGrid w:val="0"/>
      </w:pPr>
      <w:r>
        <w:t>5.1　原論文のアルゴリズム</w:t>
      </w:r>
    </w:p>
    <w:p>
      <w:pPr>
        <w:snapToGrid w:val="0"/>
      </w:pPr>
      <w:r>
        <w:t>学習時は、(1)密度を1とした回帰学習、(2)固定した特徴空間での密度学習、(3)密度と特徴抽出器を固定した回帰ヘッドの再学習、の順で進める。運用時にはxからz、log p(z)、hσ、hμを算出し、σ²=exp(−hσ)/(2p(z))、μ=−hμexp(−hσ)を出力する。【§3.2、Corollary 3.2】</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情報・機能</w:t>
            </w:r>
          </w:p>
        </w:tc>
        <w:tc>
          <w:tcPr>
            <w:tcW w:type="dxa" w:w="6960"/>
            <w:vAlign w:val="center"/>
            <w:shd w:fill="E8EEF5"/>
          </w:tcPr>
          <w:p>
            <w:pPr>
              <w:pStyle w:val="TableText"/>
            </w:pPr>
            <w:r>
              <w:rPr>
                <w:b/>
                <w:color w:val="1F4D78"/>
              </w:rPr>
              <w:t>必要性</w:t>
            </w:r>
          </w:p>
        </w:tc>
      </w:tr>
      <w:tr>
        <w:trPr>
          <w:cantSplit/>
        </w:trPr>
        <w:tc>
          <w:tcPr>
            <w:tcW w:type="dxa" w:w="2400"/>
            <w:vAlign w:val="center"/>
          </w:tcPr>
          <w:p>
            <w:pPr>
              <w:pStyle w:val="TableText"/>
            </w:pPr>
            <w:r>
              <w:t>学習入力x</w:t>
            </w:r>
          </w:p>
        </w:tc>
        <w:tc>
          <w:tcPr>
            <w:tcW w:type="dxa" w:w="6960"/>
            <w:vAlign w:val="center"/>
          </w:tcPr>
          <w:p>
            <w:pPr>
              <w:pStyle w:val="TableText"/>
            </w:pPr>
            <w:r>
              <w:t>必要。代表的な運転条件を含むことが望ましい。</w:t>
            </w:r>
          </w:p>
        </w:tc>
      </w:tr>
      <w:tr>
        <w:trPr>
          <w:cantSplit/>
        </w:trPr>
        <w:tc>
          <w:tcPr>
            <w:tcW w:type="dxa" w:w="2400"/>
            <w:vAlign w:val="center"/>
          </w:tcPr>
          <w:p>
            <w:pPr>
              <w:pStyle w:val="TableText"/>
            </w:pPr>
            <w:r>
              <w:t>学習時の正解y</w:t>
            </w:r>
          </w:p>
        </w:tc>
        <w:tc>
          <w:tcPr>
            <w:tcW w:type="dxa" w:w="6960"/>
            <w:vAlign w:val="center"/>
          </w:tcPr>
          <w:p>
            <w:pPr>
              <w:pStyle w:val="TableText"/>
            </w:pPr>
            <w:r>
              <w:t>回帰モデルの学習に必要。</w:t>
            </w:r>
          </w:p>
        </w:tc>
      </w:tr>
      <w:tr>
        <w:trPr>
          <w:cantSplit/>
        </w:trPr>
        <w:tc>
          <w:tcPr>
            <w:tcW w:type="dxa" w:w="2400"/>
            <w:vAlign w:val="center"/>
          </w:tcPr>
          <w:p>
            <w:pPr>
              <w:pStyle w:val="TableText"/>
            </w:pPr>
            <w:r>
              <w:t>学習外の正解ラベル</w:t>
            </w:r>
          </w:p>
        </w:tc>
        <w:tc>
          <w:tcPr>
            <w:tcW w:type="dxa" w:w="6960"/>
            <w:vAlign w:val="center"/>
          </w:tcPr>
          <w:p>
            <w:pPr>
              <w:pStyle w:val="TableText"/>
            </w:pPr>
            <w:r>
              <w:t>原論文の学習には不要。検知性能を測る際は別途必要。</w:t>
            </w:r>
          </w:p>
        </w:tc>
      </w:tr>
      <w:tr>
        <w:trPr>
          <w:cantSplit/>
        </w:trPr>
        <w:tc>
          <w:tcPr>
            <w:tcW w:type="dxa" w:w="2400"/>
            <w:vAlign w:val="center"/>
          </w:tcPr>
          <w:p>
            <w:pPr>
              <w:pStyle w:val="TableText"/>
            </w:pPr>
            <w:r>
              <w:t>内部情報</w:t>
            </w:r>
          </w:p>
        </w:tc>
        <w:tc>
          <w:tcPr>
            <w:tcW w:type="dxa" w:w="6960"/>
            <w:vAlign w:val="center"/>
          </w:tcPr>
          <w:p>
            <w:pPr>
              <w:pStyle w:val="TableText"/>
            </w:pPr>
            <w:r>
              <w:t>本文は特徴zと回帰ヘッドにアクセスして学習できることが必要。</w:t>
            </w:r>
          </w:p>
        </w:tc>
      </w:tr>
      <w:tr>
        <w:trPr>
          <w:cantSplit/>
        </w:trPr>
        <w:tc>
          <w:tcPr>
            <w:tcW w:type="dxa" w:w="2400"/>
            <w:vAlign w:val="center"/>
          </w:tcPr>
          <w:p>
            <w:pPr>
              <w:pStyle w:val="TableText"/>
            </w:pPr>
            <w:r>
              <w:t>運用時の入力x</w:t>
            </w:r>
          </w:p>
        </w:tc>
        <w:tc>
          <w:tcPr>
            <w:tcW w:type="dxa" w:w="6960"/>
            <w:vAlign w:val="center"/>
          </w:tcPr>
          <w:p>
            <w:pPr>
              <w:pStyle w:val="TableText"/>
            </w:pPr>
            <w:r>
              <w:t>必要。学習時と同じ前処理を適用する。</w:t>
            </w:r>
          </w:p>
        </w:tc>
      </w:tr>
      <w:tr>
        <w:trPr>
          <w:cantSplit/>
        </w:trPr>
        <w:tc>
          <w:tcPr>
            <w:tcW w:type="dxa" w:w="2400"/>
            <w:vAlign w:val="center"/>
          </w:tcPr>
          <w:p>
            <w:pPr>
              <w:pStyle w:val="TableText"/>
            </w:pPr>
            <w:r>
              <w:t>運用時の真のy</w:t>
            </w:r>
          </w:p>
        </w:tc>
        <w:tc>
          <w:tcPr>
            <w:tcW w:type="dxa" w:w="6960"/>
            <w:vAlign w:val="center"/>
          </w:tcPr>
          <w:p>
            <w:pPr>
              <w:pStyle w:val="TableText"/>
            </w:pPr>
            <w:r>
              <w:t>予測分布の計算には不要。事後評価には必要。</w:t>
            </w:r>
          </w:p>
        </w:tc>
      </w:tr>
      <w:tr>
        <w:trPr>
          <w:cantSplit/>
        </w:trPr>
        <w:tc>
          <w:tcPr>
            <w:tcW w:type="dxa" w:w="2400"/>
            <w:vAlign w:val="center"/>
          </w:tcPr>
          <w:p>
            <w:pPr>
              <w:pStyle w:val="TableText"/>
            </w:pPr>
            <w:r>
              <w:t>判定スコア</w:t>
            </w:r>
          </w:p>
        </w:tc>
        <w:tc>
          <w:tcPr>
            <w:tcW w:type="dxa" w:w="6960"/>
            <w:vAlign w:val="center"/>
          </w:tcPr>
          <w:p>
            <w:pPr>
              <w:pStyle w:val="TableText"/>
            </w:pPr>
            <w:r>
              <w:t>原論文の出力は予測分散など。二値異常スコアとしての規定なし。</w:t>
            </w:r>
          </w:p>
        </w:tc>
      </w:tr>
      <w:tr>
        <w:trPr>
          <w:cantSplit/>
        </w:trPr>
        <w:tc>
          <w:tcPr>
            <w:tcW w:type="dxa" w:w="2400"/>
            <w:vAlign w:val="center"/>
          </w:tcPr>
          <w:p>
            <w:pPr>
              <w:pStyle w:val="TableText"/>
            </w:pPr>
            <w:r>
              <w:t>判定閾値</w:t>
            </w:r>
          </w:p>
        </w:tc>
        <w:tc>
          <w:tcPr>
            <w:tcW w:type="dxa" w:w="6960"/>
            <w:vAlign w:val="center"/>
          </w:tcPr>
          <w:p>
            <w:pPr>
              <w:pStyle w:val="TableText"/>
            </w:pPr>
            <w:r>
              <w:t>原論文では学習内／外判定用の決定方法を提示していない。</w:t>
            </w:r>
          </w:p>
        </w:tc>
      </w:tr>
    </w:tbl>
    <w:p>
      <w:pPr>
        <w:spacing w:after="0"/>
        <w:snapToGrid w:val="0"/>
      </w:pPr>
    </w:p>
    <w:p>
      <w:pPr>
        <w:pStyle w:val="Heading3"/>
        <w:snapToGrid w:val="0"/>
      </w:pPr>
      <w:r>
        <w:t>5.2　本課題で二値検知に使う場合の追加設計</w:t>
      </w:r>
    </w:p>
    <w:p>
      <w:pPr>
        <w:snapToGrid w:val="0"/>
      </w:pPr>
      <w:r>
        <w:t>以下は本報告の提案であり、論文の既報性能ではない。候補スコアをs_density(x)=−log p(f(x))、s_var(x)=logσ²(x)とし、まず別々に評価する。後者は密度だけでなく回帰ヘッドと観測ノイズの影響も含むため、両者を区別する。</w:t>
      </w:r>
    </w:p>
    <w:p>
      <w:pPr>
        <w:snapToGrid w:val="0"/>
      </w:pPr>
      <w:r>
        <w:t>正常とみなせる独立検証区間のスコアについて上側分位点τを設定し、s(x)&gt;τを警報候補とする。例えば正常時の経験的誤報率約1%を目標とするなら99%分位点を使えるが、未来の分布や時系列依存下で1%を保証するものではない。テストOODを見て都合のよい閾値を選ばない。</w:t>
      </w:r>
    </w:p>
    <w:p>
      <w:pPr>
        <w:snapToGrid w:val="0"/>
      </w:pPr>
      <w:r>
        <w:t>時間依存が強い場合は、運転モード・季節を考慮した検証やブロック単位の評価を行う。連続k点超過などの持続判定は誤報を減らせる一方、短い異常の見逃しと検知遅延を増やし得る。</w:t>
      </w:r>
    </w:p>
    <w:p>
      <w:pPr>
        <w:pStyle w:val="Heading2"/>
        <w:snapToGrid w:val="0"/>
      </w:pPr>
      <w:r>
        <w:t>6　評価方法と結果</w:t>
      </w:r>
    </w:p>
    <w:p>
      <w:pPr>
        <w:pStyle w:val="Heading3"/>
        <w:snapToGrid w:val="0"/>
      </w:pPr>
      <w:r>
        <w:t>6.1　原論文の評価</w:t>
      </w:r>
    </w:p>
    <w:p>
      <w:pPr>
        <w:snapToGrid w:val="0"/>
      </w:pPr>
      <w:r>
        <w:t>回帰正解yと予測分布を用い、RMSE、NLL、校正誤差Cal、Sharpを比較する。学習内／外はデータ生成範囲や取得ドメインで区別される。主要比較対象はDeterministic、Quantile Regression、MC Dropout、MFVI-BNN、EDL、SNGP、DUE、Deep Ensemblesであり、画像ではNatPNも含まれる。【§4、付録B.1】</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1550"/>
        <w:gridCol w:w="2500"/>
        <w:gridCol w:w="2600"/>
        <w:gridCol w:w="2710"/>
      </w:tblGrid>
      <w:tr>
        <w:trPr>
          <w:cantSplit/>
          <w:tblHeader/>
        </w:trPr>
        <w:tc>
          <w:tcPr>
            <w:tcW w:type="dxa" w:w="1550"/>
            <w:vAlign w:val="center"/>
            <w:shd w:fill="E8EEF5"/>
          </w:tcPr>
          <w:p>
            <w:pPr>
              <w:pStyle w:val="TableText"/>
              <w:keepNext/>
            </w:pPr>
            <w:r>
              <w:rPr>
                <w:b/>
                <w:color w:val="1F4D78"/>
              </w:rPr>
              <w:t>気象OOD指標</w:t>
            </w:r>
          </w:p>
        </w:tc>
        <w:tc>
          <w:tcPr>
            <w:tcW w:type="dxa" w:w="2500"/>
            <w:vAlign w:val="center"/>
            <w:shd w:fill="E8EEF5"/>
          </w:tcPr>
          <w:p>
            <w:pPr>
              <w:pStyle w:val="TableText"/>
              <w:keepNext/>
            </w:pPr>
            <w:r>
              <w:rPr>
                <w:b/>
                <w:color w:val="1F4D78"/>
              </w:rPr>
              <w:t>Density-Regression</w:t>
            </w:r>
          </w:p>
        </w:tc>
        <w:tc>
          <w:tcPr>
            <w:tcW w:type="dxa" w:w="2600"/>
            <w:vAlign w:val="center"/>
            <w:shd w:fill="E8EEF5"/>
          </w:tcPr>
          <w:p>
            <w:pPr>
              <w:pStyle w:val="TableText"/>
              <w:keepNext/>
            </w:pPr>
            <w:r>
              <w:rPr>
                <w:b/>
                <w:color w:val="1F4D78"/>
              </w:rPr>
              <w:t>Deep Ensembles</w:t>
            </w:r>
          </w:p>
        </w:tc>
        <w:tc>
          <w:tcPr>
            <w:tcW w:type="dxa" w:w="2710"/>
            <w:vAlign w:val="center"/>
            <w:shd w:fill="E8EEF5"/>
          </w:tcPr>
          <w:p>
            <w:pPr>
              <w:pStyle w:val="TableText"/>
              <w:keepNext/>
            </w:pPr>
            <w:r>
              <w:rPr>
                <w:b/>
                <w:color w:val="1F4D78"/>
              </w:rPr>
              <w:t>解釈</w:t>
            </w:r>
          </w:p>
        </w:tc>
      </w:tr>
      <w:tr>
        <w:trPr>
          <w:cantSplit/>
        </w:trPr>
        <w:tc>
          <w:tcPr>
            <w:tcW w:type="dxa" w:w="1550"/>
            <w:vAlign w:val="center"/>
          </w:tcPr>
          <w:p>
            <w:pPr>
              <w:pStyle w:val="TableText"/>
              <w:keepNext/>
            </w:pPr>
            <w:r>
              <w:t>NLL</w:t>
            </w:r>
          </w:p>
        </w:tc>
        <w:tc>
          <w:tcPr>
            <w:tcW w:type="dxa" w:w="2500"/>
            <w:vAlign w:val="center"/>
          </w:tcPr>
          <w:p>
            <w:pPr>
              <w:pStyle w:val="TableText"/>
              <w:keepNext/>
            </w:pPr>
            <w:r>
              <w:t>−2.16±0.16</w:t>
            </w:r>
          </w:p>
        </w:tc>
        <w:tc>
          <w:tcPr>
            <w:tcW w:type="dxa" w:w="2600"/>
            <w:vAlign w:val="center"/>
          </w:tcPr>
          <w:p>
            <w:pPr>
              <w:pStyle w:val="TableText"/>
              <w:keepNext/>
            </w:pPr>
            <w:r>
              <w:t>−2.44±0.15</w:t>
            </w:r>
          </w:p>
        </w:tc>
        <w:tc>
          <w:tcPr>
            <w:tcW w:type="dxa" w:w="2710"/>
            <w:vAlign w:val="center"/>
          </w:tcPr>
          <w:p>
            <w:pPr>
              <w:pStyle w:val="TableText"/>
              <w:keepNext/>
            </w:pPr>
            <w:r>
              <w:t>本手法が最良ではない。MC Dropoutは−2.52±0.06。</w:t>
            </w:r>
          </w:p>
        </w:tc>
      </w:tr>
      <w:tr>
        <w:trPr>
          <w:cantSplit/>
        </w:trPr>
        <w:tc>
          <w:tcPr>
            <w:tcW w:type="dxa" w:w="1550"/>
            <w:vAlign w:val="center"/>
          </w:tcPr>
          <w:p>
            <w:pPr>
              <w:pStyle w:val="TableText"/>
              <w:keepNext/>
            </w:pPr>
            <w:r>
              <w:t>RMSE</w:t>
            </w:r>
          </w:p>
        </w:tc>
        <w:tc>
          <w:tcPr>
            <w:tcW w:type="dxa" w:w="2500"/>
            <w:vAlign w:val="center"/>
          </w:tcPr>
          <w:p>
            <w:pPr>
              <w:pStyle w:val="TableText"/>
              <w:keepNext/>
            </w:pPr>
            <w:r>
              <w:t>0.14±0.00</w:t>
            </w:r>
          </w:p>
        </w:tc>
        <w:tc>
          <w:tcPr>
            <w:tcW w:type="dxa" w:w="2600"/>
            <w:vAlign w:val="center"/>
          </w:tcPr>
          <w:p>
            <w:pPr>
              <w:pStyle w:val="TableText"/>
              <w:keepNext/>
            </w:pPr>
            <w:r>
              <w:t>0.14±0.00</w:t>
            </w:r>
          </w:p>
        </w:tc>
        <w:tc>
          <w:tcPr>
            <w:tcW w:type="dxa" w:w="2710"/>
            <w:vAlign w:val="center"/>
          </w:tcPr>
          <w:p>
            <w:pPr>
              <w:pStyle w:val="TableText"/>
              <w:keepNext/>
            </w:pPr>
            <w:r>
              <w:t>丸めた平均値は同程度。温度は正規化されている。</w:t>
            </w:r>
          </w:p>
        </w:tc>
      </w:tr>
      <w:tr>
        <w:trPr>
          <w:cantSplit/>
        </w:trPr>
        <w:tc>
          <w:tcPr>
            <w:tcW w:type="dxa" w:w="1550"/>
            <w:vAlign w:val="center"/>
          </w:tcPr>
          <w:p>
            <w:pPr>
              <w:pStyle w:val="TableText"/>
              <w:keepNext/>
            </w:pPr>
            <w:r>
              <w:t>Cal</w:t>
            </w:r>
          </w:p>
        </w:tc>
        <w:tc>
          <w:tcPr>
            <w:tcW w:type="dxa" w:w="2500"/>
            <w:vAlign w:val="center"/>
          </w:tcPr>
          <w:p>
            <w:pPr>
              <w:pStyle w:val="TableText"/>
              <w:keepNext/>
            </w:pPr>
            <w:r>
              <w:t>0.23±0.10</w:t>
            </w:r>
          </w:p>
        </w:tc>
        <w:tc>
          <w:tcPr>
            <w:tcW w:type="dxa" w:w="2600"/>
            <w:vAlign w:val="center"/>
          </w:tcPr>
          <w:p>
            <w:pPr>
              <w:pStyle w:val="TableText"/>
              <w:keepNext/>
            </w:pPr>
            <w:r>
              <w:t>0.25±0.13</w:t>
            </w:r>
          </w:p>
        </w:tc>
        <w:tc>
          <w:tcPr>
            <w:tcW w:type="dxa" w:w="2710"/>
            <w:vAlign w:val="center"/>
          </w:tcPr>
          <w:p>
            <w:pPr>
              <w:pStyle w:val="TableText"/>
              <w:keepNext/>
            </w:pPr>
            <w:r>
              <w:t>本手法の平均が小さいが、大幅な差とは言えない。</w:t>
            </w:r>
          </w:p>
        </w:tc>
      </w:tr>
      <w:tr>
        <w:trPr>
          <w:cantSplit/>
        </w:trPr>
        <w:tc>
          <w:tcPr>
            <w:tcW w:type="dxa" w:w="1550"/>
            <w:vAlign w:val="center"/>
          </w:tcPr>
          <w:p>
            <w:pPr>
              <w:pStyle w:val="TableText"/>
            </w:pPr>
            <w:r>
              <w:t>Sharp</w:t>
            </w:r>
          </w:p>
        </w:tc>
        <w:tc>
          <w:tcPr>
            <w:tcW w:type="dxa" w:w="2500"/>
            <w:vAlign w:val="center"/>
          </w:tcPr>
          <w:p>
            <w:pPr>
              <w:pStyle w:val="TableText"/>
            </w:pPr>
            <w:r>
              <w:t>0.09±0.00</w:t>
            </w:r>
          </w:p>
        </w:tc>
        <w:tc>
          <w:tcPr>
            <w:tcW w:type="dxa" w:w="2600"/>
            <w:vAlign w:val="center"/>
          </w:tcPr>
          <w:p>
            <w:pPr>
              <w:pStyle w:val="TableText"/>
            </w:pPr>
            <w:r>
              <w:t>0.10±0.01</w:t>
            </w:r>
          </w:p>
        </w:tc>
        <w:tc>
          <w:tcPr>
            <w:tcW w:type="dxa" w:w="2710"/>
            <w:vAlign w:val="center"/>
          </w:tcPr>
          <w:p>
            <w:pPr>
              <w:pStyle w:val="TableText"/>
            </w:pPr>
            <w:r>
              <w:t>幅だけで優劣を断定せず、校正と併読する。</w:t>
            </w:r>
          </w:p>
        </w:tc>
      </w:tr>
    </w:tbl>
    <w:p>
      <w:pPr>
        <w:spacing w:after="0"/>
        <w:snapToGrid w:val="0"/>
      </w:pPr>
    </w:p>
    <w:p>
      <w:pPr>
        <w:snapToGrid w:val="0"/>
      </w:pPr>
      <w:r>
        <w:t>論文は検知率、誤検知率、AUROC、AUPRC、FPR@TPRなどを報告していない。そのため、「誤報率○%で学習外を○%検知できる」とはまだ言えない。</w:t>
      </w:r>
    </w:p>
    <w:p>
      <w:pPr>
        <w:pStyle w:val="Heading3"/>
        <w:snapToGrid w:val="0"/>
      </w:pPr>
      <w:r>
        <w:t>6.2　正解ラベルがない場合に何を評価できるか</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利用できる正解</w:t>
            </w:r>
          </w:p>
        </w:tc>
        <w:tc>
          <w:tcPr>
            <w:tcW w:type="dxa" w:w="3500"/>
            <w:vAlign w:val="center"/>
            <w:shd w:fill="E8EEF5"/>
          </w:tcPr>
          <w:p>
            <w:pPr>
              <w:pStyle w:val="TableText"/>
              <w:keepNext/>
            </w:pPr>
            <w:r>
              <w:rPr>
                <w:b/>
                <w:color w:val="1F4D78"/>
              </w:rPr>
              <w:t>評価できること</w:t>
            </w:r>
          </w:p>
        </w:tc>
        <w:tc>
          <w:tcPr>
            <w:tcW w:type="dxa" w:w="3810"/>
            <w:vAlign w:val="center"/>
            <w:shd w:fill="E8EEF5"/>
          </w:tcPr>
          <w:p>
            <w:pPr>
              <w:pStyle w:val="TableText"/>
              <w:keepNext/>
            </w:pPr>
            <w:r>
              <w:rPr>
                <w:b/>
                <w:color w:val="1F4D78"/>
              </w:rPr>
              <w:t>評価できない／追加が必要なこと</w:t>
            </w:r>
          </w:p>
        </w:tc>
      </w:tr>
      <w:tr>
        <w:trPr>
          <w:cantSplit/>
        </w:trPr>
        <w:tc>
          <w:tcPr>
            <w:tcW w:type="dxa" w:w="2050"/>
            <w:vAlign w:val="center"/>
          </w:tcPr>
          <w:p>
            <w:pPr>
              <w:pStyle w:val="TableText"/>
              <w:keepNext/>
            </w:pPr>
            <w:r>
              <w:t>yあり、ID/OODラベルなし</w:t>
            </w:r>
          </w:p>
        </w:tc>
        <w:tc>
          <w:tcPr>
            <w:tcW w:type="dxa" w:w="3500"/>
            <w:vAlign w:val="center"/>
          </w:tcPr>
          <w:p>
            <w:pPr>
              <w:pStyle w:val="TableText"/>
              <w:keepNext/>
            </w:pPr>
            <w:r>
              <w:t>回帰誤差、NLL、校正、予測区間被覆率。</w:t>
            </w:r>
          </w:p>
        </w:tc>
        <w:tc>
          <w:tcPr>
            <w:tcW w:type="dxa" w:w="3810"/>
            <w:vAlign w:val="center"/>
          </w:tcPr>
          <w:p>
            <w:pPr>
              <w:pStyle w:val="TableText"/>
              <w:keepNext/>
            </w:pPr>
            <w:r>
              <w:t>学習外検知のTPR/FPRは算出不可。</w:t>
            </w:r>
          </w:p>
        </w:tc>
      </w:tr>
      <w:tr>
        <w:trPr>
          <w:cantSplit/>
        </w:trPr>
        <w:tc>
          <w:tcPr>
            <w:tcW w:type="dxa" w:w="2050"/>
            <w:vAlign w:val="center"/>
          </w:tcPr>
          <w:p>
            <w:pPr>
              <w:pStyle w:val="TableText"/>
              <w:keepNext/>
            </w:pPr>
            <w:r>
              <w:t>ID/OODラベルあり、yなし</w:t>
            </w:r>
          </w:p>
        </w:tc>
        <w:tc>
          <w:tcPr>
            <w:tcW w:type="dxa" w:w="3500"/>
            <w:vAlign w:val="center"/>
          </w:tcPr>
          <w:p>
            <w:pPr>
              <w:pStyle w:val="TableText"/>
              <w:keepNext/>
            </w:pPr>
            <w:r>
              <w:t>スコア分離、AUROC、AUPRC、TPR/FPR。</w:t>
            </w:r>
          </w:p>
        </w:tc>
        <w:tc>
          <w:tcPr>
            <w:tcW w:type="dxa" w:w="3810"/>
            <w:vAlign w:val="center"/>
          </w:tcPr>
          <w:p>
            <w:pPr>
              <w:pStyle w:val="TableText"/>
              <w:keepNext/>
            </w:pPr>
            <w:r>
              <w:t>回帰精度や区間の実際の被覆は評価不可。</w:t>
            </w:r>
          </w:p>
        </w:tc>
      </w:tr>
      <w:tr>
        <w:trPr>
          <w:cantSplit/>
        </w:trPr>
        <w:tc>
          <w:tcPr>
            <w:tcW w:type="dxa" w:w="2050"/>
            <w:vAlign w:val="center"/>
          </w:tcPr>
          <w:p>
            <w:pPr>
              <w:pStyle w:val="TableText"/>
            </w:pPr>
            <w:r>
              <w:t>両方なし</w:t>
            </w:r>
          </w:p>
        </w:tc>
        <w:tc>
          <w:tcPr>
            <w:tcW w:type="dxa" w:w="3500"/>
            <w:vAlign w:val="center"/>
          </w:tcPr>
          <w:p>
            <w:pPr>
              <w:pStyle w:val="TableText"/>
            </w:pPr>
            <w:r>
              <w:t>スコア分布の変化、警報頻度、処理時間などの運用観測。</w:t>
            </w:r>
          </w:p>
        </w:tc>
        <w:tc>
          <w:tcPr>
            <w:tcW w:type="dxa" w:w="3810"/>
            <w:vAlign w:val="center"/>
          </w:tcPr>
          <w:p>
            <w:pPr>
              <w:pStyle w:val="TableText"/>
            </w:pPr>
            <w:r>
              <w:t>検知の正しさは確定できない。事例確認、後日のy、シミュレーション等が必要。</w:t>
            </w:r>
          </w:p>
        </w:tc>
      </w:tr>
    </w:tbl>
    <w:p>
      <w:pPr>
        <w:spacing w:after="0"/>
        <w:snapToGrid w:val="0"/>
      </w:pPr>
    </w:p>
    <w:p>
      <w:pPr>
        <w:snapToGrid w:val="0"/>
      </w:pPr>
      <w:r>
        <w:t>【追加評価案】①〜③を分けた検証集合を用意し、固定誤報率での検知率、適合率、イベント単位の検知率、初回検知までの時間を測る。併せて、警報を出さずに採用した予測の誤差と採用率を記録する。合成異常だけで実運用の性能を保証しない。</w:t>
      </w:r>
    </w:p>
    <w:p>
      <w:pPr>
        <w:pStyle w:val="Heading3"/>
        <w:snapToGrid w:val="0"/>
      </w:pPr>
      <w:r>
        <w:t>6.3　検知率と誤検知率のトレードオフ</w:t>
      </w:r>
    </w:p>
    <w:p>
      <w:pPr>
        <w:snapToGrid w:val="0"/>
      </w:pPr>
      <w:r>
        <w:t>閾値を下げると多くの異常候補を拾えるが、正常入力にも警報が増える。高ノイズの正常領域では分散が大きくなり誤報の原因になり得る。一方、学習外入力でも特徴が既知領域へ写れば見逃し得る。閾値設定と特徴表現の問題は別に検証する必要がある。</w:t>
      </w:r>
    </w:p>
    <w:p>
      <w:pPr>
        <w:pStyle w:val="Heading2"/>
        <w:snapToGrid w:val="0"/>
      </w:pPr>
      <w:r>
        <w:t>7　長所・短所・適用条件</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観点</w:t>
            </w:r>
          </w:p>
        </w:tc>
        <w:tc>
          <w:tcPr>
            <w:tcW w:type="dxa" w:w="6960"/>
            <w:vAlign w:val="center"/>
            <w:shd w:fill="E8EEF5"/>
          </w:tcPr>
          <w:p>
            <w:pPr>
              <w:pStyle w:val="TableText"/>
            </w:pPr>
            <w:r>
              <w:rPr>
                <w:b/>
                <w:color w:val="1F4D78"/>
              </w:rPr>
              <w:t>評価</w:t>
            </w:r>
          </w:p>
        </w:tc>
      </w:tr>
      <w:tr>
        <w:trPr>
          <w:cantSplit/>
        </w:trPr>
        <w:tc>
          <w:tcPr>
            <w:tcW w:type="dxa" w:w="2400"/>
            <w:vAlign w:val="center"/>
          </w:tcPr>
          <w:p>
            <w:pPr>
              <w:pStyle w:val="TableText"/>
            </w:pPr>
            <w:r>
              <w:t>長所</w:t>
            </w:r>
          </w:p>
        </w:tc>
        <w:tc>
          <w:tcPr>
            <w:tcW w:type="dxa" w:w="6960"/>
            <w:vAlign w:val="center"/>
          </w:tcPr>
          <w:p>
            <w:pPr>
              <w:pStyle w:val="TableText"/>
            </w:pPr>
            <w:r>
              <w:t>連続値予測と不確実性を一体で出力できる。OOD教師なしで学習できる。運用時に真のyを待たずにスコアを出せる。集成法より少ない推論回数が期待できる。</w:t>
            </w:r>
          </w:p>
        </w:tc>
      </w:tr>
      <w:tr>
        <w:trPr>
          <w:cantSplit/>
        </w:trPr>
        <w:tc>
          <w:tcPr>
            <w:tcW w:type="dxa" w:w="2400"/>
            <w:vAlign w:val="center"/>
          </w:tcPr>
          <w:p>
            <w:pPr>
              <w:pStyle w:val="TableText"/>
            </w:pPr>
            <w:r>
              <w:t>短所</w:t>
            </w:r>
          </w:p>
        </w:tc>
        <w:tc>
          <w:tcPr>
            <w:tcW w:type="dxa" w:w="6960"/>
            <w:vAlign w:val="center"/>
          </w:tcPr>
          <w:p>
            <w:pPr>
              <w:pStyle w:val="TableText"/>
            </w:pPr>
            <w:r>
              <w:t>独立した検知器としての性能は未評価。低密度と危険な予測誤差は同一ではない。特徴崩壊、密度推定誤差、回帰ヘッドの振舞いに影響される。</w:t>
            </w:r>
          </w:p>
        </w:tc>
      </w:tr>
      <w:tr>
        <w:trPr>
          <w:cantSplit/>
        </w:trPr>
        <w:tc>
          <w:tcPr>
            <w:tcW w:type="dxa" w:w="2400"/>
            <w:vAlign w:val="center"/>
          </w:tcPr>
          <w:p>
            <w:pPr>
              <w:pStyle w:val="TableText"/>
            </w:pPr>
            <w:r>
              <w:t>対応AI</w:t>
            </w:r>
          </w:p>
        </w:tc>
        <w:tc>
          <w:tcPr>
            <w:tcW w:type="dxa" w:w="6960"/>
            <w:vAlign w:val="center"/>
          </w:tcPr>
          <w:p>
            <w:pPr>
              <w:pStyle w:val="TableText"/>
            </w:pPr>
            <w:r>
              <w:t>微分可能な特徴抽出器と確率回帰ヘッドを学習・変更できる構成が中心。既存の線形回帰、木モデル、ブラックボックスに無変更で付加できるとは未確認。</w:t>
            </w:r>
          </w:p>
        </w:tc>
      </w:tr>
      <w:tr>
        <w:trPr>
          <w:cantSplit/>
        </w:trPr>
        <w:tc>
          <w:tcPr>
            <w:tcW w:type="dxa" w:w="2400"/>
            <w:vAlign w:val="center"/>
          </w:tcPr>
          <w:p>
            <w:pPr>
              <w:pStyle w:val="TableText"/>
            </w:pPr>
            <w:r>
              <w:t>出力の条件</w:t>
            </w:r>
          </w:p>
        </w:tc>
        <w:tc>
          <w:tcPr>
            <w:tcW w:type="dxa" w:w="6960"/>
            <w:vAlign w:val="center"/>
          </w:tcPr>
          <w:p>
            <w:pPr>
              <w:pStyle w:val="TableText"/>
            </w:pPr>
            <w:r>
              <w:t>主要導出は単一連続目標のガウス分布。多出力の共分散、強い非対称性、多峰性への対応は自動ではない。</w:t>
            </w:r>
          </w:p>
        </w:tc>
      </w:tr>
      <w:tr>
        <w:trPr>
          <w:cantSplit/>
        </w:trPr>
        <w:tc>
          <w:tcPr>
            <w:tcW w:type="dxa" w:w="2400"/>
            <w:vAlign w:val="center"/>
          </w:tcPr>
          <w:p>
            <w:pPr>
              <w:pStyle w:val="TableText"/>
            </w:pPr>
            <w:r>
              <w:t>必要データ量</w:t>
            </w:r>
          </w:p>
        </w:tc>
        <w:tc>
          <w:tcPr>
            <w:tcW w:type="dxa" w:w="6960"/>
            <w:vAlign w:val="center"/>
          </w:tcPr>
          <w:p>
            <w:pPr>
              <w:pStyle w:val="TableText"/>
            </w:pPr>
            <w:r>
              <w:t>保証付き最小サンプル数は未提示。密度を学ぶための代表性、特徴次元、運転モード数に依存する。</w:t>
            </w:r>
          </w:p>
        </w:tc>
      </w:tr>
      <w:tr>
        <w:trPr>
          <w:cantSplit/>
        </w:trPr>
        <w:tc>
          <w:tcPr>
            <w:tcW w:type="dxa" w:w="2400"/>
            <w:vAlign w:val="center"/>
          </w:tcPr>
          <w:p>
            <w:pPr>
              <w:pStyle w:val="TableText"/>
            </w:pPr>
            <w:r>
              <w:t>データの特徴</w:t>
            </w:r>
          </w:p>
        </w:tc>
        <w:tc>
          <w:tcPr>
            <w:tcW w:type="dxa" w:w="6960"/>
            <w:vAlign w:val="center"/>
          </w:tcPr>
          <w:p>
            <w:pPr>
              <w:pStyle w:val="TableText"/>
            </w:pPr>
            <w:r>
              <w:t>主に数値入力を扱えるが、欠測・外れたセンサ値・単位変更への専用設計は未提示。現在の気象Denseモデルは長期時間依存を直接扱わない。</w:t>
            </w:r>
          </w:p>
        </w:tc>
      </w:tr>
      <w:tr>
        <w:trPr>
          <w:cantSplit/>
        </w:trPr>
        <w:tc>
          <w:tcPr>
            <w:tcW w:type="dxa" w:w="2400"/>
            <w:vAlign w:val="center"/>
          </w:tcPr>
          <w:p>
            <w:pPr>
              <w:pStyle w:val="TableText"/>
            </w:pPr>
            <w:r>
              <w:t>計算量</w:t>
            </w:r>
          </w:p>
        </w:tc>
        <w:tc>
          <w:tcPr>
            <w:tcW w:type="dxa" w:w="6960"/>
            <w:vAlign w:val="center"/>
          </w:tcPr>
          <w:p>
            <w:pPr>
              <w:pStyle w:val="TableText"/>
            </w:pPr>
            <w:r>
              <w:t>推論は特徴抽出＋密度評価＋回帰ヘッド。O(1)は集成／サンプリング回数に対する表現。KDEでは保持サンプル数にも依存する。</w:t>
            </w:r>
          </w:p>
        </w:tc>
      </w:tr>
      <w:tr>
        <w:trPr>
          <w:cantSplit/>
        </w:trPr>
        <w:tc>
          <w:tcPr>
            <w:tcW w:type="dxa" w:w="2400"/>
            <w:vAlign w:val="center"/>
          </w:tcPr>
          <w:p>
            <w:pPr>
              <w:pStyle w:val="TableText"/>
            </w:pPr>
            <w:r>
              <w:t>リアルタイム性</w:t>
            </w:r>
          </w:p>
        </w:tc>
        <w:tc>
          <w:tcPr>
            <w:tcW w:type="dxa" w:w="6960"/>
            <w:vAlign w:val="center"/>
          </w:tcPr>
          <w:p>
            <w:pPr>
              <w:pStyle w:val="TableText"/>
            </w:pPr>
            <w:r>
              <w:t>GPU画像実験で効率改善。産業用CPUでの単件遅延、最悪遅延、メモリ使用量は未報告。</w:t>
            </w:r>
          </w:p>
        </w:tc>
      </w:tr>
      <w:tr>
        <w:trPr>
          <w:cantSplit/>
        </w:trPr>
        <w:tc>
          <w:tcPr>
            <w:tcW w:type="dxa" w:w="2400"/>
            <w:vAlign w:val="center"/>
          </w:tcPr>
          <w:p>
            <w:pPr>
              <w:pStyle w:val="TableText"/>
            </w:pPr>
            <w:r>
              <w:t>再現性</w:t>
            </w:r>
          </w:p>
        </w:tc>
        <w:tc>
          <w:tcPr>
            <w:tcW w:type="dxa" w:w="6960"/>
            <w:vAlign w:val="center"/>
          </w:tcPr>
          <w:p>
            <w:pPr>
              <w:pStyle w:val="TableText"/>
            </w:pPr>
            <w:r>
              <w:t>公開気象コードと本文の密度空間・学習手順が異なる。Flowのスコア計算も要検証。実験版の特定が必要。</w:t>
            </w:r>
          </w:p>
        </w:tc>
      </w:tr>
      <w:tr>
        <w:trPr>
          <w:cantSplit/>
        </w:trPr>
        <w:tc>
          <w:tcPr>
            <w:tcW w:type="dxa" w:w="2400"/>
            <w:vAlign w:val="center"/>
          </w:tcPr>
          <w:p>
            <w:pPr>
              <w:pStyle w:val="TableText"/>
            </w:pPr>
            <w:r>
              <w:t>理論上の制約</w:t>
            </w:r>
          </w:p>
        </w:tc>
        <w:tc>
          <w:tcPr>
            <w:tcW w:type="dxa" w:w="6960"/>
            <w:vAlign w:val="center"/>
          </w:tcPr>
          <w:p>
            <w:pPr>
              <w:pStyle w:val="TableText"/>
            </w:pPr>
            <w:r>
              <w:t>多峰・多次元分布への距離単調性、密度と回帰ヘッドの同時変化について追加条件が必要。一般入力空間での検知保証としない。</w:t>
            </w:r>
          </w:p>
        </w:tc>
      </w:tr>
    </w:tbl>
    <w:p>
      <w:pPr>
        <w:spacing w:after="0"/>
        <w:snapToGrid w:val="0"/>
      </w:pPr>
    </w:p>
    <w:p>
      <w:pPr>
        <w:pStyle w:val="Heading2"/>
        <w:snapToGrid w:val="0"/>
      </w:pPr>
      <w:r>
        <w:t>8　適用事例と社会インフラ監視制御への可能性</w:t>
      </w:r>
    </w:p>
    <w:p>
      <w:pPr>
        <w:snapToGrid w:val="0"/>
      </w:pPr>
      <w:r>
        <w:t>【論文の事例】気象温度予測、Wine等の数値回帰、単眼深度推定。水道末端圧力推定や社会インフラの閉ループ制御での実証は本論文にない。</w:t>
      </w:r>
    </w:p>
    <w:p>
      <w:pPr>
        <w:snapToGrid w:val="0"/>
      </w:pPr>
      <w:r>
        <w:t>【想定適用】圧力・需要・設備状態などの回帰推定で、学習経験の薄い入力条件に対して予測採用を保留し、確認や代替推定へ回す補助判断に利用する。平均値の正確さだけでなく、不確実性を併記できる点に価値がある。</w:t>
      </w:r>
    </w:p>
    <w:p>
      <w:pPr>
        <w:pStyle w:val="Heading3"/>
        <w:snapToGrid w:val="0"/>
      </w:pPr>
      <w:r>
        <w:t>8.1　末端圧力推定モデルとの接続</w:t>
      </w:r>
    </w:p>
    <w:p>
      <w:pPr>
        <w:snapToGrid w:val="0"/>
      </w:pPr>
      <w:r>
        <w:t>山原さんの論文本文は今回の資料に含まれていないため、同論文の入力項目、ネットワーク、数式、結果についての具体的比較は保留する。以下はユーザー提示の「末端圧力推定」という用途に基づく比較であり、山原論文の事実ではな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確認軸</w:t>
            </w:r>
          </w:p>
        </w:tc>
        <w:tc>
          <w:tcPr>
            <w:tcW w:type="dxa" w:w="3500"/>
            <w:vAlign w:val="center"/>
            <w:shd w:fill="E8EEF5"/>
          </w:tcPr>
          <w:p>
            <w:pPr>
              <w:pStyle w:val="TableText"/>
            </w:pPr>
            <w:r>
              <w:rPr>
                <w:b/>
                <w:color w:val="1F4D78"/>
              </w:rPr>
              <w:t>Density-Regressionから得られる着眼点</w:t>
            </w:r>
          </w:p>
        </w:tc>
        <w:tc>
          <w:tcPr>
            <w:tcW w:type="dxa" w:w="3810"/>
            <w:vAlign w:val="center"/>
            <w:shd w:fill="E8EEF5"/>
          </w:tcPr>
          <w:p>
            <w:pPr>
              <w:pStyle w:val="TableText"/>
            </w:pPr>
            <w:r>
              <w:rPr>
                <w:b/>
                <w:color w:val="1F4D78"/>
              </w:rPr>
              <w:t>山原論文で確認したい事項</w:t>
            </w:r>
          </w:p>
        </w:tc>
      </w:tr>
      <w:tr>
        <w:trPr>
          <w:cantSplit/>
        </w:trPr>
        <w:tc>
          <w:tcPr>
            <w:tcW w:type="dxa" w:w="2050"/>
            <w:vAlign w:val="center"/>
          </w:tcPr>
          <w:p>
            <w:pPr>
              <w:pStyle w:val="TableText"/>
            </w:pPr>
            <w:r>
              <w:t>入力時点</w:t>
            </w:r>
          </w:p>
        </w:tc>
        <w:tc>
          <w:tcPr>
            <w:tcW w:type="dxa" w:w="3500"/>
            <w:vAlign w:val="center"/>
          </w:tcPr>
          <w:p>
            <w:pPr>
              <w:pStyle w:val="TableText"/>
            </w:pPr>
            <w:r>
              <w:t>公開気象実装は単時刻の多項目入力。</w:t>
            </w:r>
          </w:p>
        </w:tc>
        <w:tc>
          <w:tcPr>
            <w:tcW w:type="dxa" w:w="3810"/>
            <w:vAlign w:val="center"/>
          </w:tcPr>
          <w:p>
            <w:pPr>
              <w:pStyle w:val="TableText"/>
            </w:pPr>
            <w:r>
              <w:t>圧力モデルも単時刻か、複数時刻の履歴か。</w:t>
            </w:r>
          </w:p>
        </w:tc>
      </w:tr>
      <w:tr>
        <w:trPr>
          <w:cantSplit/>
        </w:trPr>
        <w:tc>
          <w:tcPr>
            <w:tcW w:type="dxa" w:w="2050"/>
            <w:vAlign w:val="center"/>
          </w:tcPr>
          <w:p>
            <w:pPr>
              <w:pStyle w:val="TableText"/>
            </w:pPr>
            <w:r>
              <w:t>出力</w:t>
            </w:r>
          </w:p>
        </w:tc>
        <w:tc>
          <w:tcPr>
            <w:tcW w:type="dxa" w:w="3500"/>
            <w:vAlign w:val="center"/>
          </w:tcPr>
          <w:p>
            <w:pPr>
              <w:pStyle w:val="TableText"/>
            </w:pPr>
            <w:r>
              <w:t>予測値に加えて分散を出せる。</w:t>
            </w:r>
          </w:p>
        </w:tc>
        <w:tc>
          <w:tcPr>
            <w:tcW w:type="dxa" w:w="3810"/>
            <w:vAlign w:val="center"/>
          </w:tcPr>
          <w:p>
            <w:pPr>
              <w:pStyle w:val="TableText"/>
            </w:pPr>
            <w:r>
              <w:t>末端圧力の推定対象と真値取得時点、不確実性出力の有無。</w:t>
            </w:r>
          </w:p>
        </w:tc>
      </w:tr>
      <w:tr>
        <w:trPr>
          <w:cantSplit/>
        </w:trPr>
        <w:tc>
          <w:tcPr>
            <w:tcW w:type="dxa" w:w="2050"/>
            <w:vAlign w:val="center"/>
          </w:tcPr>
          <w:p>
            <w:pPr>
              <w:pStyle w:val="TableText"/>
            </w:pPr>
            <w:r>
              <w:t>内部アクセス</w:t>
            </w:r>
          </w:p>
        </w:tc>
        <w:tc>
          <w:tcPr>
            <w:tcW w:type="dxa" w:w="3500"/>
            <w:vAlign w:val="center"/>
          </w:tcPr>
          <w:p>
            <w:pPr>
              <w:pStyle w:val="TableText"/>
            </w:pPr>
            <w:r>
              <w:t>本文方式には内部特徴と回帰ヘッドが必要。</w:t>
            </w:r>
          </w:p>
        </w:tc>
        <w:tc>
          <w:tcPr>
            <w:tcW w:type="dxa" w:w="3810"/>
            <w:vAlign w:val="center"/>
          </w:tcPr>
          <w:p>
            <w:pPr>
              <w:pStyle w:val="TableText"/>
            </w:pPr>
            <w:r>
              <w:t>対象モデルの再学習や構造変更が許されるか。</w:t>
            </w:r>
          </w:p>
        </w:tc>
      </w:tr>
      <w:tr>
        <w:trPr>
          <w:cantSplit/>
        </w:trPr>
        <w:tc>
          <w:tcPr>
            <w:tcW w:type="dxa" w:w="2050"/>
            <w:vAlign w:val="center"/>
          </w:tcPr>
          <w:p>
            <w:pPr>
              <w:pStyle w:val="TableText"/>
            </w:pPr>
            <w:r>
              <w:t>① 範囲外</w:t>
            </w:r>
          </w:p>
        </w:tc>
        <w:tc>
          <w:tcPr>
            <w:tcW w:type="dxa" w:w="3500"/>
            <w:vAlign w:val="center"/>
          </w:tcPr>
          <w:p>
            <w:pPr>
              <w:pStyle w:val="TableText"/>
            </w:pPr>
            <w:r>
              <w:t>未知の運転範囲を密度と対比する。</w:t>
            </w:r>
          </w:p>
        </w:tc>
        <w:tc>
          <w:tcPr>
            <w:tcW w:type="dxa" w:w="3810"/>
            <w:vAlign w:val="center"/>
          </w:tcPr>
          <w:p>
            <w:pPr>
              <w:pStyle w:val="TableText"/>
            </w:pPr>
            <w:r>
              <w:t>許容入力範囲と学習範囲の区別。</w:t>
            </w:r>
          </w:p>
        </w:tc>
      </w:tr>
      <w:tr>
        <w:trPr>
          <w:cantSplit/>
        </w:trPr>
        <w:tc>
          <w:tcPr>
            <w:tcW w:type="dxa" w:w="2050"/>
            <w:vAlign w:val="center"/>
          </w:tcPr>
          <w:p>
            <w:pPr>
              <w:pStyle w:val="TableText"/>
            </w:pPr>
            <w:r>
              <w:t>② 希薄領域</w:t>
            </w:r>
          </w:p>
        </w:tc>
        <w:tc>
          <w:tcPr>
            <w:tcW w:type="dxa" w:w="3500"/>
            <w:vAlign w:val="center"/>
          </w:tcPr>
          <w:p>
            <w:pPr>
              <w:pStyle w:val="TableText"/>
            </w:pPr>
            <w:r>
              <w:t>少数運転モードで不確実性が増えるか。</w:t>
            </w:r>
          </w:p>
        </w:tc>
        <w:tc>
          <w:tcPr>
            <w:tcW w:type="dxa" w:w="3810"/>
            <w:vAlign w:val="center"/>
          </w:tcPr>
          <w:p>
            <w:pPr>
              <w:pStyle w:val="TableText"/>
            </w:pPr>
            <w:r>
              <w:t>希少な運転条件の定義と正常データ量。</w:t>
            </w:r>
          </w:p>
        </w:tc>
      </w:tr>
      <w:tr>
        <w:trPr>
          <w:cantSplit/>
        </w:trPr>
        <w:tc>
          <w:tcPr>
            <w:tcW w:type="dxa" w:w="2050"/>
            <w:vAlign w:val="center"/>
          </w:tcPr>
          <w:p>
            <w:pPr>
              <w:pStyle w:val="TableText"/>
            </w:pPr>
            <w:r>
              <w:t>③ 関係変化</w:t>
            </w:r>
          </w:p>
        </w:tc>
        <w:tc>
          <w:tcPr>
            <w:tcW w:type="dxa" w:w="3500"/>
            <w:vAlign w:val="center"/>
          </w:tcPr>
          <w:p>
            <w:pPr>
              <w:pStyle w:val="TableText"/>
            </w:pPr>
            <w:r>
              <w:t>各項目の範囲が同じでも結合密度を確認。</w:t>
            </w:r>
          </w:p>
        </w:tc>
        <w:tc>
          <w:tcPr>
            <w:tcW w:type="dxa" w:w="3810"/>
            <w:vAlign w:val="center"/>
          </w:tcPr>
          <w:p>
            <w:pPr>
              <w:pStyle w:val="TableText"/>
            </w:pPr>
            <w:r>
              <w:t>運転状態ごとの入力相関、関係変化を作る条件。</w:t>
            </w:r>
          </w:p>
        </w:tc>
      </w:tr>
    </w:tbl>
    <w:p>
      <w:pPr>
        <w:spacing w:after="0"/>
        <w:snapToGrid w:val="0"/>
      </w:pPr>
    </w:p>
    <w:p>
      <w:pPr>
        <w:pStyle w:val="Heading3"/>
        <w:snapToGrid w:val="0"/>
      </w:pPr>
      <w:r>
        <w:t>8.2　導入判断のための具体的な検証案</w:t>
      </w:r>
    </w:p>
    <w:p>
      <w:pPr>
        <w:snapToGrid w:val="0"/>
      </w:pPr>
      <w:r>
        <w:t>第一に、時系列順で学習・閾値検証・最終テストを分け、重複窓とデータ漏洩を管理する。第二に、単項目の範囲判定、標準化距離／kNN等、入力密度、通常のガウス回帰、可能ならEnsemblesと比較する。これらは本報告の提案である。</w:t>
      </w:r>
    </w:p>
    <w:p>
      <w:pPr>
        <w:snapToGrid w:val="0"/>
      </w:pPr>
      <w:r>
        <w:t>第三に、①入力範囲外、②学習データを間引いた領域、③周辺範囲を維持した関係変化を別々に準備する。③は物理的に不可能な組合せを無造作に生成せず、設備状態・運転モードまたはシミュレータに基づいて設計する。</w:t>
      </w:r>
    </w:p>
    <w:p>
      <w:pPr>
        <w:snapToGrid w:val="0"/>
      </w:pPr>
      <w:r>
        <w:t>第四に、密度のみと予測分散の両方を評価し、誤報頻度、検知遅延、見逃したときの回帰誤差、単件処理時間を測る。最初は監視・予測採否の補助として検証し、警報から制御変更までを自動的に正当化しない。</w:t>
      </w:r>
    </w:p>
    <w:p>
      <w:pPr>
        <w:snapToGrid w:val="0"/>
      </w:pPr>
      <w:r>
        <w:t>総合判断：研究候補として有望。現時点の根拠は「確率回帰と分布変化の実験」であり、「社会インフラに必要な学習外検知性能の確立」は今後の評価課題である。</w:t>
      </w:r>
    </w:p>
    <w:p>
      <w:pPr>
        <w:pStyle w:val="Heading2"/>
        <w:pageBreakBefore/>
        <w:snapToGrid w:val="0"/>
      </w:pPr>
      <w:r>
        <w:t>9　後続論文と比較するための統一記録</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共通フィールド</w:t>
            </w:r>
          </w:p>
        </w:tc>
        <w:tc>
          <w:tcPr>
            <w:tcW w:type="dxa" w:w="6960"/>
            <w:vAlign w:val="center"/>
            <w:shd w:fill="E8EEF5"/>
          </w:tcPr>
          <w:p>
            <w:pPr>
              <w:pStyle w:val="TableText"/>
            </w:pPr>
            <w:r>
              <w:rPr>
                <w:b/>
                <w:color w:val="1F4D78"/>
              </w:rPr>
              <w:t>本篇の記録</w:t>
            </w:r>
          </w:p>
        </w:tc>
      </w:tr>
      <w:tr>
        <w:trPr>
          <w:cantSplit/>
        </w:trPr>
        <w:tc>
          <w:tcPr>
            <w:tcW w:type="dxa" w:w="2400"/>
            <w:vAlign w:val="center"/>
          </w:tcPr>
          <w:p>
            <w:pPr>
              <w:pStyle w:val="TableText"/>
            </w:pPr>
            <w:r>
              <w:t>ID／手法</w:t>
            </w:r>
          </w:p>
        </w:tc>
        <w:tc>
          <w:tcPr>
            <w:tcW w:type="dxa" w:w="6960"/>
            <w:vAlign w:val="center"/>
          </w:tcPr>
          <w:p>
            <w:pPr>
              <w:pStyle w:val="TableText"/>
            </w:pPr>
            <w:r>
              <w:t>P01／Density-Regression</w:t>
            </w:r>
          </w:p>
        </w:tc>
      </w:tr>
      <w:tr>
        <w:trPr>
          <w:cantSplit/>
        </w:trPr>
        <w:tc>
          <w:tcPr>
            <w:tcW w:type="dxa" w:w="2400"/>
            <w:vAlign w:val="center"/>
          </w:tcPr>
          <w:p>
            <w:pPr>
              <w:pStyle w:val="TableText"/>
            </w:pPr>
            <w:r>
              <w:t>学習外定義</w:t>
            </w:r>
          </w:p>
        </w:tc>
        <w:tc>
          <w:tcPr>
            <w:tcW w:type="dxa" w:w="6960"/>
            <w:vAlign w:val="center"/>
          </w:tcPr>
          <w:p>
            <w:pPr>
              <w:pStyle w:val="TableText"/>
            </w:pPr>
            <w:r>
              <w:t>Pₛ(x,y)≠Pₜ(x,y)、範囲外・ドメイン変更。</w:t>
            </w:r>
          </w:p>
        </w:tc>
      </w:tr>
      <w:tr>
        <w:trPr>
          <w:cantSplit/>
        </w:trPr>
        <w:tc>
          <w:tcPr>
            <w:tcW w:type="dxa" w:w="2400"/>
            <w:vAlign w:val="center"/>
          </w:tcPr>
          <w:p>
            <w:pPr>
              <w:pStyle w:val="TableText"/>
            </w:pPr>
            <w:r>
              <w:t>検知根拠</w:t>
            </w:r>
          </w:p>
        </w:tc>
        <w:tc>
          <w:tcPr>
            <w:tcW w:type="dxa" w:w="6960"/>
            <w:vAlign w:val="center"/>
          </w:tcPr>
          <w:p>
            <w:pPr>
              <w:pStyle w:val="TableText"/>
            </w:pPr>
            <w:r>
              <w:t>密度＋予測不確実性。</w:t>
            </w:r>
          </w:p>
        </w:tc>
      </w:tr>
      <w:tr>
        <w:trPr>
          <w:cantSplit/>
        </w:trPr>
        <w:tc>
          <w:tcPr>
            <w:tcW w:type="dxa" w:w="2400"/>
            <w:vAlign w:val="center"/>
          </w:tcPr>
          <w:p>
            <w:pPr>
              <w:pStyle w:val="TableText"/>
            </w:pPr>
            <w:r>
              <w:t>三分類への証拠</w:t>
            </w:r>
          </w:p>
        </w:tc>
        <w:tc>
          <w:tcPr>
            <w:tcW w:type="dxa" w:w="6960"/>
            <w:vAlign w:val="center"/>
          </w:tcPr>
          <w:p>
            <w:pPr>
              <w:pStyle w:val="TableText"/>
            </w:pPr>
            <w:r>
              <w:t>①直接関連、②原理的関連・独立評価なし、③可能性・独立評価なし。</w:t>
            </w:r>
          </w:p>
        </w:tc>
      </w:tr>
      <w:tr>
        <w:trPr>
          <w:cantSplit/>
        </w:trPr>
        <w:tc>
          <w:tcPr>
            <w:tcW w:type="dxa" w:w="2400"/>
            <w:vAlign w:val="center"/>
          </w:tcPr>
          <w:p>
            <w:pPr>
              <w:pStyle w:val="TableText"/>
            </w:pPr>
            <w:r>
              <w:t>対象データ／入力単位</w:t>
            </w:r>
          </w:p>
        </w:tc>
        <w:tc>
          <w:tcPr>
            <w:tcW w:type="dxa" w:w="6960"/>
            <w:vAlign w:val="center"/>
          </w:tcPr>
          <w:p>
            <w:pPr>
              <w:pStyle w:val="TableText"/>
            </w:pPr>
            <w:r>
              <w:t>多変量数値対応。気象コード：17入力×単時刻→次時刻温度。</w:t>
            </w:r>
          </w:p>
        </w:tc>
      </w:tr>
      <w:tr>
        <w:trPr>
          <w:cantSplit/>
        </w:trPr>
        <w:tc>
          <w:tcPr>
            <w:tcW w:type="dxa" w:w="2400"/>
            <w:vAlign w:val="center"/>
          </w:tcPr>
          <w:p>
            <w:pPr>
              <w:pStyle w:val="TableText"/>
            </w:pPr>
            <w:r>
              <w:t>必要教師</w:t>
            </w:r>
          </w:p>
        </w:tc>
        <w:tc>
          <w:tcPr>
            <w:tcW w:type="dxa" w:w="6960"/>
            <w:vAlign w:val="center"/>
          </w:tcPr>
          <w:p>
            <w:pPr>
              <w:pStyle w:val="TableText"/>
            </w:pPr>
            <w:r>
              <w:t>学習(x,y)、異常教師不要。</w:t>
            </w:r>
          </w:p>
        </w:tc>
      </w:tr>
      <w:tr>
        <w:trPr>
          <w:cantSplit/>
        </w:trPr>
        <w:tc>
          <w:tcPr>
            <w:tcW w:type="dxa" w:w="2400"/>
            <w:vAlign w:val="center"/>
          </w:tcPr>
          <w:p>
            <w:pPr>
              <w:pStyle w:val="TableText"/>
            </w:pPr>
            <w:r>
              <w:t>必要モデル情報</w:t>
            </w:r>
          </w:p>
        </w:tc>
        <w:tc>
          <w:tcPr>
            <w:tcW w:type="dxa" w:w="6960"/>
            <w:vAlign w:val="center"/>
          </w:tcPr>
          <w:p>
            <w:pPr>
              <w:pStyle w:val="TableText"/>
            </w:pPr>
            <w:r>
              <w:t>本文：内部特徴・予測頭、再学習可。</w:t>
            </w:r>
          </w:p>
        </w:tc>
      </w:tr>
      <w:tr>
        <w:trPr>
          <w:cantSplit/>
        </w:trPr>
        <w:tc>
          <w:tcPr>
            <w:tcW w:type="dxa" w:w="2400"/>
            <w:vAlign w:val="center"/>
          </w:tcPr>
          <w:p>
            <w:pPr>
              <w:pStyle w:val="TableText"/>
            </w:pPr>
            <w:r>
              <w:t>運用時y</w:t>
            </w:r>
          </w:p>
        </w:tc>
        <w:tc>
          <w:tcPr>
            <w:tcW w:type="dxa" w:w="6960"/>
            <w:vAlign w:val="center"/>
          </w:tcPr>
          <w:p>
            <w:pPr>
              <w:pStyle w:val="TableText"/>
            </w:pPr>
            <w:r>
              <w:t>不要。</w:t>
            </w:r>
          </w:p>
        </w:tc>
      </w:tr>
      <w:tr>
        <w:trPr>
          <w:cantSplit/>
        </w:trPr>
        <w:tc>
          <w:tcPr>
            <w:tcW w:type="dxa" w:w="2400"/>
            <w:vAlign w:val="center"/>
          </w:tcPr>
          <w:p>
            <w:pPr>
              <w:pStyle w:val="TableText"/>
            </w:pPr>
            <w:r>
              <w:t>原論文のスコア／閾値</w:t>
            </w:r>
          </w:p>
        </w:tc>
        <w:tc>
          <w:tcPr>
            <w:tcW w:type="dxa" w:w="6960"/>
            <w:vAlign w:val="center"/>
          </w:tcPr>
          <w:p>
            <w:pPr>
              <w:pStyle w:val="TableText"/>
            </w:pPr>
            <w:r>
              <w:t>平均・分散／二値閾値未提示。</w:t>
            </w:r>
          </w:p>
        </w:tc>
      </w:tr>
      <w:tr>
        <w:trPr>
          <w:cantSplit/>
        </w:trPr>
        <w:tc>
          <w:tcPr>
            <w:tcW w:type="dxa" w:w="2400"/>
            <w:vAlign w:val="center"/>
          </w:tcPr>
          <w:p>
            <w:pPr>
              <w:pStyle w:val="TableText"/>
            </w:pPr>
            <w:r>
              <w:t>検知指標</w:t>
            </w:r>
          </w:p>
        </w:tc>
        <w:tc>
          <w:tcPr>
            <w:tcW w:type="dxa" w:w="6960"/>
            <w:vAlign w:val="center"/>
          </w:tcPr>
          <w:p>
            <w:pPr>
              <w:pStyle w:val="TableText"/>
            </w:pPr>
            <w:r>
              <w:t>TPR/FPR/AUROC等は未報告。</w:t>
            </w:r>
          </w:p>
        </w:tc>
      </w:tr>
      <w:tr>
        <w:trPr>
          <w:cantSplit/>
        </w:trPr>
        <w:tc>
          <w:tcPr>
            <w:tcW w:type="dxa" w:w="2400"/>
            <w:vAlign w:val="center"/>
          </w:tcPr>
          <w:p>
            <w:pPr>
              <w:pStyle w:val="TableText"/>
            </w:pPr>
            <w:r>
              <w:t>回帰・校正の代表結果</w:t>
            </w:r>
          </w:p>
        </w:tc>
        <w:tc>
          <w:tcPr>
            <w:tcW w:type="dxa" w:w="6960"/>
            <w:vAlign w:val="center"/>
          </w:tcPr>
          <w:p>
            <w:pPr>
              <w:pStyle w:val="TableText"/>
            </w:pPr>
            <w:r>
              <w:t>気象OOD：RMSE0.14±0.00、Cal0.23±0.10、NLL−2.16±0.16。</w:t>
            </w:r>
          </w:p>
        </w:tc>
      </w:tr>
      <w:tr>
        <w:trPr>
          <w:cantSplit/>
        </w:trPr>
        <w:tc>
          <w:tcPr>
            <w:tcW w:type="dxa" w:w="2400"/>
            <w:vAlign w:val="center"/>
          </w:tcPr>
          <w:p>
            <w:pPr>
              <w:pStyle w:val="TableText"/>
            </w:pPr>
            <w:r>
              <w:t>効率</w:t>
            </w:r>
          </w:p>
        </w:tc>
        <w:tc>
          <w:tcPr>
            <w:tcW w:type="dxa" w:w="6960"/>
            <w:vAlign w:val="center"/>
          </w:tcPr>
          <w:p>
            <w:pPr>
              <w:pStyle w:val="TableText"/>
            </w:pPr>
            <w:r>
              <w:t>単一の順伝播、密度計算あり。産業CPU実時間は未確認。</w:t>
            </w:r>
          </w:p>
        </w:tc>
      </w:tr>
      <w:tr>
        <w:trPr>
          <w:cantSplit/>
        </w:trPr>
        <w:tc>
          <w:tcPr>
            <w:tcW w:type="dxa" w:w="2400"/>
            <w:vAlign w:val="center"/>
          </w:tcPr>
          <w:p>
            <w:pPr>
              <w:pStyle w:val="TableText"/>
            </w:pPr>
            <w:r>
              <w:t>公開性</w:t>
            </w:r>
          </w:p>
        </w:tc>
        <w:tc>
          <w:tcPr>
            <w:tcW w:type="dxa" w:w="6960"/>
            <w:vAlign w:val="center"/>
          </w:tcPr>
          <w:p>
            <w:pPr>
              <w:pStyle w:val="TableText"/>
            </w:pPr>
            <w:r>
              <w:t>コードApache-2.0、気象データCC BY 4.0。実装と本文に差異。</w:t>
            </w:r>
          </w:p>
        </w:tc>
      </w:tr>
      <w:tr>
        <w:trPr>
          <w:cantSplit/>
        </w:trPr>
        <w:tc>
          <w:tcPr>
            <w:tcW w:type="dxa" w:w="2400"/>
            <w:vAlign w:val="center"/>
          </w:tcPr>
          <w:p>
            <w:pPr>
              <w:pStyle w:val="TableText"/>
            </w:pPr>
            <w:r>
              <w:t>採用上の主要課題</w:t>
            </w:r>
          </w:p>
        </w:tc>
        <w:tc>
          <w:tcPr>
            <w:tcW w:type="dxa" w:w="6960"/>
            <w:vAlign w:val="center"/>
          </w:tcPr>
          <w:p>
            <w:pPr>
              <w:pStyle w:val="TableText"/>
            </w:pPr>
            <w:r>
              <w:t>閾値設計、①〜③の検知評価、理論条件、実装版の確認。</w:t>
            </w:r>
          </w:p>
        </w:tc>
      </w:tr>
    </w:tbl>
    <w:p>
      <w:pPr>
        <w:spacing w:after="0"/>
        <w:snapToGrid w:val="0"/>
      </w:pPr>
    </w:p>
    <w:p>
      <w:pPr>
        <w:pStyle w:val="Heading1"/>
        <w:pageBreakBefore/>
        <w:snapToGrid w:val="0"/>
      </w:pPr>
      <w:r>
        <w:t>第三部分　日常汇报材料</w:t>
      </w:r>
    </w:p>
    <w:p>
      <w:pPr>
        <w:pStyle w:val="Heading2"/>
        <w:snapToGrid w:val="0"/>
      </w:pPr>
      <w:r>
        <w:t>1　日本語・口頭説明原稿（目安4〜5分）</w:t>
      </w:r>
    </w:p>
    <w:p>
      <w:pPr>
        <w:snapToGrid w:val="0"/>
      </w:pPr>
      <w:r>
        <w:t>本日は、AISTATS 2024で発表されたDensity-Regressionを調査しました。この論文は、学習時と異なるデータが入力されたときに、回帰モデルが過度に自信を持って予測する問題を扱っています。</w:t>
      </w:r>
    </w:p>
    <w:p>
      <w:pPr>
        <w:snapToGrid w:val="0"/>
      </w:pPr>
      <w:r>
        <w:t>中心となる考え方は、学習データの密度を予測分散に反映することです。学習データが多い領域と、経験の少ない領域を密度で表し、他の条件が同じであれば、密度が低いほど予測分散を大きくします。分類上は、密度に基づく方法と、AIモデルの予測不確実性に基づく方法の両方に該当します。</w:t>
      </w:r>
    </w:p>
    <w:p>
      <w:pPr>
        <w:snapToGrid w:val="0"/>
      </w:pPr>
      <w:r>
        <w:t>ただし、本論文が直接出力するのは予測平均と分散です。学習内か学習外かを判定する閾値や、検知率・誤検知率は提示されていません。そのため、今回の課題に使うには、密度や分散を検知スコアにし、閾値と評価データを追加する必要があります。</w:t>
      </w:r>
    </w:p>
    <w:p>
      <w:pPr>
        <w:snapToGrid w:val="0"/>
      </w:pPr>
      <w:r>
        <w:t>本課題に最も近いのは気象時系列の実験です。論文では、Beutenbergの過去の気象データで学習し、Saaleaueの2022年のデータを学習外として評価しています。公開コードでは、前処理後の17項目から、次の時刻の気温を予測しています。</w:t>
      </w:r>
    </w:p>
    <w:p>
      <w:pPr>
        <w:snapToGrid w:val="0"/>
      </w:pPr>
      <w:r>
        <w:t>ここで注意したいのは、時系列データを使っていても、長い時間関係をモデル化しているわけではない点です。学習は1時刻の入力で行われ、テストの24時刻窓でも、Denseネットワークが各時刻を個別に処理します。したがって、複数時刻の関係が変わる異常への対応は、別途検証が必要です。</w:t>
      </w:r>
    </w:p>
    <w:p>
      <w:pPr>
        <w:snapToGrid w:val="0"/>
      </w:pPr>
      <w:r>
        <w:t>結果を見ると、気象の学習外データに対する校正誤差は0.23で、Ensemblesの0.25より平均値は小さくなっています。RMSEはどちらも約0.14です。一方、NLLはEnsemblesやMC Dropoutの方が良く、本手法がすべての指標で最良という結果ではありません。また、これらは異常検知率を表す数値ではありません。</w:t>
      </w:r>
    </w:p>
    <w:p>
      <w:pPr>
        <w:snapToGrid w:val="0"/>
      </w:pPr>
      <w:r>
        <w:t>長所は、予測値と不確実性を一緒に出せること、運用時に真の出力を待たなくてよいこと、複数モデルを使う方式より推論回数を減らせることです。制約は、本文の方式では対象モデルの内部特徴と回帰ヘッドを利用するため、既存モデルへ無変更で取り付けられるとは限らない点です。</w:t>
      </w:r>
    </w:p>
    <w:p>
      <w:pPr>
        <w:snapToGrid w:val="0"/>
      </w:pPr>
      <w:r>
        <w:t>今回の確認では、公開気象コードと本文の間で、密度を学ぶ空間や学習手順に差があることも分かりました。また、理論証明を任意の多次元・多峰分布にそのまま適用できるかには検討の余地があります。現段階では実装を実行していないため、再現性の確認事項として整理しています。</w:t>
      </w:r>
    </w:p>
    <w:p>
      <w:pPr>
        <w:snapToGrid w:val="0"/>
      </w:pPr>
      <w:r>
        <w:t>末端圧力推定への適用では、予測の採用を保留する補助スコアとして検討する価値があると考えます。次の評価では、入力範囲外、学習が薄い領域、項目間関係の変化を分け、一定の誤報率でどれだけ検知できるかを比較したいと考えています。</w:t>
      </w:r>
    </w:p>
    <w:p>
      <w:pPr>
        <w:pStyle w:val="Heading2"/>
        <w:snapToGrid w:val="0"/>
      </w:pPr>
      <w:r>
        <w:t>2　带教可能追问的问题与回答</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質問</w:t>
            </w:r>
          </w:p>
        </w:tc>
        <w:tc>
          <w:tcPr>
            <w:tcW w:type="dxa" w:w="6960"/>
            <w:vAlign w:val="center"/>
            <w:shd w:fill="E8EEF5"/>
          </w:tcPr>
          <w:p>
            <w:pPr>
              <w:pStyle w:val="TableText"/>
            </w:pPr>
            <w:r>
              <w:rPr>
                <w:b/>
                <w:color w:val="1F4D78"/>
              </w:rPr>
              <w:t>回答例</w:t>
            </w:r>
          </w:p>
        </w:tc>
      </w:tr>
      <w:tr>
        <w:trPr>
          <w:cantSplit/>
        </w:trPr>
        <w:tc>
          <w:tcPr>
            <w:tcW w:type="dxa" w:w="2400"/>
            <w:vAlign w:val="center"/>
          </w:tcPr>
          <w:p>
            <w:pPr>
              <w:pStyle w:val="TableText"/>
            </w:pPr>
            <w:r>
              <w:t>これは異常検知手法ですか。</w:t>
            </w:r>
          </w:p>
        </w:tc>
        <w:tc>
          <w:tcPr>
            <w:tcW w:type="dxa" w:w="6960"/>
            <w:vAlign w:val="center"/>
          </w:tcPr>
          <w:p>
            <w:pPr>
              <w:pStyle w:val="TableText"/>
            </w:pPr>
            <w:r>
              <w:t>分布変化下の不確実性推定手法です。異常検知への転用候補ですが、閾値と検知評価を追加する必要があります。</w:t>
            </w:r>
          </w:p>
        </w:tc>
      </w:tr>
      <w:tr>
        <w:trPr>
          <w:cantSplit/>
        </w:trPr>
        <w:tc>
          <w:tcPr>
            <w:tcW w:type="dxa" w:w="2400"/>
            <w:vAlign w:val="center"/>
          </w:tcPr>
          <w:p>
            <w:pPr>
              <w:pStyle w:val="TableText"/>
            </w:pPr>
            <w:r>
              <w:t>予測分散が大きければ学習外ですか。</w:t>
            </w:r>
          </w:p>
        </w:tc>
        <w:tc>
          <w:tcPr>
            <w:tcW w:type="dxa" w:w="6960"/>
            <w:vAlign w:val="center"/>
          </w:tcPr>
          <w:p>
            <w:pPr>
              <w:pStyle w:val="TableText"/>
            </w:pPr>
            <w:r>
              <w:t>必ずしもそうではありません。正常な高ノイズ領域でも分散が大きくなるため、密度スコアと分けて評価します。</w:t>
            </w:r>
          </w:p>
        </w:tc>
      </w:tr>
      <w:tr>
        <w:trPr>
          <w:cantSplit/>
        </w:trPr>
        <w:tc>
          <w:tcPr>
            <w:tcW w:type="dxa" w:w="2400"/>
            <w:vAlign w:val="center"/>
          </w:tcPr>
          <w:p>
            <w:pPr>
              <w:pStyle w:val="TableText"/>
            </w:pPr>
            <w:r>
              <w:t>各項目が範囲内でも検知できますか。</w:t>
            </w:r>
          </w:p>
        </w:tc>
        <w:tc>
          <w:tcPr>
            <w:tcW w:type="dxa" w:w="6960"/>
            <w:vAlign w:val="center"/>
          </w:tcPr>
          <w:p>
            <w:pPr>
              <w:pStyle w:val="TableText"/>
            </w:pPr>
            <w:r>
              <w:t>結合密度が関係変化を捉えれば可能性があります。ただし本論文はその条件を独立に検証していません。</w:t>
            </w:r>
          </w:p>
        </w:tc>
      </w:tr>
      <w:tr>
        <w:trPr>
          <w:cantSplit/>
        </w:trPr>
        <w:tc>
          <w:tcPr>
            <w:tcW w:type="dxa" w:w="2400"/>
            <w:vAlign w:val="center"/>
          </w:tcPr>
          <w:p>
            <w:pPr>
              <w:pStyle w:val="TableText"/>
            </w:pPr>
            <w:r>
              <w:t>真の圧力が運用時に必要ですか。</w:t>
            </w:r>
          </w:p>
        </w:tc>
        <w:tc>
          <w:tcPr>
            <w:tcW w:type="dxa" w:w="6960"/>
            <w:vAlign w:val="center"/>
          </w:tcPr>
          <w:p>
            <w:pPr>
              <w:pStyle w:val="TableText"/>
            </w:pPr>
            <w:r>
              <w:t>スコア計算には不要です。学習時の回帰教師と、事後の精度・校正評価には必要です。</w:t>
            </w:r>
          </w:p>
        </w:tc>
      </w:tr>
      <w:tr>
        <w:trPr>
          <w:cantSplit/>
        </w:trPr>
        <w:tc>
          <w:tcPr>
            <w:tcW w:type="dxa" w:w="2400"/>
            <w:vAlign w:val="center"/>
          </w:tcPr>
          <w:p>
            <w:pPr>
              <w:pStyle w:val="TableText"/>
            </w:pPr>
            <w:r>
              <w:t>既存の圧力モデルにそのまま付けられますか。</w:t>
            </w:r>
          </w:p>
        </w:tc>
        <w:tc>
          <w:tcPr>
            <w:tcW w:type="dxa" w:w="6960"/>
            <w:vAlign w:val="center"/>
          </w:tcPr>
          <w:p>
            <w:pPr>
              <w:pStyle w:val="TableText"/>
            </w:pPr>
            <w:r>
              <w:t>本文方式では内部特徴と回帰ヘッドの変更・学習が必要です。モデル構成とアクセス条件を確認する必要があります。</w:t>
            </w:r>
          </w:p>
        </w:tc>
      </w:tr>
      <w:tr>
        <w:trPr>
          <w:cantSplit/>
        </w:trPr>
        <w:tc>
          <w:tcPr>
            <w:tcW w:type="dxa" w:w="2400"/>
            <w:vAlign w:val="center"/>
          </w:tcPr>
          <w:p>
            <w:pPr>
              <w:pStyle w:val="TableText"/>
            </w:pPr>
            <w:r>
              <w:t>24時間入力なので時系列モデルではありませんか。</w:t>
            </w:r>
          </w:p>
        </w:tc>
        <w:tc>
          <w:tcPr>
            <w:tcW w:type="dxa" w:w="6960"/>
            <w:vAlign w:val="center"/>
          </w:tcPr>
          <w:p>
            <w:pPr>
              <w:pStyle w:val="TableText"/>
            </w:pPr>
            <w:r>
              <w:t>コードでは最後の特徴軸にDenseを適用しており、24時刻間を結合しません。格納単位と計算上の時間依存を区別しています。</w:t>
            </w:r>
          </w:p>
        </w:tc>
      </w:tr>
      <w:tr>
        <w:trPr>
          <w:cantSplit/>
        </w:trPr>
        <w:tc>
          <w:tcPr>
            <w:tcW w:type="dxa" w:w="2400"/>
            <w:vAlign w:val="center"/>
          </w:tcPr>
          <w:p>
            <w:pPr>
              <w:pStyle w:val="TableText"/>
            </w:pPr>
            <w:r>
              <w:t>なぜ密度だけでなく分散も見るのですか。</w:t>
            </w:r>
          </w:p>
        </w:tc>
        <w:tc>
          <w:tcPr>
            <w:tcW w:type="dxa" w:w="6960"/>
            <w:vAlign w:val="center"/>
          </w:tcPr>
          <w:p>
            <w:pPr>
              <w:pStyle w:val="TableText"/>
            </w:pPr>
            <w:r>
              <w:t>密度は入力の希少性、分散は回帰ヘッドを含めた予測の広がりです。どちらが危険な予測誤差を捉えるか比較するためです。</w:t>
            </w:r>
          </w:p>
        </w:tc>
      </w:tr>
      <w:tr>
        <w:trPr>
          <w:cantSplit/>
        </w:trPr>
        <w:tc>
          <w:tcPr>
            <w:tcW w:type="dxa" w:w="2400"/>
            <w:vAlign w:val="center"/>
          </w:tcPr>
          <w:p>
            <w:pPr>
              <w:pStyle w:val="TableText"/>
            </w:pPr>
            <w:r>
              <w:t>閾値はどう決めますか。</w:t>
            </w:r>
          </w:p>
        </w:tc>
        <w:tc>
          <w:tcPr>
            <w:tcW w:type="dxa" w:w="6960"/>
            <w:vAlign w:val="center"/>
          </w:tcPr>
          <w:p>
            <w:pPr>
              <w:pStyle w:val="TableText"/>
            </w:pPr>
            <w:r>
              <w:t>別の正常検証区間で誤報予算に対応する上側分位点を定め、最終テストでは固定します。未来の誤報率保証とは区別します。</w:t>
            </w:r>
          </w:p>
        </w:tc>
      </w:tr>
      <w:tr>
        <w:trPr>
          <w:cantSplit/>
        </w:trPr>
        <w:tc>
          <w:tcPr>
            <w:tcW w:type="dxa" w:w="2400"/>
            <w:vAlign w:val="center"/>
          </w:tcPr>
          <w:p>
            <w:pPr>
              <w:pStyle w:val="TableText"/>
            </w:pPr>
            <w:r>
              <w:t>理論に問題があれば候補から外しますか。</w:t>
            </w:r>
          </w:p>
        </w:tc>
        <w:tc>
          <w:tcPr>
            <w:tcW w:type="dxa" w:w="6960"/>
            <w:vAlign w:val="center"/>
          </w:tcPr>
          <w:p>
            <w:pPr>
              <w:pStyle w:val="TableText"/>
            </w:pPr>
            <w:r>
              <w:t>直ちには外しません。適用範囲の限定を明示し、対象データで検知性能と実装の整合性を確認します。</w:t>
            </w:r>
          </w:p>
        </w:tc>
      </w:tr>
      <w:tr>
        <w:trPr>
          <w:cantSplit/>
        </w:trPr>
        <w:tc>
          <w:tcPr>
            <w:tcW w:type="dxa" w:w="2400"/>
            <w:vAlign w:val="center"/>
          </w:tcPr>
          <w:p>
            <w:pPr>
              <w:pStyle w:val="TableText"/>
            </w:pPr>
            <w:r>
              <w:t>今日実際にどこまで確認しましたか。</w:t>
            </w:r>
          </w:p>
        </w:tc>
        <w:tc>
          <w:tcPr>
            <w:tcW w:type="dxa" w:w="6960"/>
            <w:vAlign w:val="center"/>
          </w:tcPr>
          <w:p>
            <w:pPr>
              <w:pStyle w:val="TableText"/>
            </w:pPr>
            <w:r>
              <w:t>本文・付録・公開コードを読み、同梱気象CSVの件数・時間範囲・窓構成を確認しました。モデルの再学習と性能再現は未実施です。</w:t>
            </w:r>
          </w:p>
        </w:tc>
      </w:tr>
    </w:tbl>
    <w:p>
      <w:pPr>
        <w:spacing w:after="0"/>
        <w:snapToGrid w:val="0"/>
      </w:pPr>
    </w:p>
    <w:p>
      <w:pPr>
        <w:pStyle w:val="Heading1"/>
        <w:pageBreakBefore/>
        <w:snapToGrid w:val="0"/>
      </w:pPr>
      <w:r>
        <w:t>证据索引与后续确认事项</w:t>
      </w:r>
    </w:p>
    <w:p>
      <w:pPr>
        <w:pStyle w:val="Heading2"/>
        <w:snapToGrid w:val="0"/>
      </w:pPr>
      <w:r>
        <w:t>1　来源与可追溯位置</w:t>
      </w:r>
    </w:p>
    <w:p>
      <w:pPr>
        <w:snapToGrid w:val="0"/>
      </w:pPr>
      <w:r>
        <w:t>S1．用户上传的efficient and distance.pdf，25页；正式书目信息：</w:t>
      </w:r>
    </w:p>
    <w:p>
      <w:pPr>
        <w:pStyle w:val="SourceText"/>
        <w:snapToGrid w:val="0"/>
      </w:pPr>
      <w:r/>
      <w:hyperlink r:id="rId11">
        <w:r>
          <w:rPr>
            <w:color w:val="2E74B5"/>
          </w:rPr>
          <w:t>https://proceedings.mlr.press/v238/manh-bui24a.html</w:t>
        </w:r>
      </w:hyperlink>
      <w:r/>
    </w:p>
    <w:p>
      <w:pPr>
        <w:snapToGrid w:val="0"/>
      </w:pPr>
      <w:r>
        <w:t>正式PDF：</w:t>
      </w:r>
      <w:hyperlink r:id="rId12">
        <w:r>
          <w:rPr>
            <w:color w:val="2E74B5"/>
          </w:rPr>
          <w:t>https://proceedings.mlr.press/v238/manh-bui24a/manh-bui24a.pdf</w:t>
        </w:r>
      </w:hyperlink>
      <w:r/>
    </w:p>
    <w:p>
      <w:pPr>
        <w:snapToGrid w:val="0"/>
      </w:pPr>
      <w:r>
        <w:t>正文§3／Algorithm 1／Theorem 3.1／Corollary 3.2为方法依据；Table 2–4为主结果；附录A.4–A.5为理论审读依据；附录B为实现与基线；附录C为补充实验。本报告公式例子和反例均单独标为教学／推导内容。</w:t>
      </w:r>
    </w:p>
    <w:p>
      <w:pPr>
        <w:snapToGrid w:val="0"/>
      </w:pPr>
      <w:r>
        <w:t>C1．作者代码dataset.py：字段处理、按行抽样、分割、标准化、窗口构造；同目录data中的两份CSV用于本报告统计。</w:t>
      </w:r>
    </w:p>
    <w:p>
      <w:pPr>
        <w:pStyle w:val="SourceText"/>
        <w:snapToGrid w:val="0"/>
      </w:pPr>
      <w:r/>
      <w:hyperlink r:id="rId13">
        <w:r>
          <w:rPr>
            <w:color w:val="2E74B5"/>
          </w:rPr>
          <w:t>dataset.py</w:t>
        </w:r>
      </w:hyperlink>
      <w:r/>
    </w:p>
    <w:p>
      <w:pPr>
        <w:snapToGrid w:val="0"/>
      </w:pPr>
      <w:r>
        <w:t>C2．process_data.py：单步训练和24时刻测试的窗口配置。</w:t>
      </w:r>
    </w:p>
    <w:p>
      <w:pPr>
        <w:pStyle w:val="SourceText"/>
        <w:snapToGrid w:val="0"/>
      </w:pPr>
      <w:r/>
      <w:hyperlink r:id="rId14">
        <w:r>
          <w:rPr>
            <w:color w:val="2E74B5"/>
          </w:rPr>
          <w:t>process_data.py</w:t>
        </w:r>
      </w:hyperlink>
      <w:r/>
    </w:p>
    <w:p>
      <w:pPr>
        <w:snapToGrid w:val="0"/>
      </w:pPr>
      <w:r>
        <w:t>C3．robust_regression.py：Dense结构、输入密度、缩放、训练顺序和RealNVP实现。</w:t>
      </w:r>
    </w:p>
    <w:p>
      <w:pPr>
        <w:pStyle w:val="SourceText"/>
        <w:snapToGrid w:val="0"/>
      </w:pPr>
      <w:r/>
      <w:hyperlink r:id="rId15">
        <w:r>
          <w:rPr>
            <w:color w:val="2E74B5"/>
          </w:rPr>
          <w:t>robust_regression.py</w:t>
        </w:r>
      </w:hyperlink>
      <w:r/>
    </w:p>
    <w:p>
      <w:pPr>
        <w:snapToGrid w:val="0"/>
      </w:pPr>
      <w:r>
        <w:t>C4．eval.py：NLL形式、100个分位点的Cal计算、预测展平。</w:t>
      </w:r>
    </w:p>
    <w:p>
      <w:pPr>
        <w:pStyle w:val="SourceText"/>
        <w:snapToGrid w:val="0"/>
      </w:pPr>
      <w:r/>
      <w:hyperlink r:id="rId16">
        <w:r>
          <w:rPr>
            <w:color w:val="2E74B5"/>
          </w:rPr>
          <w:t>eval.py</w:t>
        </w:r>
      </w:hyperlink>
      <w:r/>
    </w:p>
    <w:p>
      <w:pPr>
        <w:snapToGrid w:val="0"/>
      </w:pPr>
      <w:r>
        <w:t>C5．代码主页、README与LICENSE；目录与入口核对。</w:t>
      </w:r>
    </w:p>
    <w:p>
      <w:pPr>
        <w:pStyle w:val="SourceText"/>
        <w:snapToGrid w:val="0"/>
      </w:pPr>
      <w:r/>
      <w:hyperlink r:id="rId17">
        <w:r>
          <w:rPr>
            <w:color w:val="2E74B5"/>
          </w:rPr>
          <w:t>作者公开代码（固定提交）</w:t>
        </w:r>
      </w:hyperlink>
      <w:r/>
    </w:p>
    <w:p>
      <w:pPr>
        <w:snapToGrid w:val="0"/>
      </w:pPr>
      <w:r>
        <w:t>C6．demo/density_regression.py：Toy样本数、范围、噪声及KDE。</w:t>
      </w:r>
    </w:p>
    <w:p>
      <w:pPr>
        <w:pStyle w:val="SourceText"/>
        <w:snapToGrid w:val="0"/>
      </w:pPr>
      <w:r/>
      <w:hyperlink r:id="rId18">
        <w:r>
          <w:rPr>
            <w:color w:val="2E74B5"/>
          </w:rPr>
          <w:t>demo/density_regression.py</w:t>
        </w:r>
      </w:hyperlink>
      <w:r/>
    </w:p>
    <w:p>
      <w:pPr>
        <w:snapToGrid w:val="0"/>
      </w:pPr>
      <w:r>
        <w:t>S3．MPI-BGC气象数据下载与CC BY 4.0条款：</w:t>
      </w:r>
    </w:p>
    <w:p>
      <w:pPr>
        <w:pStyle w:val="SourceText"/>
        <w:snapToGrid w:val="0"/>
      </w:pPr>
      <w:r/>
      <w:hyperlink r:id="rId19">
        <w:r>
          <w:rPr>
            <w:color w:val="2E74B5"/>
          </w:rPr>
          <w:t>https://www.bgc-jena.mpg.de/wetter/weather_data.html</w:t>
        </w:r>
      </w:hyperlink>
      <w:r/>
    </w:p>
    <w:p>
      <w:pPr>
        <w:snapToGrid w:val="0"/>
      </w:pPr>
      <w:r>
        <w:t>S4．UCI Wine Quality：字段、目标、许可。</w:t>
      </w:r>
    </w:p>
    <w:p>
      <w:pPr>
        <w:pStyle w:val="SourceText"/>
        <w:snapToGrid w:val="0"/>
      </w:pPr>
      <w:r/>
      <w:hyperlink r:id="rId20">
        <w:r>
          <w:rPr>
            <w:color w:val="2E74B5"/>
          </w:rPr>
          <w:t>https://archive.ics.uci.edu/dataset/186/wine+quality</w:t>
        </w:r>
      </w:hyperlink>
      <w:r/>
    </w:p>
    <w:p>
      <w:pPr>
        <w:snapToGrid w:val="0"/>
      </w:pPr>
      <w:r>
        <w:t>S5．TensorFlow Datasets官方Wine Quality目录：红／白数据量与输入字段。</w:t>
      </w:r>
    </w:p>
    <w:p>
      <w:pPr>
        <w:pStyle w:val="SourceText"/>
        <w:snapToGrid w:val="0"/>
      </w:pPr>
      <w:r/>
      <w:hyperlink r:id="rId21">
        <w:r>
          <w:rPr>
            <w:color w:val="2E74B5"/>
          </w:rPr>
          <w:t>https://www.tensorflow.org/datasets/catalog/wine_quality</w:t>
        </w:r>
      </w:hyperlink>
      <w:r/>
    </w:p>
    <w:p>
      <w:pPr>
        <w:snapToGrid w:val="0"/>
      </w:pPr>
      <w:r>
        <w:t>S6．NYU Depth V2数据官方说明：原数据组成、下载、引用要求。</w:t>
      </w:r>
    </w:p>
    <w:p>
      <w:pPr>
        <w:pStyle w:val="SourceText"/>
        <w:snapToGrid w:val="0"/>
      </w:pPr>
      <w:r/>
      <w:hyperlink r:id="rId22">
        <w:r>
          <w:rPr>
            <w:color w:val="2E74B5"/>
          </w:rPr>
          <w:t>https://cs.nyu.edu/~fergus/datasets/nyu_depth_v2.html</w:t>
        </w:r>
      </w:hyperlink>
      <w:r/>
    </w:p>
    <w:p>
      <w:pPr>
        <w:snapToGrid w:val="0"/>
      </w:pPr>
      <w:r>
        <w:t>S7．论文所列ApolloScape站点；本次未从当前页面取得有效下载与许可说明。</w:t>
      </w:r>
    </w:p>
    <w:p>
      <w:pPr>
        <w:pStyle w:val="SourceText"/>
        <w:snapToGrid w:val="0"/>
      </w:pPr>
      <w:r/>
      <w:hyperlink r:id="rId23">
        <w:r>
          <w:rPr>
            <w:color w:val="2E74B5"/>
          </w:rPr>
          <w:t>https://apolloscape.auto/</w:t>
        </w:r>
      </w:hyperlink>
      <w:r/>
    </w:p>
    <w:p>
      <w:pPr>
        <w:snapToGrid w:val="0"/>
      </w:pPr>
      <w:r>
        <w:t>所有外部页面核对日期为2026-09-08。官方数据集总体规模、公开代码随附数据规模与论文实际实验样本规模并非天然相同。</w:t>
      </w:r>
    </w:p>
    <w:p>
      <w:pPr>
        <w:pStyle w:val="Heading2"/>
        <w:snapToGrid w:val="0"/>
      </w:pPr>
      <w:r>
        <w:t>2　下一步最有价值的核实事项</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优先级</w:t>
            </w:r>
          </w:p>
        </w:tc>
        <w:tc>
          <w:tcPr>
            <w:tcW w:type="dxa" w:w="3500"/>
            <w:vAlign w:val="center"/>
            <w:shd w:fill="E8EEF5"/>
          </w:tcPr>
          <w:p>
            <w:pPr>
              <w:pStyle w:val="TableText"/>
            </w:pPr>
            <w:r>
              <w:rPr>
                <w:b/>
                <w:color w:val="1F4D78"/>
              </w:rPr>
              <w:t>未解决事项</w:t>
            </w:r>
          </w:p>
        </w:tc>
        <w:tc>
          <w:tcPr>
            <w:tcW w:type="dxa" w:w="3810"/>
            <w:vAlign w:val="center"/>
            <w:shd w:fill="E8EEF5"/>
          </w:tcPr>
          <w:p>
            <w:pPr>
              <w:pStyle w:val="TableText"/>
            </w:pPr>
            <w:r>
              <w:rPr>
                <w:b/>
                <w:color w:val="1F4D78"/>
              </w:rPr>
              <w:t>为什么影响结论</w:t>
            </w:r>
          </w:p>
        </w:tc>
      </w:tr>
      <w:tr>
        <w:trPr>
          <w:cantSplit/>
        </w:trPr>
        <w:tc>
          <w:tcPr>
            <w:tcW w:type="dxa" w:w="2050"/>
            <w:vAlign w:val="center"/>
          </w:tcPr>
          <w:p>
            <w:pPr>
              <w:pStyle w:val="TableText"/>
            </w:pPr>
            <w:r>
              <w:t>高</w:t>
            </w:r>
          </w:p>
        </w:tc>
        <w:tc>
          <w:tcPr>
            <w:tcW w:type="dxa" w:w="3500"/>
            <w:vAlign w:val="center"/>
          </w:tcPr>
          <w:p>
            <w:pPr>
              <w:pStyle w:val="TableText"/>
            </w:pPr>
            <w:r>
              <w:t>确定产生表2的确切脚本、提交和数据版本。</w:t>
            </w:r>
          </w:p>
        </w:tc>
        <w:tc>
          <w:tcPr>
            <w:tcW w:type="dxa" w:w="3810"/>
            <w:vAlign w:val="center"/>
          </w:tcPr>
          <w:p>
            <w:pPr>
              <w:pStyle w:val="TableText"/>
            </w:pPr>
            <w:r>
              <w:t>当前天气实现与正文流程不同，尚不能完成忠实复现。</w:t>
            </w:r>
          </w:p>
        </w:tc>
      </w:tr>
      <w:tr>
        <w:trPr>
          <w:cantSplit/>
        </w:trPr>
        <w:tc>
          <w:tcPr>
            <w:tcW w:type="dxa" w:w="2050"/>
            <w:vAlign w:val="center"/>
          </w:tcPr>
          <w:p>
            <w:pPr>
              <w:pStyle w:val="TableText"/>
            </w:pPr>
            <w:r>
              <w:t>高</w:t>
            </w:r>
          </w:p>
        </w:tc>
        <w:tc>
          <w:tcPr>
            <w:tcW w:type="dxa" w:w="3500"/>
            <w:vAlign w:val="center"/>
          </w:tcPr>
          <w:p>
            <w:pPr>
              <w:pStyle w:val="TableText"/>
            </w:pPr>
            <w:r>
              <w:t>验证Flow训练／打分方向、Jacobian与密度缩放。</w:t>
            </w:r>
          </w:p>
        </w:tc>
        <w:tc>
          <w:tcPr>
            <w:tcW w:type="dxa" w:w="3810"/>
            <w:vAlign w:val="center"/>
          </w:tcPr>
          <w:p>
            <w:pPr>
              <w:pStyle w:val="TableText"/>
            </w:pPr>
            <w:r>
              <w:t>影响“低密度”分数和预测方差是否具有预期含义。</w:t>
            </w:r>
          </w:p>
        </w:tc>
      </w:tr>
      <w:tr>
        <w:trPr>
          <w:cantSplit/>
        </w:trPr>
        <w:tc>
          <w:tcPr>
            <w:tcW w:type="dxa" w:w="2050"/>
            <w:vAlign w:val="center"/>
          </w:tcPr>
          <w:p>
            <w:pPr>
              <w:pStyle w:val="TableText"/>
            </w:pPr>
            <w:r>
              <w:t>高</w:t>
            </w:r>
          </w:p>
        </w:tc>
        <w:tc>
          <w:tcPr>
            <w:tcW w:type="dxa" w:w="3500"/>
            <w:vAlign w:val="center"/>
          </w:tcPr>
          <w:p>
            <w:pPr>
              <w:pStyle w:val="TableText"/>
            </w:pPr>
            <w:r>
              <w:t>选定学习外分数与阈值，独立评估①②③。</w:t>
            </w:r>
          </w:p>
        </w:tc>
        <w:tc>
          <w:tcPr>
            <w:tcW w:type="dxa" w:w="3810"/>
            <w:vAlign w:val="center"/>
          </w:tcPr>
          <w:p>
            <w:pPr>
              <w:pStyle w:val="TableText"/>
            </w:pPr>
            <w:r>
              <w:t>论文尚未提供本实习最关心的检测率／误检率证据。</w:t>
            </w:r>
          </w:p>
        </w:tc>
      </w:tr>
      <w:tr>
        <w:trPr>
          <w:cantSplit/>
        </w:trPr>
        <w:tc>
          <w:tcPr>
            <w:tcW w:type="dxa" w:w="2050"/>
            <w:vAlign w:val="center"/>
          </w:tcPr>
          <w:p>
            <w:pPr>
              <w:pStyle w:val="TableText"/>
            </w:pPr>
            <w:r>
              <w:t>中</w:t>
            </w:r>
          </w:p>
        </w:tc>
        <w:tc>
          <w:tcPr>
            <w:tcW w:type="dxa" w:w="3500"/>
            <w:vAlign w:val="center"/>
          </w:tcPr>
          <w:p>
            <w:pPr>
              <w:pStyle w:val="TableText"/>
            </w:pPr>
            <w:r>
              <w:t>重叠窗口、时间戳异常、标准化及指标定义统一。</w:t>
            </w:r>
          </w:p>
        </w:tc>
        <w:tc>
          <w:tcPr>
            <w:tcW w:type="dxa" w:w="3810"/>
            <w:vAlign w:val="center"/>
          </w:tcPr>
          <w:p>
            <w:pPr>
              <w:pStyle w:val="TableText"/>
            </w:pPr>
            <w:r>
              <w:t>影响有效样本量、预测跨度和结果可比性。</w:t>
            </w:r>
          </w:p>
        </w:tc>
      </w:tr>
      <w:tr>
        <w:trPr>
          <w:cantSplit/>
        </w:trPr>
        <w:tc>
          <w:tcPr>
            <w:tcW w:type="dxa" w:w="2050"/>
            <w:vAlign w:val="center"/>
          </w:tcPr>
          <w:p>
            <w:pPr>
              <w:pStyle w:val="TableText"/>
            </w:pPr>
            <w:r>
              <w:t>中</w:t>
            </w:r>
          </w:p>
        </w:tc>
        <w:tc>
          <w:tcPr>
            <w:tcW w:type="dxa" w:w="3500"/>
            <w:vAlign w:val="center"/>
          </w:tcPr>
          <w:p>
            <w:pPr>
              <w:pStyle w:val="TableText"/>
            </w:pPr>
            <w:r>
              <w:t>补齐UCI／视觉实验使用清单与许可。</w:t>
            </w:r>
          </w:p>
        </w:tc>
        <w:tc>
          <w:tcPr>
            <w:tcW w:type="dxa" w:w="3810"/>
            <w:vAlign w:val="center"/>
          </w:tcPr>
          <w:p>
            <w:pPr>
              <w:pStyle w:val="TableText"/>
            </w:pPr>
            <w:r>
              <w:t>用于完整复现；不阻碍先理解核心方法。</w:t>
            </w:r>
          </w:p>
        </w:tc>
      </w:tr>
      <w:tr>
        <w:trPr>
          <w:cantSplit/>
        </w:trPr>
        <w:tc>
          <w:tcPr>
            <w:tcW w:type="dxa" w:w="2050"/>
            <w:vAlign w:val="center"/>
          </w:tcPr>
          <w:p>
            <w:pPr>
              <w:pStyle w:val="TableText"/>
            </w:pPr>
            <w:r>
              <w:t>中</w:t>
            </w:r>
          </w:p>
        </w:tc>
        <w:tc>
          <w:tcPr>
            <w:tcW w:type="dxa" w:w="3500"/>
            <w:vAlign w:val="center"/>
          </w:tcPr>
          <w:p>
            <w:pPr>
              <w:pStyle w:val="TableText"/>
            </w:pPr>
            <w:r>
              <w:t>获得山原论文原文并核对模型输入、输出及结构。</w:t>
            </w:r>
          </w:p>
        </w:tc>
        <w:tc>
          <w:tcPr>
            <w:tcW w:type="dxa" w:w="3810"/>
            <w:vAlign w:val="center"/>
          </w:tcPr>
          <w:p>
            <w:pPr>
              <w:pStyle w:val="TableText"/>
            </w:pPr>
            <w:r>
              <w:t>当前只能做用途层面关联，不能引用未见的内部结论。</w:t>
            </w:r>
          </w:p>
        </w:tc>
      </w:tr>
    </w:tbl>
    <w:p>
      <w:pPr>
        <w:spacing w:after="0"/>
        <w:snapToGrid w:val="0"/>
      </w:pPr>
    </w:p>
    <w:p>
      <w:pPr>
        <w:pStyle w:val="Heading2"/>
        <w:snapToGrid w:val="0"/>
      </w:pPr>
      <w:r>
        <w:t>3　中文自检：你能回答这些就基本理解了</w:t>
      </w:r>
    </w:p>
    <w:p>
      <w:pPr>
        <w:pStyle w:val="ReportBullet"/>
        <w:keepNext/>
        <w:numPr>
          <w:ilvl w:val="0"/>
          <w:numId w:val="51"/>
        </w:numPr>
        <w:snapToGrid w:val="0"/>
      </w:pPr>
      <w:r>
        <w:t>不看公式，解释“为什么低密度会让区间变宽”，同时说出“其他条件固定”的限定。</w:t>
      </w:r>
    </w:p>
    <w:p>
      <w:pPr>
        <w:pStyle w:val="ReportBullet"/>
        <w:keepNext/>
        <w:numPr>
          <w:ilvl w:val="0"/>
          <w:numId w:val="51"/>
        </w:numPr>
        <w:snapToGrid w:val="0"/>
      </w:pPr>
      <w:r>
        <w:t>说明为什么μ=σ²(−2qhμ)中的密度会抵消，以及为什么重训头仍可能改变μ。</w:t>
      </w:r>
    </w:p>
    <w:p>
      <w:pPr>
        <w:pStyle w:val="ReportBullet"/>
        <w:keepNext/>
        <w:numPr>
          <w:ilvl w:val="0"/>
          <w:numId w:val="51"/>
        </w:numPr>
        <w:snapToGrid w:val="0"/>
      </w:pPr>
      <w:r>
        <w:t>区分真实回归标签、域来源标签与故障异常标签。</w:t>
      </w:r>
    </w:p>
    <w:p>
      <w:pPr>
        <w:pStyle w:val="ReportBullet"/>
        <w:keepNext/>
        <w:numPr>
          <w:ilvl w:val="0"/>
          <w:numId w:val="51"/>
        </w:numPr>
        <w:snapToGrid w:val="0"/>
      </w:pPr>
      <w:r>
        <w:t>解释“时序数据”“窗口张量”“真正跨时刻建模”三个概念的差别。</w:t>
      </w:r>
    </w:p>
    <w:p>
      <w:pPr>
        <w:pStyle w:val="ReportBullet"/>
        <w:keepNext/>
        <w:numPr>
          <w:ilvl w:val="0"/>
          <w:numId w:val="51"/>
        </w:numPr>
        <w:snapToGrid w:val="0"/>
      </w:pPr>
      <w:r>
        <w:t>用天气表2指出一种本方法更好的指标和一种它不是最好的指标。</w:t>
      </w:r>
    </w:p>
    <w:p>
      <w:pPr>
        <w:pStyle w:val="ReportBullet"/>
        <w:numPr>
          <w:ilvl w:val="0"/>
          <w:numId w:val="51"/>
        </w:numPr>
        <w:snapToGrid w:val="0"/>
      </w:pPr>
      <w:r>
        <w:t>说清当前尚不能回答的两个问题：固定误报率下的检出率，以及③类关系变化的独立检测效果。</w:t>
      </w:r>
    </w:p>
    <w:p>
      <w:pPr>
        <w:snapToGrid w:val="0"/>
      </w:pPr>
      <w:r>
        <w:t>本报告已经完成对当前可得证据的精读与研究定位。上述待核实项属于证据空白和后续实验工作，不以猜测补齐。</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88A"/>
        <w:sz w:val="16"/>
      </w:rPr>
      <w:t xml:space="preserve">2026-09-08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Text"/>
    </w:pPr>
    <w:r>
      <w:rPr>
        <w:color w:val="68788A"/>
        <w:sz w:val="16"/>
      </w:rPr>
      <w:t>P01  /  Density-Regression     论文精读・研究報告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tabs>
          <w:tab w:val="num" w:pos="540"/>
        </w:tabs>
        <w:ind w:left="540" w:hanging="271"/>
        <w:spacing w:before="0" w:after="80" w:line="30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0" w:lineRule="exact"/>
    </w:pPr>
    <w:rPr>
      <w:rFonts w:ascii="Noto Sans CJK SC" w:hAnsi="Noto Sans CJK SC" w:eastAsia="Noto Sans CJK S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8" w:lineRule="auto" w:before="0"/>
      <w:contextualSpacing/>
    </w:pPr>
    <w:rPr>
      <w:rFonts w:asciiTheme="majorHAnsi" w:eastAsiaTheme="majorEastAsia" w:hAnsiTheme="majorHAnsi" w:cstheme="majorBidi" w:ascii="Noto Sans CJK SC" w:hAnsi="Noto Sans CJK SC" w:eastAsia="Noto Sans CJK SC"/>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0" w:lineRule="exact"/>
    </w:pPr>
    <w:rPr>
      <w:rFonts w:ascii="Noto Sans CJK SC" w:hAnsi="Noto Sans CJK SC" w:eastAsia="Noto Sans CJK SC"/>
      <w:b w:val="0"/>
      <w:color w:val="222222"/>
      <w:sz w:val="19"/>
    </w:rPr>
  </w:style>
  <w:style w:type="paragraph" w:customStyle="1" w:styleId="EquationText">
    <w:name w:val="Equation Text"/>
    <w:pPr>
      <w:keepNext/>
      <w:spacing w:before="100" w:after="140" w:line="320" w:lineRule="exact"/>
    </w:pPr>
    <w:rPr>
      <w:rFonts w:ascii="Noto Sans CJK SC" w:hAnsi="Noto Sans CJK SC" w:eastAsia="Noto Sans CJK SC"/>
      <w:b w:val="0"/>
      <w:color w:val="222222"/>
      <w:sz w:val="22"/>
    </w:rPr>
  </w:style>
  <w:style w:type="paragraph" w:customStyle="1" w:styleId="SourceText">
    <w:name w:val="Source Text"/>
    <w:pPr>
      <w:spacing w:before="80" w:after="80" w:line="320" w:lineRule="exact"/>
    </w:pPr>
    <w:rPr>
      <w:rFonts w:ascii="Noto Sans CJK SC" w:hAnsi="Noto Sans CJK SC" w:eastAsia="Noto Sans CJK SC"/>
      <w:b w:val="0"/>
      <w:color w:val="222222"/>
      <w:sz w:val="18"/>
    </w:rPr>
  </w:style>
  <w:style w:type="paragraph" w:customStyle="1" w:styleId="ReportBullet">
    <w:name w:val="Report Bullet"/>
    <w:pPr>
      <w:spacing w:before="0" w:after="80" w:line="320" w:lineRule="exact"/>
    </w:pPr>
    <w:rPr>
      <w:rFonts w:ascii="Noto Sans CJK SC" w:hAnsi="Noto Sans CJK SC" w:eastAsia="Noto Sans CJK SC"/>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mlr.press/v238/manh-bui24a.html" TargetMode="External"/><Relationship Id="rId12" Type="http://schemas.openxmlformats.org/officeDocument/2006/relationships/hyperlink" Target="https://proceedings.mlr.press/v238/manh-bui24a/manh-bui24a.pdf" TargetMode="External"/><Relationship Id="rId13" Type="http://schemas.openxmlformats.org/officeDocument/2006/relationships/hyperlink" Target="https://github.com/Angie-Lab-JHU/density_regression/blob/ab79bf7802f41978bcbe9ce1a5708e01b9e5e193/time_series/dataset.py" TargetMode="External"/><Relationship Id="rId14" Type="http://schemas.openxmlformats.org/officeDocument/2006/relationships/hyperlink" Target="https://github.com/Angie-Lab-JHU/density_regression/blob/ab79bf7802f41978bcbe9ce1a5708e01b9e5e193/time_series/process_data.py" TargetMode="External"/><Relationship Id="rId15" Type="http://schemas.openxmlformats.org/officeDocument/2006/relationships/hyperlink" Target="https://github.com/Angie-Lab-JHU/density_regression/blob/ab79bf7802f41978bcbe9ce1a5708e01b9e5e193/time_series/robust_regression.py" TargetMode="External"/><Relationship Id="rId16" Type="http://schemas.openxmlformats.org/officeDocument/2006/relationships/hyperlink" Target="https://github.com/Angie-Lab-JHU/density_regression/blob/ab79bf7802f41978bcbe9ce1a5708e01b9e5e193/time_series/eval.py" TargetMode="External"/><Relationship Id="rId17" Type="http://schemas.openxmlformats.org/officeDocument/2006/relationships/hyperlink" Target="https://github.com/Angie-Lab-JHU/density_regression/tree/ab79bf7802f41978bcbe9ce1a5708e01b9e5e193" TargetMode="External"/><Relationship Id="rId18" Type="http://schemas.openxmlformats.org/officeDocument/2006/relationships/hyperlink" Target="https://github.com/Angie-Lab-JHU/density_regression/blob/ab79bf7802f41978bcbe9ce1a5708e01b9e5e193/demo/density_regression.py" TargetMode="External"/><Relationship Id="rId19" Type="http://schemas.openxmlformats.org/officeDocument/2006/relationships/hyperlink" Target="https://www.bgc-jena.mpg.de/wetter/weather_data.html" TargetMode="External"/><Relationship Id="rId20" Type="http://schemas.openxmlformats.org/officeDocument/2006/relationships/hyperlink" Target="https://archive.ics.uci.edu/dataset/186/wine+quality" TargetMode="External"/><Relationship Id="rId21" Type="http://schemas.openxmlformats.org/officeDocument/2006/relationships/hyperlink" Target="https://www.tensorflow.org/datasets/catalog/wine_quality" TargetMode="External"/><Relationship Id="rId22" Type="http://schemas.openxmlformats.org/officeDocument/2006/relationships/hyperlink" Target="https://cs.nyu.edu/~fergus/datasets/nyu_depth_v2.html" TargetMode="External"/><Relationship Id="rId23" Type="http://schemas.openxmlformats.org/officeDocument/2006/relationships/hyperlink" Target="https://apolloscape.au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Density-Regression 论文精读与研究分析</dc:title>
  <dc:subject>中文精读／日本語研究報告／口頭説明</dc:subject>
  <dc:creator>研究整理</dc:creator>
  <cp:keywords>学習外入力データ, Density-Regression, OOD, 回帰, 気象時系列</cp:keywords>
  <dc:description>generated by python-docx</dc:description>
  <cp:lastModifiedBy/>
  <cp:revision>1</cp:revision>
  <dcterms:created xsi:type="dcterms:W3CDTF">2013-12-23T23:15:00Z</dcterms:created>
  <dcterms:modified xsi:type="dcterms:W3CDTF">2013-12-23T23:15:00Z</dcterms:modified>
  <cp:category/>
</cp:coreProperties>
</file>