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Anomaly Transformer</w:t>
        <w:br/>
        <w:t>论文精读与研究分析报告</w:t>
      </w:r>
    </w:p>
    <w:p>
      <w:pPr>
        <w:jc w:val="center"/>
      </w:pPr>
      <w:r>
        <w:rPr>
          <w:i/>
          <w:sz w:val="24"/>
        </w:rPr>
        <w:t>Anomaly Transformer: Time Series Anomaly Detection with Association Discrepancy</w:t>
      </w:r>
    </w:p>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项目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论文</w:t>
            </w:r>
          </w:p>
        </w:tc>
        <w:tc>
          <w:tcPr>
            <w:tcW w:type="dxa" w:w="5141"/>
            <w:vAlign w:val="center"/>
          </w:tcPr>
          <w:p>
            <w:pPr>
              <w:spacing w:after="0"/>
            </w:pPr>
            <w:r>
              <w:rPr>
                <w:rFonts w:ascii="Arial" w:hAnsi="Arial" w:eastAsia="Microsoft YaHei"/>
                <w:sz w:val="15"/>
              </w:rPr>
              <w:t>Jiehui Xu, Haixu Wu, Jianmin Wang, Mingsheng Long, ICLR 2022</w:t>
            </w:r>
          </w:p>
        </w:tc>
      </w:tr>
      <w:tr>
        <w:tc>
          <w:tcPr>
            <w:tcW w:type="dxa" w:w="5141"/>
            <w:vAlign w:val="center"/>
          </w:tcPr>
          <w:p>
            <w:pPr>
              <w:spacing w:after="0"/>
            </w:pPr>
            <w:r>
              <w:rPr>
                <w:rFonts w:ascii="Arial" w:hAnsi="Arial" w:eastAsia="Microsoft YaHei"/>
                <w:sz w:val="15"/>
              </w:rPr>
              <w:t>研究定位</w:t>
            </w:r>
          </w:p>
        </w:tc>
        <w:tc>
          <w:tcPr>
            <w:tcW w:type="dxa" w:w="5141"/>
            <w:vAlign w:val="center"/>
          </w:tcPr>
          <w:p>
            <w:pPr>
              <w:spacing w:after="0"/>
            </w:pPr>
            <w:r>
              <w:rPr>
                <w:rFonts w:ascii="Arial" w:hAnsi="Arial" w:eastAsia="Microsoft YaHei"/>
                <w:sz w:val="15"/>
              </w:rPr>
              <w:t>面向多变量时间序列数值输入回归模型的“学習外入力データ検知”候选算法</w:t>
            </w:r>
          </w:p>
        </w:tc>
      </w:tr>
      <w:tr>
        <w:tc>
          <w:tcPr>
            <w:tcW w:type="dxa" w:w="5141"/>
            <w:vAlign w:val="center"/>
          </w:tcPr>
          <w:p>
            <w:pPr>
              <w:spacing w:after="0"/>
            </w:pPr>
            <w:r>
              <w:rPr>
                <w:rFonts w:ascii="Arial" w:hAnsi="Arial" w:eastAsia="Microsoft YaHei"/>
                <w:sz w:val="15"/>
              </w:rPr>
              <w:t>核心思想</w:t>
            </w:r>
          </w:p>
        </w:tc>
        <w:tc>
          <w:tcPr>
            <w:tcW w:type="dxa" w:w="5141"/>
            <w:vAlign w:val="center"/>
          </w:tcPr>
          <w:p>
            <w:pPr>
              <w:spacing w:after="0"/>
            </w:pPr>
            <w:r>
              <w:rPr>
                <w:rFonts w:ascii="Arial" w:hAnsi="Arial" w:eastAsia="Microsoft YaHei"/>
                <w:sz w:val="15"/>
              </w:rPr>
              <w:t>用时间点之间的 association discrepancy（先验关联 vs. 序列关联差异）构造异常判据，并与重构误差联合</w:t>
            </w:r>
          </w:p>
        </w:tc>
      </w:tr>
      <w:tr>
        <w:tc>
          <w:tcPr>
            <w:tcW w:type="dxa" w:w="5141"/>
            <w:vAlign w:val="center"/>
          </w:tcPr>
          <w:p>
            <w:pPr>
              <w:spacing w:after="0"/>
            </w:pPr>
            <w:r>
              <w:rPr>
                <w:rFonts w:ascii="Arial" w:hAnsi="Arial" w:eastAsia="Microsoft YaHei"/>
                <w:sz w:val="15"/>
              </w:rPr>
              <w:t>模型组件</w:t>
            </w:r>
          </w:p>
        </w:tc>
        <w:tc>
          <w:tcPr>
            <w:tcW w:type="dxa" w:w="5141"/>
            <w:vAlign w:val="center"/>
          </w:tcPr>
          <w:p>
            <w:pPr>
              <w:spacing w:after="0"/>
            </w:pPr>
            <w:r>
              <w:rPr>
                <w:rFonts w:ascii="Arial" w:hAnsi="Arial" w:eastAsia="Microsoft YaHei"/>
                <w:sz w:val="15"/>
              </w:rPr>
              <w:t>Anomaly-Attention + learnable Gaussian prior-association + self-attention series-association + minimax learning</w:t>
            </w:r>
          </w:p>
        </w:tc>
      </w:tr>
      <w:tr>
        <w:tc>
          <w:tcPr>
            <w:tcW w:type="dxa" w:w="5141"/>
            <w:vAlign w:val="center"/>
          </w:tcPr>
          <w:p>
            <w:pPr>
              <w:spacing w:after="0"/>
            </w:pPr>
            <w:r>
              <w:rPr>
                <w:rFonts w:ascii="Arial" w:hAnsi="Arial" w:eastAsia="Microsoft YaHei"/>
                <w:sz w:val="15"/>
              </w:rPr>
              <w:t>应用参照</w:t>
            </w:r>
          </w:p>
        </w:tc>
        <w:tc>
          <w:tcPr>
            <w:tcW w:type="dxa" w:w="5141"/>
            <w:vAlign w:val="center"/>
          </w:tcPr>
          <w:p>
            <w:pPr>
              <w:spacing w:after="0"/>
            </w:pPr>
            <w:r>
              <w:rPr>
                <w:rFonts w:ascii="Arial" w:hAnsi="Arial" w:eastAsia="Microsoft YaHei"/>
                <w:sz w:val="15"/>
              </w:rPr>
              <w:t>送水系统状态/末端值回归；净水处理未来浑浊度回归</w:t>
            </w:r>
          </w:p>
        </w:tc>
      </w:tr>
      <w:tr>
        <w:tc>
          <w:tcPr>
            <w:tcW w:type="dxa" w:w="5141"/>
            <w:vAlign w:val="center"/>
          </w:tcPr>
          <w:p>
            <w:pPr>
              <w:spacing w:after="0"/>
            </w:pPr>
            <w:r>
              <w:rPr>
                <w:rFonts w:ascii="Arial" w:hAnsi="Arial" w:eastAsia="Microsoft YaHei"/>
                <w:sz w:val="15"/>
              </w:rPr>
              <w:t>文档</w:t>
            </w:r>
          </w:p>
        </w:tc>
        <w:tc>
          <w:tcPr>
            <w:tcW w:type="dxa" w:w="5141"/>
            <w:vAlign w:val="center"/>
          </w:tcPr>
          <w:p>
            <w:pPr>
              <w:spacing w:after="0"/>
            </w:pPr>
            <w:r>
              <w:rPr>
                <w:rFonts w:ascii="Arial" w:hAnsi="Arial" w:eastAsia="Microsoft YaHei"/>
                <w:sz w:val="15"/>
              </w:rPr>
              <w:t>Part I 中文精读；Part II-A 中文报告；Part II-B 日文报告；Part III 口头汇报稿</w:t>
            </w:r>
          </w:p>
        </w:tc>
      </w:tr>
    </w:tbl>
    <w:p>
      <w:r>
        <w:br w:type="page"/>
      </w:r>
    </w:p>
    <w:p>
      <w:pPr>
        <w:pStyle w:val="Title"/>
      </w:pPr>
      <w:r>
        <w:t>Part I　论文精读与理解（中文）</w:t>
      </w:r>
    </w:p>
    <w:p>
      <w:pPr>
        <w:pStyle w:val="Heading1"/>
      </w:pPr>
      <w:r>
        <w:t>1. 这篇论文到底在解决什么问题？</w:t>
      </w:r>
    </w:p>
    <w:p>
      <w:r>
        <w:t>Anomaly Transformer研究的是无监督时间序列异常检测：在没有训练标签的情况下，对每一个时间点判断其是否异常。论文的核心问题不是“重构误差能否变大”，而是能否找到一种比逐点重构/预测更有辨别力的时序异常判据。</w:t>
      </w:r>
    </w:p>
    <w:p>
      <w:r>
        <w:t>作者观察到，正常时间点通常可以和整个时间窗口中较远的其他正常时刻建立稳定的全局关联，例如周期、趋势、重复工况；异常点因为稀少，很难与整个序列建立丰富关联，其注意力更容易集中在邻近时刻。作者把这种差异定义为 Association Discrepancy。</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pPr>
              <w:spacing w:after="0"/>
            </w:pPr>
            <w:r>
              <w:rPr>
                <w:rFonts w:ascii="Arial" w:hAnsi="Arial" w:eastAsia="Microsoft YaHei"/>
                <w:sz w:val="15"/>
              </w:rPr>
              <w:t>对象</w:t>
            </w:r>
          </w:p>
        </w:tc>
        <w:tc>
          <w:tcPr>
            <w:tcW w:type="dxa" w:w="2570"/>
            <w:shd w:fill="D9EAF7"/>
            <w:vAlign w:val="center"/>
          </w:tcPr>
          <w:p>
            <w:pPr>
              <w:spacing w:after="0"/>
            </w:pPr>
            <w:r>
              <w:rPr>
                <w:rFonts w:ascii="Arial" w:hAnsi="Arial" w:eastAsia="Microsoft YaHei"/>
                <w:sz w:val="15"/>
              </w:rPr>
              <w:t>正常点</w:t>
            </w:r>
          </w:p>
        </w:tc>
        <w:tc>
          <w:tcPr>
            <w:tcW w:type="dxa" w:w="2570"/>
            <w:shd w:fill="D9EAF7"/>
            <w:vAlign w:val="center"/>
          </w:tcPr>
          <w:p>
            <w:pPr>
              <w:spacing w:after="0"/>
            </w:pPr>
            <w:r>
              <w:rPr>
                <w:rFonts w:ascii="Arial" w:hAnsi="Arial" w:eastAsia="Microsoft YaHei"/>
                <w:sz w:val="15"/>
              </w:rPr>
              <w:t>异常点</w:t>
            </w:r>
          </w:p>
        </w:tc>
        <w:tc>
          <w:tcPr>
            <w:tcW w:type="dxa" w:w="2570"/>
            <w:shd w:fill="D9EAF7"/>
            <w:vAlign w:val="center"/>
          </w:tcPr>
          <w:p>
            <w:pPr>
              <w:spacing w:after="0"/>
            </w:pPr>
            <w:r>
              <w:rPr>
                <w:rFonts w:ascii="Arial" w:hAnsi="Arial" w:eastAsia="Microsoft YaHei"/>
                <w:sz w:val="15"/>
              </w:rPr>
              <w:t>对本课题的直观意义</w:t>
            </w:r>
          </w:p>
        </w:tc>
      </w:tr>
      <w:tr>
        <w:tc>
          <w:tcPr>
            <w:tcW w:type="dxa" w:w="2570"/>
            <w:vAlign w:val="center"/>
          </w:tcPr>
          <w:p>
            <w:pPr>
              <w:spacing w:after="0"/>
            </w:pPr>
            <w:r>
              <w:rPr>
                <w:rFonts w:ascii="Arial" w:hAnsi="Arial" w:eastAsia="Microsoft YaHei"/>
                <w:sz w:val="15"/>
              </w:rPr>
              <w:t>时间关联</w:t>
            </w:r>
          </w:p>
        </w:tc>
        <w:tc>
          <w:tcPr>
            <w:tcW w:type="dxa" w:w="2570"/>
            <w:vAlign w:val="center"/>
          </w:tcPr>
          <w:p>
            <w:pPr>
              <w:spacing w:after="0"/>
            </w:pPr>
            <w:r>
              <w:rPr>
                <w:rFonts w:ascii="Arial" w:hAnsi="Arial" w:eastAsia="Microsoft YaHei"/>
                <w:sz w:val="15"/>
              </w:rPr>
              <w:t>可与较远时间点建立全局关联</w:t>
            </w:r>
          </w:p>
        </w:tc>
        <w:tc>
          <w:tcPr>
            <w:tcW w:type="dxa" w:w="2570"/>
            <w:vAlign w:val="center"/>
          </w:tcPr>
          <w:p>
            <w:pPr>
              <w:spacing w:after="0"/>
            </w:pPr>
            <w:r>
              <w:rPr>
                <w:rFonts w:ascii="Arial" w:hAnsi="Arial" w:eastAsia="Microsoft YaHei"/>
                <w:sz w:val="15"/>
              </w:rPr>
              <w:t>关联更集中于邻近区域</w:t>
            </w:r>
          </w:p>
        </w:tc>
        <w:tc>
          <w:tcPr>
            <w:tcW w:type="dxa" w:w="2570"/>
            <w:vAlign w:val="center"/>
          </w:tcPr>
          <w:p>
            <w:pPr>
              <w:spacing w:after="0"/>
            </w:pPr>
            <w:r>
              <w:rPr>
                <w:rFonts w:ascii="Arial" w:hAnsi="Arial" w:eastAsia="Microsoft YaHei"/>
                <w:sz w:val="15"/>
              </w:rPr>
              <w:t>判断当前输入的时序关系是否属于历史正常模式</w:t>
            </w:r>
          </w:p>
        </w:tc>
      </w:tr>
      <w:tr>
        <w:tc>
          <w:tcPr>
            <w:tcW w:type="dxa" w:w="2570"/>
            <w:vAlign w:val="center"/>
          </w:tcPr>
          <w:p>
            <w:pPr>
              <w:spacing w:after="0"/>
            </w:pPr>
            <w:r>
              <w:rPr>
                <w:rFonts w:ascii="Arial" w:hAnsi="Arial" w:eastAsia="Microsoft YaHei"/>
                <w:sz w:val="15"/>
              </w:rPr>
              <w:t>Association Discrepancy</w:t>
            </w:r>
          </w:p>
        </w:tc>
        <w:tc>
          <w:tcPr>
            <w:tcW w:type="dxa" w:w="2570"/>
            <w:vAlign w:val="center"/>
          </w:tcPr>
          <w:p>
            <w:pPr>
              <w:spacing w:after="0"/>
            </w:pPr>
            <w:r>
              <w:rPr>
                <w:rFonts w:ascii="Arial" w:hAnsi="Arial" w:eastAsia="Microsoft YaHei"/>
                <w:sz w:val="15"/>
              </w:rPr>
              <w:t>较大</w:t>
            </w:r>
          </w:p>
        </w:tc>
        <w:tc>
          <w:tcPr>
            <w:tcW w:type="dxa" w:w="2570"/>
            <w:vAlign w:val="center"/>
          </w:tcPr>
          <w:p>
            <w:pPr>
              <w:spacing w:after="0"/>
            </w:pPr>
            <w:r>
              <w:rPr>
                <w:rFonts w:ascii="Arial" w:hAnsi="Arial" w:eastAsia="Microsoft YaHei"/>
                <w:sz w:val="15"/>
              </w:rPr>
              <w:t>较小</w:t>
            </w:r>
          </w:p>
        </w:tc>
        <w:tc>
          <w:tcPr>
            <w:tcW w:type="dxa" w:w="2570"/>
            <w:vAlign w:val="center"/>
          </w:tcPr>
          <w:p>
            <w:pPr>
              <w:spacing w:after="0"/>
            </w:pPr>
            <w:r>
              <w:rPr>
                <w:rFonts w:ascii="Arial" w:hAnsi="Arial" w:eastAsia="Microsoft YaHei"/>
                <w:sz w:val="15"/>
              </w:rPr>
              <w:t>不是单纯看数值是否越界，而是看“关系结构”是否异常</w:t>
            </w:r>
          </w:p>
        </w:tc>
      </w:tr>
      <w:tr>
        <w:tc>
          <w:tcPr>
            <w:tcW w:type="dxa" w:w="2570"/>
            <w:vAlign w:val="center"/>
          </w:tcPr>
          <w:p>
            <w:pPr>
              <w:spacing w:after="0"/>
            </w:pPr>
            <w:r>
              <w:rPr>
                <w:rFonts w:ascii="Arial" w:hAnsi="Arial" w:eastAsia="Microsoft YaHei"/>
                <w:sz w:val="15"/>
              </w:rPr>
              <w:t>最终异常分数</w:t>
            </w:r>
          </w:p>
        </w:tc>
        <w:tc>
          <w:tcPr>
            <w:tcW w:type="dxa" w:w="2570"/>
            <w:vAlign w:val="center"/>
          </w:tcPr>
          <w:p>
            <w:pPr>
              <w:spacing w:after="0"/>
            </w:pPr>
            <w:r>
              <w:rPr>
                <w:rFonts w:ascii="Arial" w:hAnsi="Arial" w:eastAsia="Microsoft YaHei"/>
                <w:sz w:val="15"/>
              </w:rPr>
              <w:t>重构误差×关联权重后较低</w:t>
            </w:r>
          </w:p>
        </w:tc>
        <w:tc>
          <w:tcPr>
            <w:tcW w:type="dxa" w:w="2570"/>
            <w:vAlign w:val="center"/>
          </w:tcPr>
          <w:p>
            <w:pPr>
              <w:spacing w:after="0"/>
            </w:pPr>
            <w:r>
              <w:rPr>
                <w:rFonts w:ascii="Arial" w:hAnsi="Arial" w:eastAsia="Microsoft YaHei"/>
                <w:sz w:val="15"/>
              </w:rPr>
              <w:t>通常较高</w:t>
            </w:r>
          </w:p>
        </w:tc>
        <w:tc>
          <w:tcPr>
            <w:tcW w:type="dxa" w:w="2570"/>
            <w:vAlign w:val="center"/>
          </w:tcPr>
          <w:p>
            <w:pPr>
              <w:spacing w:after="0"/>
            </w:pPr>
            <w:r>
              <w:rPr>
                <w:rFonts w:ascii="Arial" w:hAnsi="Arial" w:eastAsia="Microsoft YaHei"/>
                <w:sz w:val="15"/>
              </w:rPr>
              <w:t>可作为回归器之前的独立输入监视分数</w:t>
            </w:r>
          </w:p>
        </w:tc>
      </w:tr>
    </w:tbl>
    <w:p>
      <w:pPr>
        <w:pStyle w:val="Heading1"/>
      </w:pPr>
      <w:r>
        <w:t>2. 为什么现有方法不够？</w:t>
      </w:r>
    </w:p>
    <w:p>
      <w:r>
        <w:t>论文将无监督异常检测方法概括为密度估计、聚类、重构、自回归等范式。作者认为经典方法往往忽略时间信息；RNN/VAE类深度方法虽然学习时间表示，但最终仍经常用逐点重构或预测误差，无法完整描述一个点与整个时序上下文的关系。图方法能够建模变量间关联，但许多方法的图只对应单个时刻，也不能充分表达细粒度的长期时间关联。</w:t>
      </w:r>
    </w:p>
    <w:p>
      <w:pPr>
        <w:pStyle w:val="ListBullet"/>
      </w:pPr>
      <w:r>
        <w:t>Point-wise representation 的问题：异常很少，表示学习容易被大量正常点主导。</w:t>
      </w:r>
    </w:p>
    <w:p>
      <w:pPr>
        <w:pStyle w:val="ListBullet"/>
      </w:pPr>
      <w:r>
        <w:t>Point-wise reconstruction/prediction error 的问题：只看当前误差，无法表达“当前点与整个窗口的关系是否异常”。</w:t>
      </w:r>
    </w:p>
    <w:p>
      <w:pPr>
        <w:pStyle w:val="ListBullet"/>
      </w:pPr>
      <w:r>
        <w:t>Subsequence similarity 的问题：能利用较宽上下文，但难以获得每个时间点与全序列之间的细粒度关联。</w:t>
      </w:r>
    </w:p>
    <w:p>
      <w:pPr>
        <w:pStyle w:val="ListBullet"/>
      </w:pPr>
      <w:r>
        <w:t>因此作者转向 Transformer 的 self-attention map，把注意力分布本身当作异常信息。</w:t>
      </w:r>
    </w:p>
    <w:p>
      <w:pPr>
        <w:pStyle w:val="Heading1"/>
      </w:pPr>
      <w:r>
        <w:t>3. 作者的核心假设</w:t>
      </w:r>
    </w:p>
    <w:p>
      <w:r>
        <w:t>关键假设：由于异常稀少，异常时间点很难与整个序列建立非平凡的全局关联，因此其关联分布更偏向邻近时间点；正常时间点则能找到更丰富的远距离关联。由此，正常点的“真实series-association”与“邻近集中prior-association”差异更大，异常点差异更小。</w:t>
      </w:r>
    </w:p>
    <w:p>
      <w:r>
        <w:t>这是一个重要但需要验证的数据假设。对于具有周期性、稳定工况、重复水力/工艺模式的水系统，该假设可能成立；若正常过程本身高度非重复、强随机或只有短期局部依赖，则正常点也可能主要关注邻近时刻，正常/异常的Association Discrepancy可分性会减弱。</w:t>
      </w:r>
    </w:p>
    <w:p>
      <w:pPr>
        <w:pStyle w:val="Heading1"/>
      </w:pPr>
      <w:r>
        <w:t>4. 论文结构</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0"/>
            </w:pPr>
            <w:r>
              <w:rPr>
                <w:rFonts w:ascii="Arial" w:hAnsi="Arial" w:eastAsia="Microsoft YaHei"/>
                <w:sz w:val="15"/>
              </w:rPr>
              <w:t>章节</w:t>
            </w:r>
          </w:p>
        </w:tc>
        <w:tc>
          <w:tcPr>
            <w:tcW w:type="dxa" w:w="3427"/>
            <w:shd w:fill="D9EAF7"/>
            <w:vAlign w:val="center"/>
          </w:tcPr>
          <w:p>
            <w:pPr>
              <w:spacing w:after="0"/>
            </w:pPr>
            <w:r>
              <w:rPr>
                <w:rFonts w:ascii="Arial" w:hAnsi="Arial" w:eastAsia="Microsoft YaHei"/>
                <w:sz w:val="15"/>
              </w:rPr>
              <w:t>内容</w:t>
            </w:r>
          </w:p>
        </w:tc>
        <w:tc>
          <w:tcPr>
            <w:tcW w:type="dxa" w:w="3427"/>
            <w:shd w:fill="D9EAF7"/>
            <w:vAlign w:val="center"/>
          </w:tcPr>
          <w:p>
            <w:pPr>
              <w:spacing w:after="0"/>
            </w:pPr>
            <w:r>
              <w:rPr>
                <w:rFonts w:ascii="Arial" w:hAnsi="Arial" w:eastAsia="Microsoft YaHei"/>
                <w:sz w:val="15"/>
              </w:rPr>
              <w:t>本调研意义</w:t>
            </w:r>
          </w:p>
        </w:tc>
      </w:tr>
      <w:tr>
        <w:tc>
          <w:tcPr>
            <w:tcW w:type="dxa" w:w="3427"/>
            <w:vAlign w:val="center"/>
          </w:tcPr>
          <w:p>
            <w:pPr>
              <w:spacing w:after="0"/>
            </w:pPr>
            <w:r>
              <w:rPr>
                <w:rFonts w:ascii="Arial" w:hAnsi="Arial" w:eastAsia="Microsoft YaHei"/>
                <w:sz w:val="15"/>
              </w:rPr>
              <w:t>Introduction</w:t>
            </w:r>
          </w:p>
        </w:tc>
        <w:tc>
          <w:tcPr>
            <w:tcW w:type="dxa" w:w="3427"/>
            <w:vAlign w:val="center"/>
          </w:tcPr>
          <w:p>
            <w:pPr>
              <w:spacing w:after="0"/>
            </w:pPr>
            <w:r>
              <w:rPr>
                <w:rFonts w:ascii="Arial" w:hAnsi="Arial" w:eastAsia="Microsoft YaHei"/>
                <w:sz w:val="15"/>
              </w:rPr>
              <w:t>提出association discrepancy观察和研究动机</w:t>
            </w:r>
          </w:p>
        </w:tc>
        <w:tc>
          <w:tcPr>
            <w:tcW w:type="dxa" w:w="3427"/>
            <w:vAlign w:val="center"/>
          </w:tcPr>
          <w:p>
            <w:pPr>
              <w:spacing w:after="0"/>
            </w:pPr>
            <w:r>
              <w:rPr>
                <w:rFonts w:ascii="Arial" w:hAnsi="Arial" w:eastAsia="Microsoft YaHei"/>
                <w:sz w:val="15"/>
              </w:rPr>
              <w:t>理解方法为何不是普通Transformer重构</w:t>
            </w:r>
          </w:p>
        </w:tc>
      </w:tr>
      <w:tr>
        <w:tc>
          <w:tcPr>
            <w:tcW w:type="dxa" w:w="3427"/>
            <w:vAlign w:val="center"/>
          </w:tcPr>
          <w:p>
            <w:pPr>
              <w:spacing w:after="0"/>
            </w:pPr>
            <w:r>
              <w:rPr>
                <w:rFonts w:ascii="Arial" w:hAnsi="Arial" w:eastAsia="Microsoft YaHei"/>
                <w:sz w:val="15"/>
              </w:rPr>
              <w:t>Related Work</w:t>
            </w:r>
          </w:p>
        </w:tc>
        <w:tc>
          <w:tcPr>
            <w:tcW w:type="dxa" w:w="3427"/>
            <w:vAlign w:val="center"/>
          </w:tcPr>
          <w:p>
            <w:pPr>
              <w:spacing w:after="0"/>
            </w:pPr>
            <w:r>
              <w:rPr>
                <w:rFonts w:ascii="Arial" w:hAnsi="Arial" w:eastAsia="Microsoft YaHei"/>
                <w:sz w:val="15"/>
              </w:rPr>
              <w:t>密度/聚类/重构/自回归/Transformer</w:t>
            </w:r>
          </w:p>
        </w:tc>
        <w:tc>
          <w:tcPr>
            <w:tcW w:type="dxa" w:w="3427"/>
            <w:vAlign w:val="center"/>
          </w:tcPr>
          <w:p>
            <w:pPr>
              <w:spacing w:after="0"/>
            </w:pPr>
            <w:r>
              <w:rPr>
                <w:rFonts w:ascii="Arial" w:hAnsi="Arial" w:eastAsia="Microsoft YaHei"/>
                <w:sz w:val="15"/>
              </w:rPr>
              <w:t>方法分类</w:t>
            </w:r>
          </w:p>
        </w:tc>
      </w:tr>
      <w:tr>
        <w:tc>
          <w:tcPr>
            <w:tcW w:type="dxa" w:w="3427"/>
            <w:vAlign w:val="center"/>
          </w:tcPr>
          <w:p>
            <w:pPr>
              <w:spacing w:after="0"/>
            </w:pPr>
            <w:r>
              <w:rPr>
                <w:rFonts w:ascii="Arial" w:hAnsi="Arial" w:eastAsia="Microsoft YaHei"/>
                <w:sz w:val="15"/>
              </w:rPr>
              <w:t>Method</w:t>
            </w:r>
          </w:p>
        </w:tc>
        <w:tc>
          <w:tcPr>
            <w:tcW w:type="dxa" w:w="3427"/>
            <w:vAlign w:val="center"/>
          </w:tcPr>
          <w:p>
            <w:pPr>
              <w:spacing w:after="0"/>
            </w:pPr>
            <w:r>
              <w:rPr>
                <w:rFonts w:ascii="Arial" w:hAnsi="Arial" w:eastAsia="Microsoft YaHei"/>
                <w:sz w:val="15"/>
              </w:rPr>
              <w:t>Anomaly-Attention、Association Discrepancy、Minimax、最终score</w:t>
            </w:r>
          </w:p>
        </w:tc>
        <w:tc>
          <w:tcPr>
            <w:tcW w:type="dxa" w:w="3427"/>
            <w:vAlign w:val="center"/>
          </w:tcPr>
          <w:p>
            <w:pPr>
              <w:spacing w:after="0"/>
            </w:pPr>
            <w:r>
              <w:rPr>
                <w:rFonts w:ascii="Arial" w:hAnsi="Arial" w:eastAsia="Microsoft YaHei"/>
                <w:sz w:val="15"/>
              </w:rPr>
              <w:t>核心</w:t>
            </w:r>
          </w:p>
        </w:tc>
      </w:tr>
      <w:tr>
        <w:tc>
          <w:tcPr>
            <w:tcW w:type="dxa" w:w="3427"/>
            <w:vAlign w:val="center"/>
          </w:tcPr>
          <w:p>
            <w:pPr>
              <w:spacing w:after="0"/>
            </w:pPr>
            <w:r>
              <w:rPr>
                <w:rFonts w:ascii="Arial" w:hAnsi="Arial" w:eastAsia="Microsoft YaHei"/>
                <w:sz w:val="15"/>
              </w:rPr>
              <w:t>Experiments</w:t>
            </w:r>
          </w:p>
        </w:tc>
        <w:tc>
          <w:tcPr>
            <w:tcW w:type="dxa" w:w="3427"/>
            <w:vAlign w:val="center"/>
          </w:tcPr>
          <w:p>
            <w:pPr>
              <w:spacing w:after="0"/>
            </w:pPr>
            <w:r>
              <w:rPr>
                <w:rFonts w:ascii="Arial" w:hAnsi="Arial" w:eastAsia="Microsoft YaHei"/>
                <w:sz w:val="15"/>
              </w:rPr>
              <w:t>六个benchmark、18+ baseline、消融、ROC</w:t>
            </w:r>
          </w:p>
        </w:tc>
        <w:tc>
          <w:tcPr>
            <w:tcW w:type="dxa" w:w="3427"/>
            <w:vAlign w:val="center"/>
          </w:tcPr>
          <w:p>
            <w:pPr>
              <w:spacing w:after="0"/>
            </w:pPr>
            <w:r>
              <w:rPr>
                <w:rFonts w:ascii="Arial" w:hAnsi="Arial" w:eastAsia="Microsoft YaHei"/>
                <w:sz w:val="15"/>
              </w:rPr>
              <w:t>性能依据</w:t>
            </w:r>
          </w:p>
        </w:tc>
      </w:tr>
      <w:tr>
        <w:tc>
          <w:tcPr>
            <w:tcW w:type="dxa" w:w="3427"/>
            <w:vAlign w:val="center"/>
          </w:tcPr>
          <w:p>
            <w:pPr>
              <w:spacing w:after="0"/>
            </w:pPr>
            <w:r>
              <w:rPr>
                <w:rFonts w:ascii="Arial" w:hAnsi="Arial" w:eastAsia="Microsoft YaHei"/>
                <w:sz w:val="15"/>
              </w:rPr>
              <w:t>Appendix</w:t>
            </w:r>
          </w:p>
        </w:tc>
        <w:tc>
          <w:tcPr>
            <w:tcW w:type="dxa" w:w="3427"/>
            <w:vAlign w:val="center"/>
          </w:tcPr>
          <w:p>
            <w:pPr>
              <w:spacing w:after="0"/>
            </w:pPr>
            <w:r>
              <w:rPr>
                <w:rFonts w:ascii="Arial" w:hAnsi="Arial" w:eastAsia="Microsoft YaHei"/>
                <w:sz w:val="15"/>
              </w:rPr>
              <w:t>参数敏感性、阈值、数据集统计、限制</w:t>
            </w:r>
          </w:p>
        </w:tc>
        <w:tc>
          <w:tcPr>
            <w:tcW w:type="dxa" w:w="3427"/>
            <w:vAlign w:val="center"/>
          </w:tcPr>
          <w:p>
            <w:pPr>
              <w:spacing w:after="0"/>
            </w:pPr>
            <w:r>
              <w:rPr>
                <w:rFonts w:ascii="Arial" w:hAnsi="Arial" w:eastAsia="Microsoft YaHei"/>
                <w:sz w:val="15"/>
              </w:rPr>
              <w:t>工业应用判断非常重要</w:t>
            </w:r>
          </w:p>
        </w:tc>
      </w:tr>
    </w:tbl>
    <w:p>
      <w:pPr>
        <w:pStyle w:val="Heading1"/>
      </w:pPr>
      <w:r>
        <w:t>5. 输入形式：它能否处理我们的数据？</w:t>
      </w:r>
    </w:p>
    <w:p>
      <w:r>
        <w:t>论文定义每个时间点 x_t ∈ R^d，即每个时刻是一个d维向量，因此可以直接表示多变量数值输入。实验中所有数据统一切成长度100的非重叠窗口，每个窗口形状约为 100×d；模型对窗口中的每个时间点输出一个point-wise anomaly score。</w:t>
      </w:r>
    </w:p>
    <w:p>
      <w:r>
        <w:t>这意味着它符合“多变量时间序列数值输入”这一硬条件。它不是专门针对回归模型设计，但检测器只需要输入X，不需要目标回归器内部信息，因此可以作为model-agnostic前置监视器。</w:t>
      </w:r>
    </w:p>
    <w:p>
      <w:pPr>
        <w:pStyle w:val="Heading1"/>
      </w:pPr>
      <w:r>
        <w:t>6. Series-Association：Transformer到底学了什么？</w:t>
      </w:r>
    </w:p>
    <w:p>
      <w:r>
        <w:t>普通self-attention会计算每个时间点i对所有时间点j的注意力权重。Anomaly Transformer把这一行attention distribution定义为该点的 series-association S_i。</w:t>
      </w:r>
    </w:p>
    <w:p>
      <w:r>
        <w:t>公式：S^l = Softmax(QK^T / sqrt(d_model))。对第i个时间点来说，S^l_{i,:}是一组加和为1的权重，表示它与窗口内每个时间点的关联强度。</w:t>
      </w:r>
    </w:p>
    <w:p>
      <w:r>
        <w:t>直观上，如果当前水系统状态与一天中类似工况、某个周期位置、某次相似流量变化阶段相似，self-attention可以把权重分配到这些较远位置。</w:t>
      </w:r>
    </w:p>
    <w:p>
      <w:pPr>
        <w:pStyle w:val="Heading1"/>
      </w:pPr>
      <w:r>
        <w:t>7. Prior-Association：为什么要人为加一个高斯分布？</w:t>
      </w:r>
    </w:p>
    <w:p>
      <w:r>
        <w:t>作者需要一个“异常点应该主要关联邻近点”的先验参照，因此设计 prior-association P。对第i个时间点，以i为中心建立一个可学习尺度σ_i的Gaussian kernel，距离越近权重越大。</w:t>
      </w:r>
    </w:p>
    <w:p>
      <w:r>
        <w:t>核心形式：P^l_{i,j} ∝ exp(-|j-i|² / (2σ_i²))，再按行归一化成离散概率分布。σ_i由网络学习，不是固定常数，因此可以适应不同长度的局部异常段和不同序列模式。</w:t>
      </w:r>
    </w:p>
    <w:p>
      <w:r>
        <w:t>二维直觉例：假设窗口只有5个时间点，当前i=3。若σ较小，prior可能近似[0.05, 0.24, 0.42, 0.24, 0.05]，明显集中在3附近。若真实series-association也接近这个形状，说明当前点主要只能依赖邻居，作者认为这更像异常。若series-association把较多权重分给1、5等远处，则它具有更丰富全局关系，更像正常点。</w:t>
      </w:r>
    </w:p>
    <w:p>
      <w:pPr>
        <w:pStyle w:val="Heading1"/>
      </w:pPr>
      <w:r>
        <w:t>8. Association Discrepancy：这篇论文最关键的量</w:t>
      </w:r>
    </w:p>
    <w:p>
      <w:r>
        <w:t>作者用prior-association P与series-association S之间的对称KL散度定义Association Discrepancy，并在多个Transformer层上求平均。</w:t>
      </w:r>
    </w:p>
    <w:p>
      <w:r>
        <w:t>AssDis_i = (1/L) Σ_l [ KL(P^l_{i,:} || S^l_{i,:}) + KL(S^l_{i,:} || P^l_{i,:}) ]。</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符号</w:t>
            </w:r>
          </w:p>
        </w:tc>
        <w:tc>
          <w:tcPr>
            <w:tcW w:type="dxa" w:w="5141"/>
            <w:shd w:fill="D9EAF7"/>
            <w:vAlign w:val="center"/>
          </w:tcPr>
          <w:p>
            <w:pPr>
              <w:spacing w:after="0"/>
            </w:pPr>
            <w:r>
              <w:rPr>
                <w:rFonts w:ascii="Arial" w:hAnsi="Arial" w:eastAsia="Microsoft YaHei"/>
                <w:sz w:val="15"/>
              </w:rPr>
              <w:t>含义</w:t>
            </w:r>
          </w:p>
        </w:tc>
      </w:tr>
      <w:tr>
        <w:tc>
          <w:tcPr>
            <w:tcW w:type="dxa" w:w="5141"/>
            <w:vAlign w:val="center"/>
          </w:tcPr>
          <w:p>
            <w:pPr>
              <w:spacing w:after="0"/>
            </w:pPr>
            <w:r>
              <w:rPr>
                <w:rFonts w:ascii="Arial" w:hAnsi="Arial" w:eastAsia="Microsoft YaHei"/>
                <w:sz w:val="15"/>
              </w:rPr>
              <w:t>P^l_{i,:}</w:t>
            </w:r>
          </w:p>
        </w:tc>
        <w:tc>
          <w:tcPr>
            <w:tcW w:type="dxa" w:w="5141"/>
            <w:vAlign w:val="center"/>
          </w:tcPr>
          <w:p>
            <w:pPr>
              <w:spacing w:after="0"/>
            </w:pPr>
            <w:r>
              <w:rPr>
                <w:rFonts w:ascii="Arial" w:hAnsi="Arial" w:eastAsia="Microsoft YaHei"/>
                <w:sz w:val="15"/>
              </w:rPr>
              <w:t>第l层中时间点i的邻近集中先验关联分布</w:t>
            </w:r>
          </w:p>
        </w:tc>
      </w:tr>
      <w:tr>
        <w:tc>
          <w:tcPr>
            <w:tcW w:type="dxa" w:w="5141"/>
            <w:vAlign w:val="center"/>
          </w:tcPr>
          <w:p>
            <w:pPr>
              <w:spacing w:after="0"/>
            </w:pPr>
            <w:r>
              <w:rPr>
                <w:rFonts w:ascii="Arial" w:hAnsi="Arial" w:eastAsia="Microsoft YaHei"/>
                <w:sz w:val="15"/>
              </w:rPr>
              <w:t>S^l_{i,:}</w:t>
            </w:r>
          </w:p>
        </w:tc>
        <w:tc>
          <w:tcPr>
            <w:tcW w:type="dxa" w:w="5141"/>
            <w:vAlign w:val="center"/>
          </w:tcPr>
          <w:p>
            <w:pPr>
              <w:spacing w:after="0"/>
            </w:pPr>
            <w:r>
              <w:rPr>
                <w:rFonts w:ascii="Arial" w:hAnsi="Arial" w:eastAsia="Microsoft YaHei"/>
                <w:sz w:val="15"/>
              </w:rPr>
              <w:t>第l层中时间点i从实际数据学出的self-attention关联分布</w:t>
            </w:r>
          </w:p>
        </w:tc>
      </w:tr>
      <w:tr>
        <w:tc>
          <w:tcPr>
            <w:tcW w:type="dxa" w:w="5141"/>
            <w:vAlign w:val="center"/>
          </w:tcPr>
          <w:p>
            <w:pPr>
              <w:spacing w:after="0"/>
            </w:pPr>
            <w:r>
              <w:rPr>
                <w:rFonts w:ascii="Arial" w:hAnsi="Arial" w:eastAsia="Microsoft YaHei"/>
                <w:sz w:val="15"/>
              </w:rPr>
              <w:t>KL</w:t>
            </w:r>
          </w:p>
        </w:tc>
        <w:tc>
          <w:tcPr>
            <w:tcW w:type="dxa" w:w="5141"/>
            <w:vAlign w:val="center"/>
          </w:tcPr>
          <w:p>
            <w:pPr>
              <w:spacing w:after="0"/>
            </w:pPr>
            <w:r>
              <w:rPr>
                <w:rFonts w:ascii="Arial" w:hAnsi="Arial" w:eastAsia="Microsoft YaHei"/>
                <w:sz w:val="15"/>
              </w:rPr>
              <w:t>两个离散概率分布的差异</w:t>
            </w:r>
          </w:p>
        </w:tc>
      </w:tr>
      <w:tr>
        <w:tc>
          <w:tcPr>
            <w:tcW w:type="dxa" w:w="5141"/>
            <w:vAlign w:val="center"/>
          </w:tcPr>
          <w:p>
            <w:pPr>
              <w:spacing w:after="0"/>
            </w:pPr>
            <w:r>
              <w:rPr>
                <w:rFonts w:ascii="Arial" w:hAnsi="Arial" w:eastAsia="Microsoft YaHei"/>
                <w:sz w:val="15"/>
              </w:rPr>
              <w:t>L</w:t>
            </w:r>
          </w:p>
        </w:tc>
        <w:tc>
          <w:tcPr>
            <w:tcW w:type="dxa" w:w="5141"/>
            <w:vAlign w:val="center"/>
          </w:tcPr>
          <w:p>
            <w:pPr>
              <w:spacing w:after="0"/>
            </w:pPr>
            <w:r>
              <w:rPr>
                <w:rFonts w:ascii="Arial" w:hAnsi="Arial" w:eastAsia="Microsoft YaHei"/>
                <w:sz w:val="15"/>
              </w:rPr>
              <w:t>Anomaly Transformer层数</w:t>
            </w:r>
          </w:p>
        </w:tc>
      </w:tr>
      <w:tr>
        <w:tc>
          <w:tcPr>
            <w:tcW w:type="dxa" w:w="5141"/>
            <w:vAlign w:val="center"/>
          </w:tcPr>
          <w:p>
            <w:pPr>
              <w:spacing w:after="0"/>
            </w:pPr>
            <w:r>
              <w:rPr>
                <w:rFonts w:ascii="Arial" w:hAnsi="Arial" w:eastAsia="Microsoft YaHei"/>
                <w:sz w:val="15"/>
              </w:rPr>
              <w:t>AssDis_i</w:t>
            </w:r>
          </w:p>
        </w:tc>
        <w:tc>
          <w:tcPr>
            <w:tcW w:type="dxa" w:w="5141"/>
            <w:vAlign w:val="center"/>
          </w:tcPr>
          <w:p>
            <w:pPr>
              <w:spacing w:after="0"/>
            </w:pPr>
            <w:r>
              <w:rPr>
                <w:rFonts w:ascii="Arial" w:hAnsi="Arial" w:eastAsia="Microsoft YaHei"/>
                <w:sz w:val="15"/>
              </w:rPr>
              <w:t>第i点的关联差异；作者观察异常点更小、正常点更大</w:t>
            </w:r>
          </w:p>
        </w:tc>
      </w:tr>
    </w:tbl>
    <w:p>
      <w:r>
        <w:t>与我们“学習外输入”的关系：它检测的不是输入值距离训练样本有多远，而是新输入窗口内部的时间关联结构是否呈现异常模式。因此它更接近“关系型/上下文型学习外”检测。</w:t>
      </w:r>
    </w:p>
    <w:p>
      <w:pPr>
        <w:pStyle w:val="Heading1"/>
      </w:pPr>
      <w:r>
        <w:t>9. Minimax association learning：为什么还需要一套min-max训练？</w:t>
      </w:r>
    </w:p>
    <w:p>
      <w:r>
        <w:t>如果只计算P和S的差异，模型未必会主动把正常/异常差异放大。作者因此设计两阶段minimax策略。</w:t>
      </w:r>
    </w:p>
    <w:p>
      <w:r>
        <w:t>Minimize phase：固定series-association的梯度，让prior P尽量逼近当前S。这样Gaussian prior能够适配数据中的不同时间模式。</w:t>
      </w:r>
    </w:p>
    <w:p>
      <w:r>
        <w:t>Maximize phase：固定prior P的梯度，优化series-association使P和S差异增大，同时仍受重构任务约束。正常点更容易利用远距离信息同时完成重构，因此可以形成较大的discrepancy；异常点在重构约束下更难建立这种全局关系。</w:t>
      </w:r>
    </w:p>
    <w:p>
      <w:r>
        <w:t>总损失简化为 L_total = ||X-X_hat||²_F - λ ||AssDis||_1。λ&gt;0时鼓励放大association discrepancy。两阶段通过stop-gradient分别控制P或S。</w:t>
      </w:r>
    </w:p>
    <w:p>
      <w:pPr>
        <w:pStyle w:val="Heading1"/>
      </w:pPr>
      <w:r>
        <w:t>10. 最终异常分数：不是只用Association Discrepancy</w:t>
      </w:r>
    </w:p>
    <w:p>
      <w:r>
        <w:t>最终score把“关联异常”和“重构异常”相乘：</w:t>
      </w:r>
    </w:p>
    <w:p>
      <w:r>
        <w:t>AnomalyScore_i = Softmax(-AssDis)_i × ||X_i - X_hat_i||²_2。</w:t>
      </w:r>
    </w:p>
    <w:p>
      <w:r>
        <w:t>为什么是 -AssDis？因为作者的假设是异常点AssDis更小，所以取负后softmax会给小AssDis点更高权重；再乘上重构误差，既要求“关系像异常”，也要求“数值/表示难以重构”。</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pPr>
              <w:spacing w:after="0"/>
            </w:pPr>
            <w:r>
              <w:rPr>
                <w:rFonts w:ascii="Arial" w:hAnsi="Arial" w:eastAsia="Microsoft YaHei"/>
                <w:sz w:val="15"/>
              </w:rPr>
              <w:t>情形</w:t>
            </w:r>
          </w:p>
        </w:tc>
        <w:tc>
          <w:tcPr>
            <w:tcW w:type="dxa" w:w="2570"/>
            <w:shd w:fill="D9EAF7"/>
            <w:vAlign w:val="center"/>
          </w:tcPr>
          <w:p>
            <w:pPr>
              <w:spacing w:after="0"/>
            </w:pPr>
            <w:r>
              <w:rPr>
                <w:rFonts w:ascii="Arial" w:hAnsi="Arial" w:eastAsia="Microsoft YaHei"/>
                <w:sz w:val="15"/>
              </w:rPr>
              <w:t>AssDis</w:t>
            </w:r>
          </w:p>
        </w:tc>
        <w:tc>
          <w:tcPr>
            <w:tcW w:type="dxa" w:w="2570"/>
            <w:shd w:fill="D9EAF7"/>
            <w:vAlign w:val="center"/>
          </w:tcPr>
          <w:p>
            <w:pPr>
              <w:spacing w:after="0"/>
            </w:pPr>
            <w:r>
              <w:rPr>
                <w:rFonts w:ascii="Arial" w:hAnsi="Arial" w:eastAsia="Microsoft YaHei"/>
                <w:sz w:val="15"/>
              </w:rPr>
              <w:t>重构误差</w:t>
            </w:r>
          </w:p>
        </w:tc>
        <w:tc>
          <w:tcPr>
            <w:tcW w:type="dxa" w:w="2570"/>
            <w:shd w:fill="D9EAF7"/>
            <w:vAlign w:val="center"/>
          </w:tcPr>
          <w:p>
            <w:pPr>
              <w:spacing w:after="0"/>
            </w:pPr>
            <w:r>
              <w:rPr>
                <w:rFonts w:ascii="Arial" w:hAnsi="Arial" w:eastAsia="Microsoft YaHei"/>
                <w:sz w:val="15"/>
              </w:rPr>
              <w:t>最终判断倾向</w:t>
            </w:r>
          </w:p>
        </w:tc>
      </w:tr>
      <w:tr>
        <w:tc>
          <w:tcPr>
            <w:tcW w:type="dxa" w:w="2570"/>
            <w:vAlign w:val="center"/>
          </w:tcPr>
          <w:p>
            <w:pPr>
              <w:spacing w:after="0"/>
            </w:pPr>
            <w:r>
              <w:rPr>
                <w:rFonts w:ascii="Arial" w:hAnsi="Arial" w:eastAsia="Microsoft YaHei"/>
                <w:sz w:val="15"/>
              </w:rPr>
              <w:t>正常且关系丰富</w:t>
            </w:r>
          </w:p>
        </w:tc>
        <w:tc>
          <w:tcPr>
            <w:tcW w:type="dxa" w:w="2570"/>
            <w:vAlign w:val="center"/>
          </w:tcPr>
          <w:p>
            <w:pPr>
              <w:spacing w:after="0"/>
            </w:pPr>
            <w:r>
              <w:rPr>
                <w:rFonts w:ascii="Arial" w:hAnsi="Arial" w:eastAsia="Microsoft YaHei"/>
                <w:sz w:val="15"/>
              </w:rPr>
              <w:t>大</w:t>
            </w:r>
          </w:p>
        </w:tc>
        <w:tc>
          <w:tcPr>
            <w:tcW w:type="dxa" w:w="2570"/>
            <w:vAlign w:val="center"/>
          </w:tcPr>
          <w:p>
            <w:pPr>
              <w:spacing w:after="0"/>
            </w:pPr>
            <w:r>
              <w:rPr>
                <w:rFonts w:ascii="Arial" w:hAnsi="Arial" w:eastAsia="Microsoft YaHei"/>
                <w:sz w:val="15"/>
              </w:rPr>
              <w:t>小</w:t>
            </w:r>
          </w:p>
        </w:tc>
        <w:tc>
          <w:tcPr>
            <w:tcW w:type="dxa" w:w="2570"/>
            <w:vAlign w:val="center"/>
          </w:tcPr>
          <w:p>
            <w:pPr>
              <w:spacing w:after="0"/>
            </w:pPr>
            <w:r>
              <w:rPr>
                <w:rFonts w:ascii="Arial" w:hAnsi="Arial" w:eastAsia="Microsoft YaHei"/>
                <w:sz w:val="15"/>
              </w:rPr>
              <w:t>低异常分数</w:t>
            </w:r>
          </w:p>
        </w:tc>
      </w:tr>
      <w:tr>
        <w:tc>
          <w:tcPr>
            <w:tcW w:type="dxa" w:w="2570"/>
            <w:vAlign w:val="center"/>
          </w:tcPr>
          <w:p>
            <w:pPr>
              <w:spacing w:after="0"/>
            </w:pPr>
            <w:r>
              <w:rPr>
                <w:rFonts w:ascii="Arial" w:hAnsi="Arial" w:eastAsia="Microsoft YaHei"/>
                <w:sz w:val="15"/>
              </w:rPr>
              <w:t>数值稍偏但关系正常</w:t>
            </w:r>
          </w:p>
        </w:tc>
        <w:tc>
          <w:tcPr>
            <w:tcW w:type="dxa" w:w="2570"/>
            <w:vAlign w:val="center"/>
          </w:tcPr>
          <w:p>
            <w:pPr>
              <w:spacing w:after="0"/>
            </w:pPr>
            <w:r>
              <w:rPr>
                <w:rFonts w:ascii="Arial" w:hAnsi="Arial" w:eastAsia="Microsoft YaHei"/>
                <w:sz w:val="15"/>
              </w:rPr>
              <w:t>大</w:t>
            </w:r>
          </w:p>
        </w:tc>
        <w:tc>
          <w:tcPr>
            <w:tcW w:type="dxa" w:w="2570"/>
            <w:vAlign w:val="center"/>
          </w:tcPr>
          <w:p>
            <w:pPr>
              <w:spacing w:after="0"/>
            </w:pPr>
            <w:r>
              <w:rPr>
                <w:rFonts w:ascii="Arial" w:hAnsi="Arial" w:eastAsia="Microsoft YaHei"/>
                <w:sz w:val="15"/>
              </w:rPr>
              <w:t>中</w:t>
            </w:r>
          </w:p>
        </w:tc>
        <w:tc>
          <w:tcPr>
            <w:tcW w:type="dxa" w:w="2570"/>
            <w:vAlign w:val="center"/>
          </w:tcPr>
          <w:p>
            <w:pPr>
              <w:spacing w:after="0"/>
            </w:pPr>
            <w:r>
              <w:rPr>
                <w:rFonts w:ascii="Arial" w:hAnsi="Arial" w:eastAsia="Microsoft YaHei"/>
                <w:sz w:val="15"/>
              </w:rPr>
              <w:t>关联权重抑制，可能不报警</w:t>
            </w:r>
          </w:p>
        </w:tc>
      </w:tr>
      <w:tr>
        <w:tc>
          <w:tcPr>
            <w:tcW w:type="dxa" w:w="2570"/>
            <w:vAlign w:val="center"/>
          </w:tcPr>
          <w:p>
            <w:pPr>
              <w:spacing w:after="0"/>
            </w:pPr>
            <w:r>
              <w:rPr>
                <w:rFonts w:ascii="Arial" w:hAnsi="Arial" w:eastAsia="Microsoft YaHei"/>
                <w:sz w:val="15"/>
              </w:rPr>
              <w:t>关系异常但重构误差不大</w:t>
            </w:r>
          </w:p>
        </w:tc>
        <w:tc>
          <w:tcPr>
            <w:tcW w:type="dxa" w:w="2570"/>
            <w:vAlign w:val="center"/>
          </w:tcPr>
          <w:p>
            <w:pPr>
              <w:spacing w:after="0"/>
            </w:pPr>
            <w:r>
              <w:rPr>
                <w:rFonts w:ascii="Arial" w:hAnsi="Arial" w:eastAsia="Microsoft YaHei"/>
                <w:sz w:val="15"/>
              </w:rPr>
              <w:t>小</w:t>
            </w:r>
          </w:p>
        </w:tc>
        <w:tc>
          <w:tcPr>
            <w:tcW w:type="dxa" w:w="2570"/>
            <w:vAlign w:val="center"/>
          </w:tcPr>
          <w:p>
            <w:pPr>
              <w:spacing w:after="0"/>
            </w:pPr>
            <w:r>
              <w:rPr>
                <w:rFonts w:ascii="Arial" w:hAnsi="Arial" w:eastAsia="Microsoft YaHei"/>
                <w:sz w:val="15"/>
              </w:rPr>
              <w:t>小/中</w:t>
            </w:r>
          </w:p>
        </w:tc>
        <w:tc>
          <w:tcPr>
            <w:tcW w:type="dxa" w:w="2570"/>
            <w:vAlign w:val="center"/>
          </w:tcPr>
          <w:p>
            <w:pPr>
              <w:spacing w:after="0"/>
            </w:pPr>
            <w:r>
              <w:rPr>
                <w:rFonts w:ascii="Arial" w:hAnsi="Arial" w:eastAsia="Microsoft YaHei"/>
                <w:sz w:val="15"/>
              </w:rPr>
              <w:t>单用AssDis可发现，但乘积可能较弱</w:t>
            </w:r>
          </w:p>
        </w:tc>
      </w:tr>
      <w:tr>
        <w:tc>
          <w:tcPr>
            <w:tcW w:type="dxa" w:w="2570"/>
            <w:vAlign w:val="center"/>
          </w:tcPr>
          <w:p>
            <w:pPr>
              <w:spacing w:after="0"/>
            </w:pPr>
            <w:r>
              <w:rPr>
                <w:rFonts w:ascii="Arial" w:hAnsi="Arial" w:eastAsia="Microsoft YaHei"/>
                <w:sz w:val="15"/>
              </w:rPr>
              <w:t>关系异常且难重构</w:t>
            </w:r>
          </w:p>
        </w:tc>
        <w:tc>
          <w:tcPr>
            <w:tcW w:type="dxa" w:w="2570"/>
            <w:vAlign w:val="center"/>
          </w:tcPr>
          <w:p>
            <w:pPr>
              <w:spacing w:after="0"/>
            </w:pPr>
            <w:r>
              <w:rPr>
                <w:rFonts w:ascii="Arial" w:hAnsi="Arial" w:eastAsia="Microsoft YaHei"/>
                <w:sz w:val="15"/>
              </w:rPr>
              <w:t>小</w:t>
            </w:r>
          </w:p>
        </w:tc>
        <w:tc>
          <w:tcPr>
            <w:tcW w:type="dxa" w:w="2570"/>
            <w:vAlign w:val="center"/>
          </w:tcPr>
          <w:p>
            <w:pPr>
              <w:spacing w:after="0"/>
            </w:pPr>
            <w:r>
              <w:rPr>
                <w:rFonts w:ascii="Arial" w:hAnsi="Arial" w:eastAsia="Microsoft YaHei"/>
                <w:sz w:val="15"/>
              </w:rPr>
              <w:t>大</w:t>
            </w:r>
          </w:p>
        </w:tc>
        <w:tc>
          <w:tcPr>
            <w:tcW w:type="dxa" w:w="2570"/>
            <w:vAlign w:val="center"/>
          </w:tcPr>
          <w:p>
            <w:pPr>
              <w:spacing w:after="0"/>
            </w:pPr>
            <w:r>
              <w:rPr>
                <w:rFonts w:ascii="Arial" w:hAnsi="Arial" w:eastAsia="Microsoft YaHei"/>
                <w:sz w:val="15"/>
              </w:rPr>
              <w:t>高异常分数</w:t>
            </w:r>
          </w:p>
        </w:tc>
      </w:tr>
    </w:tbl>
    <w:p>
      <w:r>
        <w:t>消融实验支持这种组合：仅重构平均F1约76.20%，仅AssDis约91.55%，乘法组合达到94.96%。这说明该论文的真正贡献不是“换成Transformer重构”，而是association criterion。</w:t>
      </w:r>
    </w:p>
    <w:p>
      <w:pPr>
        <w:pStyle w:val="Heading1"/>
      </w:pPr>
      <w:r>
        <w:t>11. 阈值怎么定？这一点比InterFusion更实用</w:t>
      </w:r>
    </w:p>
    <w:p>
      <w:r>
        <w:t>论文把训练、validation、test分开，而且明确指出异常标签只存在于test。阈值不是用test标签直接搜索best-F1，而是在无标签validation上看anomaly score分布，并设定一个预期报警比例r，使validation中约r比例点高于阈值δ。主实验：SWaT r=0.1%，SMD r=0.5%，其他数据集r=1%。</w:t>
      </w:r>
    </w:p>
    <w:p>
      <w:r>
        <w:t>附录还给出固定δ的方案：SMD/MSL/SWaT可用0.1，SMAP/PSM可用0.01，并报告性能与按r选择较接近。不过这些δ是实验数据经验值，不应直接迁移到水公司的新数据。</w:t>
      </w:r>
    </w:p>
    <w:p>
      <w:r>
        <w:t>对本课题的意义：它可以不使用test异常标签确定阈值，这是明显优点。但r本身仍是人工超参数，本质上隐含“预期异常率/可接受报警量”的先验；如果公司要求完全数据驱动阈值，可以再结合POT、EVT或正常分数分位数校准。</w:t>
      </w:r>
    </w:p>
    <w:p>
      <w:pPr>
        <w:pStyle w:val="Heading1"/>
      </w:pPr>
      <w:r>
        <w:t>12. 数据集与实验设计</w:t>
      </w:r>
    </w:p>
    <w:tbl>
      <w:tblPr>
        <w:tblStyle w:val="TableGrid"/>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shd w:fill="D9EAF7"/>
            <w:vAlign w:val="center"/>
          </w:tcPr>
          <w:p>
            <w:pPr>
              <w:spacing w:after="0"/>
            </w:pPr>
            <w:r>
              <w:rPr>
                <w:rFonts w:ascii="Arial" w:hAnsi="Arial" w:eastAsia="Microsoft YaHei"/>
                <w:sz w:val="14"/>
              </w:rPr>
              <w:t>Dataset</w:t>
            </w:r>
          </w:p>
        </w:tc>
        <w:tc>
          <w:tcPr>
            <w:tcW w:type="dxa" w:w="1285"/>
            <w:shd w:fill="D9EAF7"/>
            <w:vAlign w:val="center"/>
          </w:tcPr>
          <w:p>
            <w:pPr>
              <w:spacing w:after="0"/>
            </w:pPr>
            <w:r>
              <w:rPr>
                <w:rFonts w:ascii="Arial" w:hAnsi="Arial" w:eastAsia="Microsoft YaHei"/>
                <w:sz w:val="14"/>
              </w:rPr>
              <w:t>应用</w:t>
            </w:r>
          </w:p>
        </w:tc>
        <w:tc>
          <w:tcPr>
            <w:tcW w:type="dxa" w:w="1285"/>
            <w:shd w:fill="D9EAF7"/>
            <w:vAlign w:val="center"/>
          </w:tcPr>
          <w:p>
            <w:pPr>
              <w:spacing w:after="0"/>
            </w:pPr>
            <w:r>
              <w:rPr>
                <w:rFonts w:ascii="Arial" w:hAnsi="Arial" w:eastAsia="Microsoft YaHei"/>
                <w:sz w:val="14"/>
              </w:rPr>
              <w:t>维度</w:t>
            </w:r>
          </w:p>
        </w:tc>
        <w:tc>
          <w:tcPr>
            <w:tcW w:type="dxa" w:w="1285"/>
            <w:shd w:fill="D9EAF7"/>
            <w:vAlign w:val="center"/>
          </w:tcPr>
          <w:p>
            <w:pPr>
              <w:spacing w:after="0"/>
            </w:pPr>
            <w:r>
              <w:rPr>
                <w:rFonts w:ascii="Arial" w:hAnsi="Arial" w:eastAsia="Microsoft YaHei"/>
                <w:sz w:val="14"/>
              </w:rPr>
              <w:t>Window</w:t>
            </w:r>
          </w:p>
        </w:tc>
        <w:tc>
          <w:tcPr>
            <w:tcW w:type="dxa" w:w="1285"/>
            <w:shd w:fill="D9EAF7"/>
            <w:vAlign w:val="center"/>
          </w:tcPr>
          <w:p>
            <w:pPr>
              <w:spacing w:after="0"/>
            </w:pPr>
            <w:r>
              <w:rPr>
                <w:rFonts w:ascii="Arial" w:hAnsi="Arial" w:eastAsia="Microsoft YaHei"/>
                <w:sz w:val="14"/>
              </w:rPr>
              <w:t>Train</w:t>
            </w:r>
          </w:p>
        </w:tc>
        <w:tc>
          <w:tcPr>
            <w:tcW w:type="dxa" w:w="1285"/>
            <w:shd w:fill="D9EAF7"/>
            <w:vAlign w:val="center"/>
          </w:tcPr>
          <w:p>
            <w:pPr>
              <w:spacing w:after="0"/>
            </w:pPr>
            <w:r>
              <w:rPr>
                <w:rFonts w:ascii="Arial" w:hAnsi="Arial" w:eastAsia="Microsoft YaHei"/>
                <w:sz w:val="14"/>
              </w:rPr>
              <w:t>Validation</w:t>
            </w:r>
          </w:p>
        </w:tc>
        <w:tc>
          <w:tcPr>
            <w:tcW w:type="dxa" w:w="1285"/>
            <w:shd w:fill="D9EAF7"/>
            <w:vAlign w:val="center"/>
          </w:tcPr>
          <w:p>
            <w:pPr>
              <w:spacing w:after="0"/>
            </w:pPr>
            <w:r>
              <w:rPr>
                <w:rFonts w:ascii="Arial" w:hAnsi="Arial" w:eastAsia="Microsoft YaHei"/>
                <w:sz w:val="14"/>
              </w:rPr>
              <w:t>Test</w:t>
            </w:r>
          </w:p>
        </w:tc>
        <w:tc>
          <w:tcPr>
            <w:tcW w:type="dxa" w:w="1285"/>
            <w:shd w:fill="D9EAF7"/>
            <w:vAlign w:val="center"/>
          </w:tcPr>
          <w:p>
            <w:pPr>
              <w:spacing w:after="0"/>
            </w:pPr>
            <w:r>
              <w:rPr>
                <w:rFonts w:ascii="Arial" w:hAnsi="Arial" w:eastAsia="Microsoft YaHei"/>
                <w:sz w:val="14"/>
              </w:rPr>
              <w:t>真实异常比例</w:t>
            </w:r>
          </w:p>
        </w:tc>
      </w:tr>
      <w:tr>
        <w:tc>
          <w:tcPr>
            <w:tcW w:type="dxa" w:w="1285"/>
            <w:vAlign w:val="center"/>
          </w:tcPr>
          <w:p>
            <w:pPr>
              <w:spacing w:after="0"/>
            </w:pPr>
            <w:r>
              <w:rPr>
                <w:rFonts w:ascii="Arial" w:hAnsi="Arial" w:eastAsia="Microsoft YaHei"/>
                <w:sz w:val="14"/>
              </w:rPr>
              <w:t>SMD</w:t>
            </w:r>
          </w:p>
        </w:tc>
        <w:tc>
          <w:tcPr>
            <w:tcW w:type="dxa" w:w="1285"/>
            <w:vAlign w:val="center"/>
          </w:tcPr>
          <w:p>
            <w:pPr>
              <w:spacing w:after="0"/>
            </w:pPr>
            <w:r>
              <w:rPr>
                <w:rFonts w:ascii="Arial" w:hAnsi="Arial" w:eastAsia="Microsoft YaHei"/>
                <w:sz w:val="14"/>
              </w:rPr>
              <w:t>Server</w:t>
            </w:r>
          </w:p>
        </w:tc>
        <w:tc>
          <w:tcPr>
            <w:tcW w:type="dxa" w:w="1285"/>
            <w:vAlign w:val="center"/>
          </w:tcPr>
          <w:p>
            <w:pPr>
              <w:spacing w:after="0"/>
            </w:pPr>
            <w:r>
              <w:rPr>
                <w:rFonts w:ascii="Arial" w:hAnsi="Arial" w:eastAsia="Microsoft YaHei"/>
                <w:sz w:val="14"/>
              </w:rPr>
              <w:t>38</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566,724</w:t>
            </w:r>
          </w:p>
        </w:tc>
        <w:tc>
          <w:tcPr>
            <w:tcW w:type="dxa" w:w="1285"/>
            <w:vAlign w:val="center"/>
          </w:tcPr>
          <w:p>
            <w:pPr>
              <w:spacing w:after="0"/>
            </w:pPr>
            <w:r>
              <w:rPr>
                <w:rFonts w:ascii="Arial" w:hAnsi="Arial" w:eastAsia="Microsoft YaHei"/>
                <w:sz w:val="14"/>
              </w:rPr>
              <w:t>141,681</w:t>
            </w:r>
          </w:p>
        </w:tc>
        <w:tc>
          <w:tcPr>
            <w:tcW w:type="dxa" w:w="1285"/>
            <w:vAlign w:val="center"/>
          </w:tcPr>
          <w:p>
            <w:pPr>
              <w:spacing w:after="0"/>
            </w:pPr>
            <w:r>
              <w:rPr>
                <w:rFonts w:ascii="Arial" w:hAnsi="Arial" w:eastAsia="Microsoft YaHei"/>
                <w:sz w:val="14"/>
              </w:rPr>
              <w:t>708,420</w:t>
            </w:r>
          </w:p>
        </w:tc>
        <w:tc>
          <w:tcPr>
            <w:tcW w:type="dxa" w:w="1285"/>
            <w:vAlign w:val="center"/>
          </w:tcPr>
          <w:p>
            <w:pPr>
              <w:spacing w:after="0"/>
            </w:pPr>
            <w:r>
              <w:rPr>
                <w:rFonts w:ascii="Arial" w:hAnsi="Arial" w:eastAsia="Microsoft YaHei"/>
                <w:sz w:val="14"/>
              </w:rPr>
              <w:t>4.2%</w:t>
            </w:r>
          </w:p>
        </w:tc>
      </w:tr>
      <w:tr>
        <w:tc>
          <w:tcPr>
            <w:tcW w:type="dxa" w:w="1285"/>
            <w:vAlign w:val="center"/>
          </w:tcPr>
          <w:p>
            <w:pPr>
              <w:spacing w:after="0"/>
            </w:pPr>
            <w:r>
              <w:rPr>
                <w:rFonts w:ascii="Arial" w:hAnsi="Arial" w:eastAsia="Microsoft YaHei"/>
                <w:sz w:val="14"/>
              </w:rPr>
              <w:t>PSM</w:t>
            </w:r>
          </w:p>
        </w:tc>
        <w:tc>
          <w:tcPr>
            <w:tcW w:type="dxa" w:w="1285"/>
            <w:vAlign w:val="center"/>
          </w:tcPr>
          <w:p>
            <w:pPr>
              <w:spacing w:after="0"/>
            </w:pPr>
            <w:r>
              <w:rPr>
                <w:rFonts w:ascii="Arial" w:hAnsi="Arial" w:eastAsia="Microsoft YaHei"/>
                <w:sz w:val="14"/>
              </w:rPr>
              <w:t>Server</w:t>
            </w:r>
          </w:p>
        </w:tc>
        <w:tc>
          <w:tcPr>
            <w:tcW w:type="dxa" w:w="1285"/>
            <w:vAlign w:val="center"/>
          </w:tcPr>
          <w:p>
            <w:pPr>
              <w:spacing w:after="0"/>
            </w:pPr>
            <w:r>
              <w:rPr>
                <w:rFonts w:ascii="Arial" w:hAnsi="Arial" w:eastAsia="Microsoft YaHei"/>
                <w:sz w:val="14"/>
              </w:rPr>
              <w:t>25*</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105,984</w:t>
            </w:r>
          </w:p>
        </w:tc>
        <w:tc>
          <w:tcPr>
            <w:tcW w:type="dxa" w:w="1285"/>
            <w:vAlign w:val="center"/>
          </w:tcPr>
          <w:p>
            <w:pPr>
              <w:spacing w:after="0"/>
            </w:pPr>
            <w:r>
              <w:rPr>
                <w:rFonts w:ascii="Arial" w:hAnsi="Arial" w:eastAsia="Microsoft YaHei"/>
                <w:sz w:val="14"/>
              </w:rPr>
              <w:t>26,497</w:t>
            </w:r>
          </w:p>
        </w:tc>
        <w:tc>
          <w:tcPr>
            <w:tcW w:type="dxa" w:w="1285"/>
            <w:vAlign w:val="center"/>
          </w:tcPr>
          <w:p>
            <w:pPr>
              <w:spacing w:after="0"/>
            </w:pPr>
            <w:r>
              <w:rPr>
                <w:rFonts w:ascii="Arial" w:hAnsi="Arial" w:eastAsia="Microsoft YaHei"/>
                <w:sz w:val="14"/>
              </w:rPr>
              <w:t>87,841</w:t>
            </w:r>
          </w:p>
        </w:tc>
        <w:tc>
          <w:tcPr>
            <w:tcW w:type="dxa" w:w="1285"/>
            <w:vAlign w:val="center"/>
          </w:tcPr>
          <w:p>
            <w:pPr>
              <w:spacing w:after="0"/>
            </w:pPr>
            <w:r>
              <w:rPr>
                <w:rFonts w:ascii="Arial" w:hAnsi="Arial" w:eastAsia="Microsoft YaHei"/>
                <w:sz w:val="14"/>
              </w:rPr>
              <w:t>27.8%</w:t>
            </w:r>
          </w:p>
        </w:tc>
      </w:tr>
      <w:tr>
        <w:tc>
          <w:tcPr>
            <w:tcW w:type="dxa" w:w="1285"/>
            <w:vAlign w:val="center"/>
          </w:tcPr>
          <w:p>
            <w:pPr>
              <w:spacing w:after="0"/>
            </w:pPr>
            <w:r>
              <w:rPr>
                <w:rFonts w:ascii="Arial" w:hAnsi="Arial" w:eastAsia="Microsoft YaHei"/>
                <w:sz w:val="14"/>
              </w:rPr>
              <w:t>MSL</w:t>
            </w:r>
          </w:p>
        </w:tc>
        <w:tc>
          <w:tcPr>
            <w:tcW w:type="dxa" w:w="1285"/>
            <w:vAlign w:val="center"/>
          </w:tcPr>
          <w:p>
            <w:pPr>
              <w:spacing w:after="0"/>
            </w:pPr>
            <w:r>
              <w:rPr>
                <w:rFonts w:ascii="Arial" w:hAnsi="Arial" w:eastAsia="Microsoft YaHei"/>
                <w:sz w:val="14"/>
              </w:rPr>
              <w:t>Space</w:t>
            </w:r>
          </w:p>
        </w:tc>
        <w:tc>
          <w:tcPr>
            <w:tcW w:type="dxa" w:w="1285"/>
            <w:vAlign w:val="center"/>
          </w:tcPr>
          <w:p>
            <w:pPr>
              <w:spacing w:after="0"/>
            </w:pPr>
            <w:r>
              <w:rPr>
                <w:rFonts w:ascii="Arial" w:hAnsi="Arial" w:eastAsia="Microsoft YaHei"/>
                <w:sz w:val="14"/>
              </w:rPr>
              <w:t>55</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46,653</w:t>
            </w:r>
          </w:p>
        </w:tc>
        <w:tc>
          <w:tcPr>
            <w:tcW w:type="dxa" w:w="1285"/>
            <w:vAlign w:val="center"/>
          </w:tcPr>
          <w:p>
            <w:pPr>
              <w:spacing w:after="0"/>
            </w:pPr>
            <w:r>
              <w:rPr>
                <w:rFonts w:ascii="Arial" w:hAnsi="Arial" w:eastAsia="Microsoft YaHei"/>
                <w:sz w:val="14"/>
              </w:rPr>
              <w:t>11,664</w:t>
            </w:r>
          </w:p>
        </w:tc>
        <w:tc>
          <w:tcPr>
            <w:tcW w:type="dxa" w:w="1285"/>
            <w:vAlign w:val="center"/>
          </w:tcPr>
          <w:p>
            <w:pPr>
              <w:spacing w:after="0"/>
            </w:pPr>
            <w:r>
              <w:rPr>
                <w:rFonts w:ascii="Arial" w:hAnsi="Arial" w:eastAsia="Microsoft YaHei"/>
                <w:sz w:val="14"/>
              </w:rPr>
              <w:t>73,729</w:t>
            </w:r>
          </w:p>
        </w:tc>
        <w:tc>
          <w:tcPr>
            <w:tcW w:type="dxa" w:w="1285"/>
            <w:vAlign w:val="center"/>
          </w:tcPr>
          <w:p>
            <w:pPr>
              <w:spacing w:after="0"/>
            </w:pPr>
            <w:r>
              <w:rPr>
                <w:rFonts w:ascii="Arial" w:hAnsi="Arial" w:eastAsia="Microsoft YaHei"/>
                <w:sz w:val="14"/>
              </w:rPr>
              <w:t>10.5%</w:t>
            </w:r>
          </w:p>
        </w:tc>
      </w:tr>
      <w:tr>
        <w:tc>
          <w:tcPr>
            <w:tcW w:type="dxa" w:w="1285"/>
            <w:vAlign w:val="center"/>
          </w:tcPr>
          <w:p>
            <w:pPr>
              <w:spacing w:after="0"/>
            </w:pPr>
            <w:r>
              <w:rPr>
                <w:rFonts w:ascii="Arial" w:hAnsi="Arial" w:eastAsia="Microsoft YaHei"/>
                <w:sz w:val="14"/>
              </w:rPr>
              <w:t>SMAP</w:t>
            </w:r>
          </w:p>
        </w:tc>
        <w:tc>
          <w:tcPr>
            <w:tcW w:type="dxa" w:w="1285"/>
            <w:vAlign w:val="center"/>
          </w:tcPr>
          <w:p>
            <w:pPr>
              <w:spacing w:after="0"/>
            </w:pPr>
            <w:r>
              <w:rPr>
                <w:rFonts w:ascii="Arial" w:hAnsi="Arial" w:eastAsia="Microsoft YaHei"/>
                <w:sz w:val="14"/>
              </w:rPr>
              <w:t>Space</w:t>
            </w:r>
          </w:p>
        </w:tc>
        <w:tc>
          <w:tcPr>
            <w:tcW w:type="dxa" w:w="1285"/>
            <w:vAlign w:val="center"/>
          </w:tcPr>
          <w:p>
            <w:pPr>
              <w:spacing w:after="0"/>
            </w:pPr>
            <w:r>
              <w:rPr>
                <w:rFonts w:ascii="Arial" w:hAnsi="Arial" w:eastAsia="Microsoft YaHei"/>
                <w:sz w:val="14"/>
              </w:rPr>
              <w:t>25</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108,146</w:t>
            </w:r>
          </w:p>
        </w:tc>
        <w:tc>
          <w:tcPr>
            <w:tcW w:type="dxa" w:w="1285"/>
            <w:vAlign w:val="center"/>
          </w:tcPr>
          <w:p>
            <w:pPr>
              <w:spacing w:after="0"/>
            </w:pPr>
            <w:r>
              <w:rPr>
                <w:rFonts w:ascii="Arial" w:hAnsi="Arial" w:eastAsia="Microsoft YaHei"/>
                <w:sz w:val="14"/>
              </w:rPr>
              <w:t>27,037</w:t>
            </w:r>
          </w:p>
        </w:tc>
        <w:tc>
          <w:tcPr>
            <w:tcW w:type="dxa" w:w="1285"/>
            <w:vAlign w:val="center"/>
          </w:tcPr>
          <w:p>
            <w:pPr>
              <w:spacing w:after="0"/>
            </w:pPr>
            <w:r>
              <w:rPr>
                <w:rFonts w:ascii="Arial" w:hAnsi="Arial" w:eastAsia="Microsoft YaHei"/>
                <w:sz w:val="14"/>
              </w:rPr>
              <w:t>427,617</w:t>
            </w:r>
          </w:p>
        </w:tc>
        <w:tc>
          <w:tcPr>
            <w:tcW w:type="dxa" w:w="1285"/>
            <w:vAlign w:val="center"/>
          </w:tcPr>
          <w:p>
            <w:pPr>
              <w:spacing w:after="0"/>
            </w:pPr>
            <w:r>
              <w:rPr>
                <w:rFonts w:ascii="Arial" w:hAnsi="Arial" w:eastAsia="Microsoft YaHei"/>
                <w:sz w:val="14"/>
              </w:rPr>
              <w:t>12.8%</w:t>
            </w:r>
          </w:p>
        </w:tc>
      </w:tr>
      <w:tr>
        <w:tc>
          <w:tcPr>
            <w:tcW w:type="dxa" w:w="1285"/>
            <w:vAlign w:val="center"/>
          </w:tcPr>
          <w:p>
            <w:pPr>
              <w:spacing w:after="0"/>
            </w:pPr>
            <w:r>
              <w:rPr>
                <w:rFonts w:ascii="Arial" w:hAnsi="Arial" w:eastAsia="Microsoft YaHei"/>
                <w:sz w:val="14"/>
              </w:rPr>
              <w:t>SWaT</w:t>
            </w:r>
          </w:p>
        </w:tc>
        <w:tc>
          <w:tcPr>
            <w:tcW w:type="dxa" w:w="1285"/>
            <w:vAlign w:val="center"/>
          </w:tcPr>
          <w:p>
            <w:pPr>
              <w:spacing w:after="0"/>
            </w:pPr>
            <w:r>
              <w:rPr>
                <w:rFonts w:ascii="Arial" w:hAnsi="Arial" w:eastAsia="Microsoft YaHei"/>
                <w:sz w:val="14"/>
              </w:rPr>
              <w:t>Water</w:t>
            </w:r>
          </w:p>
        </w:tc>
        <w:tc>
          <w:tcPr>
            <w:tcW w:type="dxa" w:w="1285"/>
            <w:vAlign w:val="center"/>
          </w:tcPr>
          <w:p>
            <w:pPr>
              <w:spacing w:after="0"/>
            </w:pPr>
            <w:r>
              <w:rPr>
                <w:rFonts w:ascii="Arial" w:hAnsi="Arial" w:eastAsia="Microsoft YaHei"/>
                <w:sz w:val="14"/>
              </w:rPr>
              <w:t>51</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396,000</w:t>
            </w:r>
          </w:p>
        </w:tc>
        <w:tc>
          <w:tcPr>
            <w:tcW w:type="dxa" w:w="1285"/>
            <w:vAlign w:val="center"/>
          </w:tcPr>
          <w:p>
            <w:pPr>
              <w:spacing w:after="0"/>
            </w:pPr>
            <w:r>
              <w:rPr>
                <w:rFonts w:ascii="Arial" w:hAnsi="Arial" w:eastAsia="Microsoft YaHei"/>
                <w:sz w:val="14"/>
              </w:rPr>
              <w:t>99,000</w:t>
            </w:r>
          </w:p>
        </w:tc>
        <w:tc>
          <w:tcPr>
            <w:tcW w:type="dxa" w:w="1285"/>
            <w:vAlign w:val="center"/>
          </w:tcPr>
          <w:p>
            <w:pPr>
              <w:spacing w:after="0"/>
            </w:pPr>
            <w:r>
              <w:rPr>
                <w:rFonts w:ascii="Arial" w:hAnsi="Arial" w:eastAsia="Microsoft YaHei"/>
                <w:sz w:val="14"/>
              </w:rPr>
              <w:t>449,919</w:t>
            </w:r>
          </w:p>
        </w:tc>
        <w:tc>
          <w:tcPr>
            <w:tcW w:type="dxa" w:w="1285"/>
            <w:vAlign w:val="center"/>
          </w:tcPr>
          <w:p>
            <w:pPr>
              <w:spacing w:after="0"/>
            </w:pPr>
            <w:r>
              <w:rPr>
                <w:rFonts w:ascii="Arial" w:hAnsi="Arial" w:eastAsia="Microsoft YaHei"/>
                <w:sz w:val="14"/>
              </w:rPr>
              <w:t>12.1%</w:t>
            </w:r>
          </w:p>
        </w:tc>
      </w:tr>
      <w:tr>
        <w:tc>
          <w:tcPr>
            <w:tcW w:type="dxa" w:w="1285"/>
            <w:vAlign w:val="center"/>
          </w:tcPr>
          <w:p>
            <w:pPr>
              <w:spacing w:after="0"/>
            </w:pPr>
            <w:r>
              <w:rPr>
                <w:rFonts w:ascii="Arial" w:hAnsi="Arial" w:eastAsia="Microsoft YaHei"/>
                <w:sz w:val="14"/>
              </w:rPr>
              <w:t>NeurIPS-TS</w:t>
            </w:r>
          </w:p>
        </w:tc>
        <w:tc>
          <w:tcPr>
            <w:tcW w:type="dxa" w:w="1285"/>
            <w:vAlign w:val="center"/>
          </w:tcPr>
          <w:p>
            <w:pPr>
              <w:spacing w:after="0"/>
            </w:pPr>
            <w:r>
              <w:rPr>
                <w:rFonts w:ascii="Arial" w:hAnsi="Arial" w:eastAsia="Microsoft YaHei"/>
                <w:sz w:val="14"/>
              </w:rPr>
              <w:t>Various anomalies</w:t>
            </w:r>
          </w:p>
        </w:tc>
        <w:tc>
          <w:tcPr>
            <w:tcW w:type="dxa" w:w="1285"/>
            <w:vAlign w:val="center"/>
          </w:tcPr>
          <w:p>
            <w:pPr>
              <w:spacing w:after="0"/>
            </w:pPr>
            <w:r>
              <w:rPr>
                <w:rFonts w:ascii="Arial" w:hAnsi="Arial" w:eastAsia="Microsoft YaHei"/>
                <w:sz w:val="14"/>
              </w:rPr>
              <w:t>1</w:t>
            </w:r>
          </w:p>
        </w:tc>
        <w:tc>
          <w:tcPr>
            <w:tcW w:type="dxa" w:w="1285"/>
            <w:vAlign w:val="center"/>
          </w:tcPr>
          <w:p>
            <w:pPr>
              <w:spacing w:after="0"/>
            </w:pPr>
            <w:r>
              <w:rPr>
                <w:rFonts w:ascii="Arial" w:hAnsi="Arial" w:eastAsia="Microsoft YaHei"/>
                <w:sz w:val="14"/>
              </w:rPr>
              <w:t>100</w:t>
            </w:r>
          </w:p>
        </w:tc>
        <w:tc>
          <w:tcPr>
            <w:tcW w:type="dxa" w:w="1285"/>
            <w:vAlign w:val="center"/>
          </w:tcPr>
          <w:p>
            <w:pPr>
              <w:spacing w:after="0"/>
            </w:pPr>
            <w:r>
              <w:rPr>
                <w:rFonts w:ascii="Arial" w:hAnsi="Arial" w:eastAsia="Microsoft YaHei"/>
                <w:sz w:val="14"/>
              </w:rPr>
              <w:t>20,000</w:t>
            </w:r>
          </w:p>
        </w:tc>
        <w:tc>
          <w:tcPr>
            <w:tcW w:type="dxa" w:w="1285"/>
            <w:vAlign w:val="center"/>
          </w:tcPr>
          <w:p>
            <w:pPr>
              <w:spacing w:after="0"/>
            </w:pPr>
            <w:r>
              <w:rPr>
                <w:rFonts w:ascii="Arial" w:hAnsi="Arial" w:eastAsia="Microsoft YaHei"/>
                <w:sz w:val="14"/>
              </w:rPr>
              <w:t>10,000</w:t>
            </w:r>
          </w:p>
        </w:tc>
        <w:tc>
          <w:tcPr>
            <w:tcW w:type="dxa" w:w="1285"/>
            <w:vAlign w:val="center"/>
          </w:tcPr>
          <w:p>
            <w:pPr>
              <w:spacing w:after="0"/>
            </w:pPr>
            <w:r>
              <w:rPr>
                <w:rFonts w:ascii="Arial" w:hAnsi="Arial" w:eastAsia="Microsoft YaHei"/>
                <w:sz w:val="14"/>
              </w:rPr>
              <w:t>20,000</w:t>
            </w:r>
          </w:p>
        </w:tc>
        <w:tc>
          <w:tcPr>
            <w:tcW w:type="dxa" w:w="1285"/>
            <w:vAlign w:val="center"/>
          </w:tcPr>
          <w:p>
            <w:pPr>
              <w:spacing w:after="0"/>
            </w:pPr>
            <w:r>
              <w:rPr>
                <w:rFonts w:ascii="Arial" w:hAnsi="Arial" w:eastAsia="Microsoft YaHei"/>
                <w:sz w:val="14"/>
              </w:rPr>
              <w:t>1.8%</w:t>
            </w:r>
          </w:p>
        </w:tc>
      </w:tr>
    </w:tbl>
    <w:p>
      <w:r>
        <w:t>*注意：正文数据集描述中PSM写为26 dimensions，而Appendix Table 13写为25。报告保留该原文不一致，不自行修正。</w:t>
      </w:r>
    </w:p>
    <w:p>
      <w:r>
        <w:t>最重要的场景证据是SWaT：51个水处理系统传感器，属于持续运行的critical infrastructure，与本项目净水处理场景直接相关。</w:t>
      </w:r>
    </w:p>
    <w:p>
      <w:pPr>
        <w:pStyle w:val="Heading1"/>
      </w:pPr>
      <w:r>
        <w:t>13. NeurIPS-TS为什么对我们的异常分类特别有用？</w:t>
      </w:r>
    </w:p>
    <w:p>
      <w:r>
        <w:t>NeurIPS-TS是单变量合成/规则化benchmark，但它明确按behavior-driven taxonomy包含五种异常：point-global、pattern-contextual、pattern-shapelet、pattern-seasonal、pattern-trend。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pPr>
              <w:spacing w:after="0"/>
            </w:pPr>
            <w:r>
              <w:rPr>
                <w:rFonts w:ascii="Arial" w:hAnsi="Arial" w:eastAsia="Microsoft YaHei"/>
                <w:sz w:val="15"/>
              </w:rPr>
              <w:t>类型</w:t>
            </w:r>
          </w:p>
        </w:tc>
        <w:tc>
          <w:tcPr>
            <w:tcW w:type="dxa" w:w="2570"/>
            <w:shd w:fill="D9EAF7"/>
            <w:vAlign w:val="center"/>
          </w:tcPr>
          <w:p>
            <w:pPr>
              <w:spacing w:after="0"/>
            </w:pPr>
            <w:r>
              <w:rPr>
                <w:rFonts w:ascii="Arial" w:hAnsi="Arial" w:eastAsia="Microsoft YaHei"/>
                <w:sz w:val="15"/>
              </w:rPr>
              <w:t>直观含义</w:t>
            </w:r>
          </w:p>
        </w:tc>
        <w:tc>
          <w:tcPr>
            <w:tcW w:type="dxa" w:w="2570"/>
            <w:shd w:fill="D9EAF7"/>
            <w:vAlign w:val="center"/>
          </w:tcPr>
          <w:p>
            <w:pPr>
              <w:spacing w:after="0"/>
            </w:pPr>
            <w:r>
              <w:rPr>
                <w:rFonts w:ascii="Arial" w:hAnsi="Arial" w:eastAsia="Microsoft YaHei"/>
                <w:sz w:val="15"/>
              </w:rPr>
              <w:t>一般异常分类</w:t>
            </w:r>
          </w:p>
        </w:tc>
        <w:tc>
          <w:tcPr>
            <w:tcW w:type="dxa" w:w="2570"/>
            <w:shd w:fill="D9EAF7"/>
            <w:vAlign w:val="center"/>
          </w:tcPr>
          <w:p>
            <w:pPr>
              <w:spacing w:after="0"/>
            </w:pPr>
            <w:r>
              <w:rPr>
                <w:rFonts w:ascii="Arial" w:hAnsi="Arial" w:eastAsia="Microsoft YaHei"/>
                <w:sz w:val="15"/>
              </w:rPr>
              <w:t>对学習外分类的启示</w:t>
            </w:r>
          </w:p>
        </w:tc>
      </w:tr>
      <w:tr>
        <w:tc>
          <w:tcPr>
            <w:tcW w:type="dxa" w:w="2570"/>
            <w:vAlign w:val="center"/>
          </w:tcPr>
          <w:p>
            <w:pPr>
              <w:spacing w:after="0"/>
            </w:pPr>
            <w:r>
              <w:rPr>
                <w:rFonts w:ascii="Arial" w:hAnsi="Arial" w:eastAsia="Microsoft YaHei"/>
                <w:sz w:val="15"/>
              </w:rPr>
              <w:t>point-global</w:t>
            </w:r>
          </w:p>
        </w:tc>
        <w:tc>
          <w:tcPr>
            <w:tcW w:type="dxa" w:w="2570"/>
            <w:vAlign w:val="center"/>
          </w:tcPr>
          <w:p>
            <w:pPr>
              <w:spacing w:after="0"/>
            </w:pPr>
            <w:r>
              <w:rPr>
                <w:rFonts w:ascii="Arial" w:hAnsi="Arial" w:eastAsia="Microsoft YaHei"/>
                <w:sz w:val="15"/>
              </w:rPr>
              <w:t>单点数值全局极端</w:t>
            </w:r>
          </w:p>
        </w:tc>
        <w:tc>
          <w:tcPr>
            <w:tcW w:type="dxa" w:w="2570"/>
            <w:vAlign w:val="center"/>
          </w:tcPr>
          <w:p>
            <w:pPr>
              <w:spacing w:after="0"/>
            </w:pPr>
            <w:r>
              <w:rPr>
                <w:rFonts w:ascii="Arial" w:hAnsi="Arial" w:eastAsia="Microsoft YaHei"/>
                <w:sz w:val="15"/>
              </w:rPr>
              <w:t>Point Anomaly</w:t>
            </w:r>
          </w:p>
        </w:tc>
        <w:tc>
          <w:tcPr>
            <w:tcW w:type="dxa" w:w="2570"/>
            <w:vAlign w:val="center"/>
          </w:tcPr>
          <w:p>
            <w:pPr>
              <w:spacing w:after="0"/>
            </w:pPr>
            <w:r>
              <w:rPr>
                <w:rFonts w:ascii="Arial" w:hAnsi="Arial" w:eastAsia="Microsoft YaHei"/>
                <w:sz w:val="15"/>
              </w:rPr>
              <w:t>较接近①范围/分布外</w:t>
            </w:r>
          </w:p>
        </w:tc>
      </w:tr>
      <w:tr>
        <w:tc>
          <w:tcPr>
            <w:tcW w:type="dxa" w:w="2570"/>
            <w:vAlign w:val="center"/>
          </w:tcPr>
          <w:p>
            <w:pPr>
              <w:spacing w:after="0"/>
            </w:pPr>
            <w:r>
              <w:rPr>
                <w:rFonts w:ascii="Arial" w:hAnsi="Arial" w:eastAsia="Microsoft YaHei"/>
                <w:sz w:val="15"/>
              </w:rPr>
              <w:t>pattern-contextual</w:t>
            </w:r>
          </w:p>
        </w:tc>
        <w:tc>
          <w:tcPr>
            <w:tcW w:type="dxa" w:w="2570"/>
            <w:vAlign w:val="center"/>
          </w:tcPr>
          <w:p>
            <w:pPr>
              <w:spacing w:after="0"/>
            </w:pPr>
            <w:r>
              <w:rPr>
                <w:rFonts w:ascii="Arial" w:hAnsi="Arial" w:eastAsia="Microsoft YaHei"/>
                <w:sz w:val="15"/>
              </w:rPr>
              <w:t>数值在别处正常，但放在当前上下文异常</w:t>
            </w:r>
          </w:p>
        </w:tc>
        <w:tc>
          <w:tcPr>
            <w:tcW w:type="dxa" w:w="2570"/>
            <w:vAlign w:val="center"/>
          </w:tcPr>
          <w:p>
            <w:pPr>
              <w:spacing w:after="0"/>
            </w:pPr>
            <w:r>
              <w:rPr>
                <w:rFonts w:ascii="Arial" w:hAnsi="Arial" w:eastAsia="Microsoft YaHei"/>
                <w:sz w:val="15"/>
              </w:rPr>
              <w:t>Contextual Anomaly</w:t>
            </w:r>
          </w:p>
        </w:tc>
        <w:tc>
          <w:tcPr>
            <w:tcW w:type="dxa" w:w="2570"/>
            <w:vAlign w:val="center"/>
          </w:tcPr>
          <w:p>
            <w:pPr>
              <w:spacing w:after="0"/>
            </w:pPr>
            <w:r>
              <w:rPr>
                <w:rFonts w:ascii="Arial" w:hAnsi="Arial" w:eastAsia="Microsoft YaHei"/>
                <w:sz w:val="15"/>
              </w:rPr>
              <w:t>与③关系/上下文变化接近</w:t>
            </w:r>
          </w:p>
        </w:tc>
      </w:tr>
      <w:tr>
        <w:tc>
          <w:tcPr>
            <w:tcW w:type="dxa" w:w="2570"/>
            <w:vAlign w:val="center"/>
          </w:tcPr>
          <w:p>
            <w:pPr>
              <w:spacing w:after="0"/>
            </w:pPr>
            <w:r>
              <w:rPr>
                <w:rFonts w:ascii="Arial" w:hAnsi="Arial" w:eastAsia="Microsoft YaHei"/>
                <w:sz w:val="15"/>
              </w:rPr>
              <w:t>pattern-shapelet</w:t>
            </w:r>
          </w:p>
        </w:tc>
        <w:tc>
          <w:tcPr>
            <w:tcW w:type="dxa" w:w="2570"/>
            <w:vAlign w:val="center"/>
          </w:tcPr>
          <w:p>
            <w:pPr>
              <w:spacing w:after="0"/>
            </w:pPr>
            <w:r>
              <w:rPr>
                <w:rFonts w:ascii="Arial" w:hAnsi="Arial" w:eastAsia="Microsoft YaHei"/>
                <w:sz w:val="15"/>
              </w:rPr>
              <w:t>局部形状模式异常</w:t>
            </w:r>
          </w:p>
        </w:tc>
        <w:tc>
          <w:tcPr>
            <w:tcW w:type="dxa" w:w="2570"/>
            <w:vAlign w:val="center"/>
          </w:tcPr>
          <w:p>
            <w:pPr>
              <w:spacing w:after="0"/>
            </w:pPr>
            <w:r>
              <w:rPr>
                <w:rFonts w:ascii="Arial" w:hAnsi="Arial" w:eastAsia="Microsoft YaHei"/>
                <w:sz w:val="15"/>
              </w:rPr>
              <w:t>Collective / Contextual</w:t>
            </w:r>
          </w:p>
        </w:tc>
        <w:tc>
          <w:tcPr>
            <w:tcW w:type="dxa" w:w="2570"/>
            <w:vAlign w:val="center"/>
          </w:tcPr>
          <w:p>
            <w:pPr>
              <w:spacing w:after="0"/>
            </w:pPr>
            <w:r>
              <w:rPr>
                <w:rFonts w:ascii="Arial" w:hAnsi="Arial" w:eastAsia="Microsoft YaHei"/>
                <w:sz w:val="15"/>
              </w:rPr>
              <w:t>与时间动态模式未学习接近</w:t>
            </w:r>
          </w:p>
        </w:tc>
      </w:tr>
      <w:tr>
        <w:tc>
          <w:tcPr>
            <w:tcW w:type="dxa" w:w="2570"/>
            <w:vAlign w:val="center"/>
          </w:tcPr>
          <w:p>
            <w:pPr>
              <w:spacing w:after="0"/>
            </w:pPr>
            <w:r>
              <w:rPr>
                <w:rFonts w:ascii="Arial" w:hAnsi="Arial" w:eastAsia="Microsoft YaHei"/>
                <w:sz w:val="15"/>
              </w:rPr>
              <w:t>pattern-seasonal</w:t>
            </w:r>
          </w:p>
        </w:tc>
        <w:tc>
          <w:tcPr>
            <w:tcW w:type="dxa" w:w="2570"/>
            <w:vAlign w:val="center"/>
          </w:tcPr>
          <w:p>
            <w:pPr>
              <w:spacing w:after="0"/>
            </w:pPr>
            <w:r>
              <w:rPr>
                <w:rFonts w:ascii="Arial" w:hAnsi="Arial" w:eastAsia="Microsoft YaHei"/>
                <w:sz w:val="15"/>
              </w:rPr>
              <w:t>季节/周期规律异常</w:t>
            </w:r>
          </w:p>
        </w:tc>
        <w:tc>
          <w:tcPr>
            <w:tcW w:type="dxa" w:w="2570"/>
            <w:vAlign w:val="center"/>
          </w:tcPr>
          <w:p>
            <w:pPr>
              <w:spacing w:after="0"/>
            </w:pPr>
            <w:r>
              <w:rPr>
                <w:rFonts w:ascii="Arial" w:hAnsi="Arial" w:eastAsia="Microsoft YaHei"/>
                <w:sz w:val="15"/>
              </w:rPr>
              <w:t>Contextual / Collective</w:t>
            </w:r>
          </w:p>
        </w:tc>
        <w:tc>
          <w:tcPr>
            <w:tcW w:type="dxa" w:w="2570"/>
            <w:vAlign w:val="center"/>
          </w:tcPr>
          <w:p>
            <w:pPr>
              <w:spacing w:after="0"/>
            </w:pPr>
            <w:r>
              <w:rPr>
                <w:rFonts w:ascii="Arial" w:hAnsi="Arial" w:eastAsia="Microsoft YaHei"/>
                <w:sz w:val="15"/>
              </w:rPr>
              <w:t>与长期时序关系变化接近</w:t>
            </w:r>
          </w:p>
        </w:tc>
      </w:tr>
      <w:tr>
        <w:tc>
          <w:tcPr>
            <w:tcW w:type="dxa" w:w="2570"/>
            <w:vAlign w:val="center"/>
          </w:tcPr>
          <w:p>
            <w:pPr>
              <w:spacing w:after="0"/>
            </w:pPr>
            <w:r>
              <w:rPr>
                <w:rFonts w:ascii="Arial" w:hAnsi="Arial" w:eastAsia="Microsoft YaHei"/>
                <w:sz w:val="15"/>
              </w:rPr>
              <w:t>pattern-trend</w:t>
            </w:r>
          </w:p>
        </w:tc>
        <w:tc>
          <w:tcPr>
            <w:tcW w:type="dxa" w:w="2570"/>
            <w:vAlign w:val="center"/>
          </w:tcPr>
          <w:p>
            <w:pPr>
              <w:spacing w:after="0"/>
            </w:pPr>
            <w:r>
              <w:rPr>
                <w:rFonts w:ascii="Arial" w:hAnsi="Arial" w:eastAsia="Microsoft YaHei"/>
                <w:sz w:val="15"/>
              </w:rPr>
              <w:t>趋势发生异常</w:t>
            </w:r>
          </w:p>
        </w:tc>
        <w:tc>
          <w:tcPr>
            <w:tcW w:type="dxa" w:w="2570"/>
            <w:vAlign w:val="center"/>
          </w:tcPr>
          <w:p>
            <w:pPr>
              <w:spacing w:after="0"/>
            </w:pPr>
            <w:r>
              <w:rPr>
                <w:rFonts w:ascii="Arial" w:hAnsi="Arial" w:eastAsia="Microsoft YaHei"/>
                <w:sz w:val="15"/>
              </w:rPr>
              <w:t>Collective / Contextual</w:t>
            </w:r>
          </w:p>
        </w:tc>
        <w:tc>
          <w:tcPr>
            <w:tcW w:type="dxa" w:w="2570"/>
            <w:vAlign w:val="center"/>
          </w:tcPr>
          <w:p>
            <w:pPr>
              <w:spacing w:after="0"/>
            </w:pPr>
            <w:r>
              <w:rPr>
                <w:rFonts w:ascii="Arial" w:hAnsi="Arial" w:eastAsia="Microsoft YaHei"/>
                <w:sz w:val="15"/>
              </w:rPr>
              <w:t>与分布变化/动态过程变化接近</w:t>
            </w:r>
          </w:p>
        </w:tc>
      </w:tr>
    </w:tbl>
    <w:p>
      <w:r>
        <w:t>因此，这篇论文比只在服务器异常数据上验证的方法更能说明它不是只抓“大尖峰”，而能处理多种pattern-wise异常。</w:t>
      </w:r>
    </w:p>
    <w:p>
      <w:pPr>
        <w:pStyle w:val="Heading1"/>
      </w:pPr>
      <w:r>
        <w:t>14. 主实验结果</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pPr>
              <w:spacing w:after="0"/>
            </w:pPr>
            <w:r>
              <w:rPr>
                <w:rFonts w:ascii="Arial" w:hAnsi="Arial" w:eastAsia="Microsoft YaHei"/>
                <w:sz w:val="15"/>
              </w:rPr>
              <w:t>Dataset</w:t>
            </w:r>
          </w:p>
        </w:tc>
        <w:tc>
          <w:tcPr>
            <w:tcW w:type="dxa" w:w="2570"/>
            <w:shd w:fill="D9EAF7"/>
            <w:vAlign w:val="center"/>
          </w:tcPr>
          <w:p>
            <w:pPr>
              <w:spacing w:after="0"/>
            </w:pPr>
            <w:r>
              <w:rPr>
                <w:rFonts w:ascii="Arial" w:hAnsi="Arial" w:eastAsia="Microsoft YaHei"/>
                <w:sz w:val="15"/>
              </w:rPr>
              <w:t>Ours Precision</w:t>
            </w:r>
          </w:p>
        </w:tc>
        <w:tc>
          <w:tcPr>
            <w:tcW w:type="dxa" w:w="2570"/>
            <w:shd w:fill="D9EAF7"/>
            <w:vAlign w:val="center"/>
          </w:tcPr>
          <w:p>
            <w:pPr>
              <w:spacing w:after="0"/>
            </w:pPr>
            <w:r>
              <w:rPr>
                <w:rFonts w:ascii="Arial" w:hAnsi="Arial" w:eastAsia="Microsoft YaHei"/>
                <w:sz w:val="15"/>
              </w:rPr>
              <w:t>Recall</w:t>
            </w:r>
          </w:p>
        </w:tc>
        <w:tc>
          <w:tcPr>
            <w:tcW w:type="dxa" w:w="2570"/>
            <w:shd w:fill="D9EAF7"/>
            <w:vAlign w:val="center"/>
          </w:tcPr>
          <w:p>
            <w:pPr>
              <w:spacing w:after="0"/>
            </w:pPr>
            <w:r>
              <w:rPr>
                <w:rFonts w:ascii="Arial" w:hAnsi="Arial" w:eastAsia="Microsoft YaHei"/>
                <w:sz w:val="15"/>
              </w:rPr>
              <w:t>F1</w:t>
            </w:r>
          </w:p>
        </w:tc>
      </w:tr>
      <w:tr>
        <w:tc>
          <w:tcPr>
            <w:tcW w:type="dxa" w:w="2570"/>
            <w:vAlign w:val="center"/>
          </w:tcPr>
          <w:p>
            <w:pPr>
              <w:spacing w:after="0"/>
            </w:pPr>
            <w:r>
              <w:rPr>
                <w:rFonts w:ascii="Arial" w:hAnsi="Arial" w:eastAsia="Microsoft YaHei"/>
                <w:sz w:val="15"/>
              </w:rPr>
              <w:t>SMD</w:t>
            </w:r>
          </w:p>
        </w:tc>
        <w:tc>
          <w:tcPr>
            <w:tcW w:type="dxa" w:w="2570"/>
            <w:vAlign w:val="center"/>
          </w:tcPr>
          <w:p>
            <w:pPr>
              <w:spacing w:after="0"/>
            </w:pPr>
            <w:r>
              <w:rPr>
                <w:rFonts w:ascii="Arial" w:hAnsi="Arial" w:eastAsia="Microsoft YaHei"/>
                <w:sz w:val="15"/>
              </w:rPr>
              <w:t>89.40</w:t>
            </w:r>
          </w:p>
        </w:tc>
        <w:tc>
          <w:tcPr>
            <w:tcW w:type="dxa" w:w="2570"/>
            <w:vAlign w:val="center"/>
          </w:tcPr>
          <w:p>
            <w:pPr>
              <w:spacing w:after="0"/>
            </w:pPr>
            <w:r>
              <w:rPr>
                <w:rFonts w:ascii="Arial" w:hAnsi="Arial" w:eastAsia="Microsoft YaHei"/>
                <w:sz w:val="15"/>
              </w:rPr>
              <w:t>95.45</w:t>
            </w:r>
          </w:p>
        </w:tc>
        <w:tc>
          <w:tcPr>
            <w:tcW w:type="dxa" w:w="2570"/>
            <w:vAlign w:val="center"/>
          </w:tcPr>
          <w:p>
            <w:pPr>
              <w:spacing w:after="0"/>
            </w:pPr>
            <w:r>
              <w:rPr>
                <w:rFonts w:ascii="Arial" w:hAnsi="Arial" w:eastAsia="Microsoft YaHei"/>
                <w:sz w:val="15"/>
              </w:rPr>
              <w:t>92.33</w:t>
            </w:r>
          </w:p>
        </w:tc>
      </w:tr>
      <w:tr>
        <w:tc>
          <w:tcPr>
            <w:tcW w:type="dxa" w:w="2570"/>
            <w:vAlign w:val="center"/>
          </w:tcPr>
          <w:p>
            <w:pPr>
              <w:spacing w:after="0"/>
            </w:pPr>
            <w:r>
              <w:rPr>
                <w:rFonts w:ascii="Arial" w:hAnsi="Arial" w:eastAsia="Microsoft YaHei"/>
                <w:sz w:val="15"/>
              </w:rPr>
              <w:t>MSL</w:t>
            </w:r>
          </w:p>
        </w:tc>
        <w:tc>
          <w:tcPr>
            <w:tcW w:type="dxa" w:w="2570"/>
            <w:vAlign w:val="center"/>
          </w:tcPr>
          <w:p>
            <w:pPr>
              <w:spacing w:after="0"/>
            </w:pPr>
            <w:r>
              <w:rPr>
                <w:rFonts w:ascii="Arial" w:hAnsi="Arial" w:eastAsia="Microsoft YaHei"/>
                <w:sz w:val="15"/>
              </w:rPr>
              <w:t>92.09</w:t>
            </w:r>
          </w:p>
        </w:tc>
        <w:tc>
          <w:tcPr>
            <w:tcW w:type="dxa" w:w="2570"/>
            <w:vAlign w:val="center"/>
          </w:tcPr>
          <w:p>
            <w:pPr>
              <w:spacing w:after="0"/>
            </w:pPr>
            <w:r>
              <w:rPr>
                <w:rFonts w:ascii="Arial" w:hAnsi="Arial" w:eastAsia="Microsoft YaHei"/>
                <w:sz w:val="15"/>
              </w:rPr>
              <w:t>95.15</w:t>
            </w:r>
          </w:p>
        </w:tc>
        <w:tc>
          <w:tcPr>
            <w:tcW w:type="dxa" w:w="2570"/>
            <w:vAlign w:val="center"/>
          </w:tcPr>
          <w:p>
            <w:pPr>
              <w:spacing w:after="0"/>
            </w:pPr>
            <w:r>
              <w:rPr>
                <w:rFonts w:ascii="Arial" w:hAnsi="Arial" w:eastAsia="Microsoft YaHei"/>
                <w:sz w:val="15"/>
              </w:rPr>
              <w:t>93.59</w:t>
            </w:r>
          </w:p>
        </w:tc>
      </w:tr>
      <w:tr>
        <w:tc>
          <w:tcPr>
            <w:tcW w:type="dxa" w:w="2570"/>
            <w:vAlign w:val="center"/>
          </w:tcPr>
          <w:p>
            <w:pPr>
              <w:spacing w:after="0"/>
            </w:pPr>
            <w:r>
              <w:rPr>
                <w:rFonts w:ascii="Arial" w:hAnsi="Arial" w:eastAsia="Microsoft YaHei"/>
                <w:sz w:val="15"/>
              </w:rPr>
              <w:t>SMAP</w:t>
            </w:r>
          </w:p>
        </w:tc>
        <w:tc>
          <w:tcPr>
            <w:tcW w:type="dxa" w:w="2570"/>
            <w:vAlign w:val="center"/>
          </w:tcPr>
          <w:p>
            <w:pPr>
              <w:spacing w:after="0"/>
            </w:pPr>
            <w:r>
              <w:rPr>
                <w:rFonts w:ascii="Arial" w:hAnsi="Arial" w:eastAsia="Microsoft YaHei"/>
                <w:sz w:val="15"/>
              </w:rPr>
              <w:t>94.13</w:t>
            </w:r>
          </w:p>
        </w:tc>
        <w:tc>
          <w:tcPr>
            <w:tcW w:type="dxa" w:w="2570"/>
            <w:vAlign w:val="center"/>
          </w:tcPr>
          <w:p>
            <w:pPr>
              <w:spacing w:after="0"/>
            </w:pPr>
            <w:r>
              <w:rPr>
                <w:rFonts w:ascii="Arial" w:hAnsi="Arial" w:eastAsia="Microsoft YaHei"/>
                <w:sz w:val="15"/>
              </w:rPr>
              <w:t>99.40</w:t>
            </w:r>
          </w:p>
        </w:tc>
        <w:tc>
          <w:tcPr>
            <w:tcW w:type="dxa" w:w="2570"/>
            <w:vAlign w:val="center"/>
          </w:tcPr>
          <w:p>
            <w:pPr>
              <w:spacing w:after="0"/>
            </w:pPr>
            <w:r>
              <w:rPr>
                <w:rFonts w:ascii="Arial" w:hAnsi="Arial" w:eastAsia="Microsoft YaHei"/>
                <w:sz w:val="15"/>
              </w:rPr>
              <w:t>96.69</w:t>
            </w:r>
          </w:p>
        </w:tc>
      </w:tr>
      <w:tr>
        <w:tc>
          <w:tcPr>
            <w:tcW w:type="dxa" w:w="2570"/>
            <w:vAlign w:val="center"/>
          </w:tcPr>
          <w:p>
            <w:pPr>
              <w:spacing w:after="0"/>
            </w:pPr>
            <w:r>
              <w:rPr>
                <w:rFonts w:ascii="Arial" w:hAnsi="Arial" w:eastAsia="Microsoft YaHei"/>
                <w:sz w:val="15"/>
              </w:rPr>
              <w:t>SWaT</w:t>
            </w:r>
          </w:p>
        </w:tc>
        <w:tc>
          <w:tcPr>
            <w:tcW w:type="dxa" w:w="2570"/>
            <w:vAlign w:val="center"/>
          </w:tcPr>
          <w:p>
            <w:pPr>
              <w:spacing w:after="0"/>
            </w:pPr>
            <w:r>
              <w:rPr>
                <w:rFonts w:ascii="Arial" w:hAnsi="Arial" w:eastAsia="Microsoft YaHei"/>
                <w:sz w:val="15"/>
              </w:rPr>
              <w:t>91.55</w:t>
            </w:r>
          </w:p>
        </w:tc>
        <w:tc>
          <w:tcPr>
            <w:tcW w:type="dxa" w:w="2570"/>
            <w:vAlign w:val="center"/>
          </w:tcPr>
          <w:p>
            <w:pPr>
              <w:spacing w:after="0"/>
            </w:pPr>
            <w:r>
              <w:rPr>
                <w:rFonts w:ascii="Arial" w:hAnsi="Arial" w:eastAsia="Microsoft YaHei"/>
                <w:sz w:val="15"/>
              </w:rPr>
              <w:t>96.73</w:t>
            </w:r>
          </w:p>
        </w:tc>
        <w:tc>
          <w:tcPr>
            <w:tcW w:type="dxa" w:w="2570"/>
            <w:vAlign w:val="center"/>
          </w:tcPr>
          <w:p>
            <w:pPr>
              <w:spacing w:after="0"/>
            </w:pPr>
            <w:r>
              <w:rPr>
                <w:rFonts w:ascii="Arial" w:hAnsi="Arial" w:eastAsia="Microsoft YaHei"/>
                <w:sz w:val="15"/>
              </w:rPr>
              <w:t>94.07</w:t>
            </w:r>
          </w:p>
        </w:tc>
      </w:tr>
      <w:tr>
        <w:tc>
          <w:tcPr>
            <w:tcW w:type="dxa" w:w="2570"/>
            <w:vAlign w:val="center"/>
          </w:tcPr>
          <w:p>
            <w:pPr>
              <w:spacing w:after="0"/>
            </w:pPr>
            <w:r>
              <w:rPr>
                <w:rFonts w:ascii="Arial" w:hAnsi="Arial" w:eastAsia="Microsoft YaHei"/>
                <w:sz w:val="15"/>
              </w:rPr>
              <w:t>PSM</w:t>
            </w:r>
          </w:p>
        </w:tc>
        <w:tc>
          <w:tcPr>
            <w:tcW w:type="dxa" w:w="2570"/>
            <w:vAlign w:val="center"/>
          </w:tcPr>
          <w:p>
            <w:pPr>
              <w:spacing w:after="0"/>
            </w:pPr>
            <w:r>
              <w:rPr>
                <w:rFonts w:ascii="Arial" w:hAnsi="Arial" w:eastAsia="Microsoft YaHei"/>
                <w:sz w:val="15"/>
              </w:rPr>
              <w:t>96.91</w:t>
            </w:r>
          </w:p>
        </w:tc>
        <w:tc>
          <w:tcPr>
            <w:tcW w:type="dxa" w:w="2570"/>
            <w:vAlign w:val="center"/>
          </w:tcPr>
          <w:p>
            <w:pPr>
              <w:spacing w:after="0"/>
            </w:pPr>
            <w:r>
              <w:rPr>
                <w:rFonts w:ascii="Arial" w:hAnsi="Arial" w:eastAsia="Microsoft YaHei"/>
                <w:sz w:val="15"/>
              </w:rPr>
              <w:t>98.90</w:t>
            </w:r>
          </w:p>
        </w:tc>
        <w:tc>
          <w:tcPr>
            <w:tcW w:type="dxa" w:w="2570"/>
            <w:vAlign w:val="center"/>
          </w:tcPr>
          <w:p>
            <w:pPr>
              <w:spacing w:after="0"/>
            </w:pPr>
            <w:r>
              <w:rPr>
                <w:rFonts w:ascii="Arial" w:hAnsi="Arial" w:eastAsia="Microsoft YaHei"/>
                <w:sz w:val="15"/>
              </w:rPr>
              <w:t>97.89</w:t>
            </w:r>
          </w:p>
        </w:tc>
      </w:tr>
    </w:tbl>
    <w:p>
      <w:r>
        <w:t>论文报告五个真实数据集上均取得当时SOTA。ROC曲线中Anomaly Transformer的AUC也在五个真实数据集上最高。对本项目最有价值的是SWaT F1=94.07%，说明该方法至少在一个真实水处理多变量系统上得到强结果。</w:t>
      </w:r>
    </w:p>
    <w:p>
      <w:pPr>
        <w:pStyle w:val="Heading1"/>
      </w:pPr>
      <w:r>
        <w:t>15. 消融实验：真正证明了什么？</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0"/>
            </w:pPr>
            <w:r>
              <w:rPr>
                <w:rFonts w:ascii="Arial" w:hAnsi="Arial" w:eastAsia="Microsoft YaHei"/>
                <w:sz w:val="15"/>
              </w:rPr>
              <w:t>设置</w:t>
            </w:r>
          </w:p>
        </w:tc>
        <w:tc>
          <w:tcPr>
            <w:tcW w:type="dxa" w:w="3427"/>
            <w:shd w:fill="D9EAF7"/>
            <w:vAlign w:val="center"/>
          </w:tcPr>
          <w:p>
            <w:pPr>
              <w:spacing w:after="0"/>
            </w:pPr>
            <w:r>
              <w:rPr>
                <w:rFonts w:ascii="Arial" w:hAnsi="Arial" w:eastAsia="Microsoft YaHei"/>
                <w:sz w:val="15"/>
              </w:rPr>
              <w:t>平均F1</w:t>
            </w:r>
          </w:p>
        </w:tc>
        <w:tc>
          <w:tcPr>
            <w:tcW w:type="dxa" w:w="3427"/>
            <w:shd w:fill="D9EAF7"/>
            <w:vAlign w:val="center"/>
          </w:tcPr>
          <w:p>
            <w:pPr>
              <w:spacing w:after="0"/>
            </w:pPr>
            <w:r>
              <w:rPr>
                <w:rFonts w:ascii="Arial" w:hAnsi="Arial" w:eastAsia="Microsoft YaHei"/>
                <w:sz w:val="15"/>
              </w:rPr>
              <w:t>说明</w:t>
            </w:r>
          </w:p>
        </w:tc>
      </w:tr>
      <w:tr>
        <w:tc>
          <w:tcPr>
            <w:tcW w:type="dxa" w:w="3427"/>
            <w:vAlign w:val="center"/>
          </w:tcPr>
          <w:p>
            <w:pPr>
              <w:spacing w:after="0"/>
            </w:pPr>
            <w:r>
              <w:rPr>
                <w:rFonts w:ascii="Arial" w:hAnsi="Arial" w:eastAsia="Microsoft YaHei"/>
                <w:sz w:val="15"/>
              </w:rPr>
              <w:t>Pure Transformer + Reconstruction</w:t>
            </w:r>
          </w:p>
        </w:tc>
        <w:tc>
          <w:tcPr>
            <w:tcW w:type="dxa" w:w="3427"/>
            <w:vAlign w:val="center"/>
          </w:tcPr>
          <w:p>
            <w:pPr>
              <w:spacing w:after="0"/>
            </w:pPr>
            <w:r>
              <w:rPr>
                <w:rFonts w:ascii="Arial" w:hAnsi="Arial" w:eastAsia="Microsoft YaHei"/>
                <w:sz w:val="15"/>
              </w:rPr>
              <w:t>76.62</w:t>
            </w:r>
          </w:p>
        </w:tc>
        <w:tc>
          <w:tcPr>
            <w:tcW w:type="dxa" w:w="3427"/>
            <w:vAlign w:val="center"/>
          </w:tcPr>
          <w:p>
            <w:pPr>
              <w:spacing w:after="0"/>
            </w:pPr>
            <w:r>
              <w:rPr>
                <w:rFonts w:ascii="Arial" w:hAnsi="Arial" w:eastAsia="Microsoft YaHei"/>
                <w:sz w:val="15"/>
              </w:rPr>
              <w:t>普通Transformer重构并不够</w:t>
            </w:r>
          </w:p>
        </w:tc>
      </w:tr>
      <w:tr>
        <w:tc>
          <w:tcPr>
            <w:tcW w:type="dxa" w:w="3427"/>
            <w:vAlign w:val="center"/>
          </w:tcPr>
          <w:p>
            <w:pPr>
              <w:spacing w:after="0"/>
            </w:pPr>
            <w:r>
              <w:rPr>
                <w:rFonts w:ascii="Arial" w:hAnsi="Arial" w:eastAsia="Microsoft YaHei"/>
                <w:sz w:val="15"/>
              </w:rPr>
              <w:t>Anomaly Transformer + Recon</w:t>
            </w:r>
          </w:p>
        </w:tc>
        <w:tc>
          <w:tcPr>
            <w:tcW w:type="dxa" w:w="3427"/>
            <w:vAlign w:val="center"/>
          </w:tcPr>
          <w:p>
            <w:pPr>
              <w:spacing w:after="0"/>
            </w:pPr>
            <w:r>
              <w:rPr>
                <w:rFonts w:ascii="Arial" w:hAnsi="Arial" w:eastAsia="Microsoft YaHei"/>
                <w:sz w:val="15"/>
              </w:rPr>
              <w:t>76.20</w:t>
            </w:r>
          </w:p>
        </w:tc>
        <w:tc>
          <w:tcPr>
            <w:tcW w:type="dxa" w:w="3427"/>
            <w:vAlign w:val="center"/>
          </w:tcPr>
          <w:p>
            <w:pPr>
              <w:spacing w:after="0"/>
            </w:pPr>
            <w:r>
              <w:rPr>
                <w:rFonts w:ascii="Arial" w:hAnsi="Arial" w:eastAsia="Microsoft YaHei"/>
                <w:sz w:val="15"/>
              </w:rPr>
              <w:t>只加结构但仍用重构判据提升很小</w:t>
            </w:r>
          </w:p>
        </w:tc>
      </w:tr>
      <w:tr>
        <w:tc>
          <w:tcPr>
            <w:tcW w:type="dxa" w:w="3427"/>
            <w:vAlign w:val="center"/>
          </w:tcPr>
          <w:p>
            <w:pPr>
              <w:spacing w:after="0"/>
            </w:pPr>
            <w:r>
              <w:rPr>
                <w:rFonts w:ascii="Arial" w:hAnsi="Arial" w:eastAsia="Microsoft YaHei"/>
                <w:sz w:val="15"/>
              </w:rPr>
              <w:t>AssDis only</w:t>
            </w:r>
          </w:p>
        </w:tc>
        <w:tc>
          <w:tcPr>
            <w:tcW w:type="dxa" w:w="3427"/>
            <w:vAlign w:val="center"/>
          </w:tcPr>
          <w:p>
            <w:pPr>
              <w:spacing w:after="0"/>
            </w:pPr>
            <w:r>
              <w:rPr>
                <w:rFonts w:ascii="Arial" w:hAnsi="Arial" w:eastAsia="Microsoft YaHei"/>
                <w:sz w:val="15"/>
              </w:rPr>
              <w:t>91.55</w:t>
            </w:r>
          </w:p>
        </w:tc>
        <w:tc>
          <w:tcPr>
            <w:tcW w:type="dxa" w:w="3427"/>
            <w:vAlign w:val="center"/>
          </w:tcPr>
          <w:p>
            <w:pPr>
              <w:spacing w:after="0"/>
            </w:pPr>
            <w:r>
              <w:rPr>
                <w:rFonts w:ascii="Arial" w:hAnsi="Arial" w:eastAsia="Microsoft YaHei"/>
                <w:sz w:val="15"/>
              </w:rPr>
              <w:t>association discrepancy本身具有很强辨别力</w:t>
            </w:r>
          </w:p>
        </w:tc>
      </w:tr>
      <w:tr>
        <w:tc>
          <w:tcPr>
            <w:tcW w:type="dxa" w:w="3427"/>
            <w:vAlign w:val="center"/>
          </w:tcPr>
          <w:p>
            <w:pPr>
              <w:spacing w:after="0"/>
            </w:pPr>
            <w:r>
              <w:rPr>
                <w:rFonts w:ascii="Arial" w:hAnsi="Arial" w:eastAsia="Microsoft YaHei"/>
                <w:sz w:val="15"/>
              </w:rPr>
              <w:t>Assoc + fixed prior + Max</w:t>
            </w:r>
          </w:p>
        </w:tc>
        <w:tc>
          <w:tcPr>
            <w:tcW w:type="dxa" w:w="3427"/>
            <w:vAlign w:val="center"/>
          </w:tcPr>
          <w:p>
            <w:pPr>
              <w:spacing w:after="0"/>
            </w:pPr>
            <w:r>
              <w:rPr>
                <w:rFonts w:ascii="Arial" w:hAnsi="Arial" w:eastAsia="Microsoft YaHei"/>
                <w:sz w:val="15"/>
              </w:rPr>
              <w:t>79.05</w:t>
            </w:r>
          </w:p>
        </w:tc>
        <w:tc>
          <w:tcPr>
            <w:tcW w:type="dxa" w:w="3427"/>
            <w:vAlign w:val="center"/>
          </w:tcPr>
          <w:p>
            <w:pPr>
              <w:spacing w:after="0"/>
            </w:pPr>
            <w:r>
              <w:rPr>
                <w:rFonts w:ascii="Arial" w:hAnsi="Arial" w:eastAsia="Microsoft YaHei"/>
                <w:sz w:val="15"/>
              </w:rPr>
              <w:t>固定Gaussian尺度效果不足</w:t>
            </w:r>
          </w:p>
        </w:tc>
      </w:tr>
      <w:tr>
        <w:tc>
          <w:tcPr>
            <w:tcW w:type="dxa" w:w="3427"/>
            <w:vAlign w:val="center"/>
          </w:tcPr>
          <w:p>
            <w:pPr>
              <w:spacing w:after="0"/>
            </w:pPr>
            <w:r>
              <w:rPr>
                <w:rFonts w:ascii="Arial" w:hAnsi="Arial" w:eastAsia="Microsoft YaHei"/>
                <w:sz w:val="15"/>
              </w:rPr>
              <w:t>Assoc + learnable prior + Max</w:t>
            </w:r>
          </w:p>
        </w:tc>
        <w:tc>
          <w:tcPr>
            <w:tcW w:type="dxa" w:w="3427"/>
            <w:vAlign w:val="center"/>
          </w:tcPr>
          <w:p>
            <w:pPr>
              <w:spacing w:after="0"/>
            </w:pPr>
            <w:r>
              <w:rPr>
                <w:rFonts w:ascii="Arial" w:hAnsi="Arial" w:eastAsia="Microsoft YaHei"/>
                <w:sz w:val="15"/>
              </w:rPr>
              <w:t>87.48</w:t>
            </w:r>
          </w:p>
        </w:tc>
        <w:tc>
          <w:tcPr>
            <w:tcW w:type="dxa" w:w="3427"/>
            <w:vAlign w:val="center"/>
          </w:tcPr>
          <w:p>
            <w:pPr>
              <w:spacing w:after="0"/>
            </w:pPr>
            <w:r>
              <w:rPr>
                <w:rFonts w:ascii="Arial" w:hAnsi="Arial" w:eastAsia="Microsoft YaHei"/>
                <w:sz w:val="15"/>
              </w:rPr>
              <w:t>可学习prior明显有帮助</w:t>
            </w:r>
          </w:p>
        </w:tc>
      </w:tr>
      <w:tr>
        <w:tc>
          <w:tcPr>
            <w:tcW w:type="dxa" w:w="3427"/>
            <w:vAlign w:val="center"/>
          </w:tcPr>
          <w:p>
            <w:pPr>
              <w:spacing w:after="0"/>
            </w:pPr>
            <w:r>
              <w:rPr>
                <w:rFonts w:ascii="Arial" w:hAnsi="Arial" w:eastAsia="Microsoft YaHei"/>
                <w:sz w:val="15"/>
              </w:rPr>
              <w:t>Final: Assoc + learnable prior + Minimax</w:t>
            </w:r>
          </w:p>
        </w:tc>
        <w:tc>
          <w:tcPr>
            <w:tcW w:type="dxa" w:w="3427"/>
            <w:vAlign w:val="center"/>
          </w:tcPr>
          <w:p>
            <w:pPr>
              <w:spacing w:after="0"/>
            </w:pPr>
            <w:r>
              <w:rPr>
                <w:rFonts w:ascii="Arial" w:hAnsi="Arial" w:eastAsia="Microsoft YaHei"/>
                <w:sz w:val="15"/>
              </w:rPr>
              <w:t>94.96</w:t>
            </w:r>
          </w:p>
        </w:tc>
        <w:tc>
          <w:tcPr>
            <w:tcW w:type="dxa" w:w="3427"/>
            <w:vAlign w:val="center"/>
          </w:tcPr>
          <w:p>
            <w:pPr>
              <w:spacing w:after="0"/>
            </w:pPr>
            <w:r>
              <w:rPr>
                <w:rFonts w:ascii="Arial" w:hAnsi="Arial" w:eastAsia="Microsoft YaHei"/>
                <w:sz w:val="15"/>
              </w:rPr>
              <w:t>minimax进一步放大正常/异常可分性</w:t>
            </w:r>
          </w:p>
        </w:tc>
      </w:tr>
    </w:tbl>
    <w:p>
      <w:r>
        <w:t>作者总结：association-based criterion相对重构criterion带来约18.76个百分点的平均F1绝对提升；learnable prior和minimax也分别贡献明显。</w:t>
      </w:r>
    </w:p>
    <w:p>
      <w:pPr>
        <w:pStyle w:val="Heading1"/>
      </w:pPr>
      <w:r>
        <w:t>16. 参数敏感性与计算限制</w:t>
      </w:r>
    </w:p>
    <w:p>
      <w:r>
        <w:t>主实验统一window=100，但附录显示性能与window size有关，例如SMD在window=50时可能更好。作者明确指出：window太小可能无法学习有效association，但Transformer的attention对window长度具有二次复杂度，window越大内存和计算成本越高。</w:t>
      </w:r>
    </w:p>
    <w:p>
      <w:r>
        <w:t>损失权重λ在2到4之间相对稳定，主实验取3。模型3层，d_model=512，8 heads，batch=32，Adam学习率1e-4，10 epoch内early stop，使用单张NVIDIA TITAN RTX 24GB。论文没有给出逐点在线推理延迟，因此实时性只能从结构判断为“可在线计算，但具体延迟未实证”。</w:t>
      </w:r>
    </w:p>
    <w:p>
      <w:pPr>
        <w:pStyle w:val="Heading1"/>
      </w:pPr>
      <w:r>
        <w:t>17. 对“变量关系异常”的能力：与InterFusion有什么不同？</w:t>
      </w:r>
    </w:p>
    <w:p>
      <w:r>
        <w:t>需要谨慎区分。InterFusion显式学习inter-metric dependency，因此对“同一时刻不同变量之间相关关系改变”有直接机制。Anomaly Transformer的Association Discrepancy主要是“时间点与时间点”的temporal association：每个时间点本身是d维向量，Q/K由整个多变量向量生成，所以变量信息会影响attention，但论文没有显式构造metric-to-metric association。</w:t>
      </w:r>
    </w:p>
    <w:p>
      <w:r>
        <w:t>因此对于本项目③“各输入变量单独正常，但变量组合/相关关系不同”，Anomaly Transformer有潜在能力，但证据不如InterFusion直接。它最强的理论匹配点是“时间上下文/动态模式异常”。</w:t>
      </w:r>
    </w:p>
    <w:p>
      <w:pPr>
        <w:pStyle w:val="Heading1"/>
      </w:pPr>
      <w:r>
        <w:t>18. 是否适合两个水系统回归模型？</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vAlign w:val="center"/>
          </w:tcPr>
          <w:p>
            <w:pPr>
              <w:spacing w:after="0"/>
            </w:pPr>
            <w:r>
              <w:rPr>
                <w:rFonts w:ascii="Arial" w:hAnsi="Arial" w:eastAsia="Microsoft YaHei"/>
                <w:sz w:val="15"/>
              </w:rPr>
              <w:t>模型</w:t>
            </w:r>
          </w:p>
        </w:tc>
        <w:tc>
          <w:tcPr>
            <w:tcW w:type="dxa" w:w="2570"/>
            <w:shd w:fill="D9EAF7"/>
            <w:vAlign w:val="center"/>
          </w:tcPr>
          <w:p>
            <w:pPr>
              <w:spacing w:after="0"/>
            </w:pPr>
            <w:r>
              <w:rPr>
                <w:rFonts w:ascii="Arial" w:hAnsi="Arial" w:eastAsia="Microsoft YaHei"/>
                <w:sz w:val="15"/>
              </w:rPr>
              <w:t>适用方式</w:t>
            </w:r>
          </w:p>
        </w:tc>
        <w:tc>
          <w:tcPr>
            <w:tcW w:type="dxa" w:w="2570"/>
            <w:shd w:fill="D9EAF7"/>
            <w:vAlign w:val="center"/>
          </w:tcPr>
          <w:p>
            <w:pPr>
              <w:spacing w:after="0"/>
            </w:pPr>
            <w:r>
              <w:rPr>
                <w:rFonts w:ascii="Arial" w:hAnsi="Arial" w:eastAsia="Microsoft YaHei"/>
                <w:sz w:val="15"/>
              </w:rPr>
              <w:t>优势</w:t>
            </w:r>
          </w:p>
        </w:tc>
        <w:tc>
          <w:tcPr>
            <w:tcW w:type="dxa" w:w="2570"/>
            <w:shd w:fill="D9EAF7"/>
            <w:vAlign w:val="center"/>
          </w:tcPr>
          <w:p>
            <w:pPr>
              <w:spacing w:after="0"/>
            </w:pPr>
            <w:r>
              <w:rPr>
                <w:rFonts w:ascii="Arial" w:hAnsi="Arial" w:eastAsia="Microsoft YaHei"/>
                <w:sz w:val="15"/>
              </w:rPr>
              <w:t>风险</w:t>
            </w:r>
          </w:p>
        </w:tc>
      </w:tr>
      <w:tr>
        <w:tc>
          <w:tcPr>
            <w:tcW w:type="dxa" w:w="2570"/>
            <w:vAlign w:val="center"/>
          </w:tcPr>
          <w:p>
            <w:pPr>
              <w:spacing w:after="0"/>
            </w:pPr>
            <w:r>
              <w:rPr>
                <w:rFonts w:ascii="Arial" w:hAnsi="Arial" w:eastAsia="Microsoft YaHei"/>
                <w:sz w:val="15"/>
              </w:rPr>
              <w:t>① 流速/压力 → 末端某值</w:t>
            </w:r>
          </w:p>
        </w:tc>
        <w:tc>
          <w:tcPr>
            <w:tcW w:type="dxa" w:w="2570"/>
            <w:vAlign w:val="center"/>
          </w:tcPr>
          <w:p>
            <w:pPr>
              <w:spacing w:after="0"/>
            </w:pPr>
            <w:r>
              <w:rPr>
                <w:rFonts w:ascii="Arial" w:hAnsi="Arial" w:eastAsia="Microsoft YaHei"/>
                <w:sz w:val="15"/>
              </w:rPr>
              <w:t>前端维护100步多变量窗口，对当前输入输出异常分数，再决定是否允许回归预测</w:t>
            </w:r>
          </w:p>
        </w:tc>
        <w:tc>
          <w:tcPr>
            <w:tcW w:type="dxa" w:w="2570"/>
            <w:vAlign w:val="center"/>
          </w:tcPr>
          <w:p>
            <w:pPr>
              <w:spacing w:after="0"/>
            </w:pPr>
            <w:r>
              <w:rPr>
                <w:rFonts w:ascii="Arial" w:hAnsi="Arial" w:eastAsia="Microsoft YaHei"/>
                <w:sz w:val="15"/>
              </w:rPr>
              <w:t>可检测历史动态关系、周期/趋势异常；不需回归器内部信息</w:t>
            </w:r>
          </w:p>
        </w:tc>
        <w:tc>
          <w:tcPr>
            <w:tcW w:type="dxa" w:w="2570"/>
            <w:vAlign w:val="center"/>
          </w:tcPr>
          <w:p>
            <w:pPr>
              <w:spacing w:after="0"/>
            </w:pPr>
            <w:r>
              <w:rPr>
                <w:rFonts w:ascii="Arial" w:hAnsi="Arial" w:eastAsia="Microsoft YaHei"/>
                <w:sz w:val="15"/>
              </w:rPr>
              <w:t>若回归器只用单时刻而检测器需长窗口，部署要维护状态；同一时刻变量关系不是显式建模目标</w:t>
            </w:r>
          </w:p>
        </w:tc>
      </w:tr>
      <w:tr>
        <w:tc>
          <w:tcPr>
            <w:tcW w:type="dxa" w:w="2570"/>
            <w:vAlign w:val="center"/>
          </w:tcPr>
          <w:p>
            <w:pPr>
              <w:spacing w:after="0"/>
            </w:pPr>
            <w:r>
              <w:rPr>
                <w:rFonts w:ascii="Arial" w:hAnsi="Arial" w:eastAsia="Microsoft YaHei"/>
                <w:sz w:val="15"/>
              </w:rPr>
              <w:t>② 原水浑浊率/药剂率 → t+x浑浊度</w:t>
            </w:r>
          </w:p>
        </w:tc>
        <w:tc>
          <w:tcPr>
            <w:tcW w:type="dxa" w:w="2570"/>
            <w:vAlign w:val="center"/>
          </w:tcPr>
          <w:p>
            <w:pPr>
              <w:spacing w:after="0"/>
            </w:pPr>
            <w:r>
              <w:rPr>
                <w:rFonts w:ascii="Arial" w:hAnsi="Arial" w:eastAsia="Microsoft YaHei"/>
                <w:sz w:val="15"/>
              </w:rPr>
              <w:t>用原水、药剂、工艺状态历史窗口检测当前工艺输入是否处于异常时序上下文</w:t>
            </w:r>
          </w:p>
        </w:tc>
        <w:tc>
          <w:tcPr>
            <w:tcW w:type="dxa" w:w="2570"/>
            <w:vAlign w:val="center"/>
          </w:tcPr>
          <w:p>
            <w:pPr>
              <w:spacing w:after="0"/>
            </w:pPr>
            <w:r>
              <w:rPr>
                <w:rFonts w:ascii="Arial" w:hAnsi="Arial" w:eastAsia="Microsoft YaHei"/>
                <w:sz w:val="15"/>
              </w:rPr>
              <w:t>SWaT水处理实证；适合过程动态/工况切换异常</w:t>
            </w:r>
          </w:p>
        </w:tc>
        <w:tc>
          <w:tcPr>
            <w:tcW w:type="dxa" w:w="2570"/>
            <w:vAlign w:val="center"/>
          </w:tcPr>
          <w:p>
            <w:pPr>
              <w:spacing w:after="0"/>
            </w:pPr>
            <w:r>
              <w:rPr>
                <w:rFonts w:ascii="Arial" w:hAnsi="Arial" w:eastAsia="Microsoft YaHei"/>
                <w:sz w:val="15"/>
              </w:rPr>
              <w:t>真实净水时滞、工序变化可能需要调整window；长期正常工况变化需要重训/再校准</w:t>
            </w:r>
          </w:p>
        </w:tc>
      </w:tr>
    </w:tbl>
    <w:p>
      <w:pPr>
        <w:pStyle w:val="Heading1"/>
      </w:pPr>
      <w:r>
        <w:t>19. 本篇精读的最终判断</w:t>
      </w:r>
    </w:p>
    <w:p>
      <w:pPr>
        <w:pStyle w:val="ListBullet"/>
      </w:pPr>
      <w:r>
        <w:t>适配性：高，明确支持多变量数值时间序列，且无需目标回归模型内部信息。</w:t>
      </w:r>
    </w:p>
    <w:p>
      <w:pPr>
        <w:pStyle w:val="ListBullet"/>
      </w:pPr>
      <w:r>
        <w:t>最值得关注的创新：Association Discrepancy，是区别于距离、密度、重构误差、预测不确定性的另一类“关联型”判据。</w:t>
      </w:r>
    </w:p>
    <w:p>
      <w:pPr>
        <w:pStyle w:val="ListBullet"/>
      </w:pPr>
      <w:r>
        <w:t>对③变量间关系变化：有一定能力，但主要建模time-point association，不如InterFusion的inter-metric机制直接。</w:t>
      </w:r>
    </w:p>
    <w:p>
      <w:pPr>
        <w:pStyle w:val="ListBullet"/>
      </w:pPr>
      <w:r>
        <w:t>对Contextual/Collective anomaly：非常有价值，尤其是周期、趋势、局部模式变化。</w:t>
      </w:r>
    </w:p>
    <w:p>
      <w:pPr>
        <w:pStyle w:val="ListBullet"/>
      </w:pPr>
      <w:r>
        <w:t>工业相关性：高，包含SWaT水处理数据。</w:t>
      </w:r>
    </w:p>
    <w:p>
      <w:pPr>
        <w:pStyle w:val="ListBullet"/>
      </w:pPr>
      <w:r>
        <w:t>阈值：可用无标签validation按比例r确定，是工程上可用的思路，但r需要先验。</w:t>
      </w:r>
    </w:p>
    <w:p>
      <w:pPr>
        <w:pStyle w:val="ListBullet"/>
      </w:pPr>
      <w:r>
        <w:t>主要限制：attention对window长度O(N²)，window太短又可能失效；association假设并非对所有时序都成立。</w:t>
      </w:r>
    </w:p>
    <w:p>
      <w:pPr>
        <w:pStyle w:val="ListBullet"/>
      </w:pPr>
      <w:r>
        <w:t>继续研究优先级：高，建议与InterFusion并列作为“关系/时序结构型检测”候选，但两者关注的relation维度不同。</w:t>
      </w:r>
    </w:p>
    <w:p>
      <w:r>
        <w:br w:type="page"/>
      </w:r>
    </w:p>
    <w:p>
      <w:pPr>
        <w:pStyle w:val="Title"/>
      </w:pPr>
      <w:r>
        <w:t>Part II-A　研究报告（中文版）</w:t>
      </w:r>
    </w:p>
    <w:p>
      <w:pPr>
        <w:pStyle w:val="Heading1"/>
      </w:pPr>
      <w:r>
        <w:t>1. 文献信息</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项目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论文名</w:t>
            </w:r>
          </w:p>
        </w:tc>
        <w:tc>
          <w:tcPr>
            <w:tcW w:type="dxa" w:w="5141"/>
            <w:vAlign w:val="center"/>
          </w:tcPr>
          <w:p>
            <w:pPr>
              <w:spacing w:after="0"/>
            </w:pPr>
            <w:r>
              <w:rPr>
                <w:rFonts w:ascii="Arial" w:hAnsi="Arial" w:eastAsia="Microsoft YaHei"/>
                <w:sz w:val="15"/>
              </w:rPr>
              <w:t>Anomaly Transformer: Time Series Anomaly Detection with Association Discrepancy</w:t>
            </w:r>
          </w:p>
        </w:tc>
      </w:tr>
      <w:tr>
        <w:tc>
          <w:tcPr>
            <w:tcW w:type="dxa" w:w="5141"/>
            <w:vAlign w:val="center"/>
          </w:tcPr>
          <w:p>
            <w:pPr>
              <w:spacing w:after="0"/>
            </w:pPr>
            <w:r>
              <w:rPr>
                <w:rFonts w:ascii="Arial" w:hAnsi="Arial" w:eastAsia="Microsoft YaHei"/>
                <w:sz w:val="15"/>
              </w:rPr>
              <w:t>作者</w:t>
            </w:r>
          </w:p>
        </w:tc>
        <w:tc>
          <w:tcPr>
            <w:tcW w:type="dxa" w:w="5141"/>
            <w:vAlign w:val="center"/>
          </w:tcPr>
          <w:p>
            <w:pPr>
              <w:spacing w:after="0"/>
            </w:pPr>
            <w:r>
              <w:rPr>
                <w:rFonts w:ascii="Arial" w:hAnsi="Arial" w:eastAsia="Microsoft YaHei"/>
                <w:sz w:val="15"/>
              </w:rPr>
              <w:t>Jiehui Xu, Haixu Wu, Jianmin Wang, Mingsheng Long</w:t>
            </w:r>
          </w:p>
        </w:tc>
      </w:tr>
      <w:tr>
        <w:tc>
          <w:tcPr>
            <w:tcW w:type="dxa" w:w="5141"/>
            <w:vAlign w:val="center"/>
          </w:tcPr>
          <w:p>
            <w:pPr>
              <w:spacing w:after="0"/>
            </w:pPr>
            <w:r>
              <w:rPr>
                <w:rFonts w:ascii="Arial" w:hAnsi="Arial" w:eastAsia="Microsoft YaHei"/>
                <w:sz w:val="15"/>
              </w:rPr>
              <w:t>年份</w:t>
            </w:r>
          </w:p>
        </w:tc>
        <w:tc>
          <w:tcPr>
            <w:tcW w:type="dxa" w:w="5141"/>
            <w:vAlign w:val="center"/>
          </w:tcPr>
          <w:p>
            <w:pPr>
              <w:spacing w:after="0"/>
            </w:pPr>
            <w:r>
              <w:rPr>
                <w:rFonts w:ascii="Arial" w:hAnsi="Arial" w:eastAsia="Microsoft YaHei"/>
                <w:sz w:val="15"/>
              </w:rPr>
              <w:t>2022</w:t>
            </w:r>
          </w:p>
        </w:tc>
      </w:tr>
      <w:tr>
        <w:tc>
          <w:tcPr>
            <w:tcW w:type="dxa" w:w="5141"/>
            <w:vAlign w:val="center"/>
          </w:tcPr>
          <w:p>
            <w:pPr>
              <w:spacing w:after="0"/>
            </w:pPr>
            <w:r>
              <w:rPr>
                <w:rFonts w:ascii="Arial" w:hAnsi="Arial" w:eastAsia="Microsoft YaHei"/>
                <w:sz w:val="15"/>
              </w:rPr>
              <w:t>发表渠道</w:t>
            </w:r>
          </w:p>
        </w:tc>
        <w:tc>
          <w:tcPr>
            <w:tcW w:type="dxa" w:w="5141"/>
            <w:vAlign w:val="center"/>
          </w:tcPr>
          <w:p>
            <w:pPr>
              <w:spacing w:after="0"/>
            </w:pPr>
            <w:r>
              <w:rPr>
                <w:rFonts w:ascii="Arial" w:hAnsi="Arial" w:eastAsia="Microsoft YaHei"/>
                <w:sz w:val="15"/>
              </w:rPr>
              <w:t>ICLR 2022 conference paper</w:t>
            </w:r>
          </w:p>
        </w:tc>
      </w:tr>
      <w:tr>
        <w:tc>
          <w:tcPr>
            <w:tcW w:type="dxa" w:w="5141"/>
            <w:vAlign w:val="center"/>
          </w:tcPr>
          <w:p>
            <w:pPr>
              <w:spacing w:after="0"/>
            </w:pPr>
            <w:r>
              <w:rPr>
                <w:rFonts w:ascii="Arial" w:hAnsi="Arial" w:eastAsia="Microsoft YaHei"/>
                <w:sz w:val="15"/>
              </w:rPr>
              <w:t>方法名</w:t>
            </w:r>
          </w:p>
        </w:tc>
        <w:tc>
          <w:tcPr>
            <w:tcW w:type="dxa" w:w="5141"/>
            <w:vAlign w:val="center"/>
          </w:tcPr>
          <w:p>
            <w:pPr>
              <w:spacing w:after="0"/>
            </w:pPr>
            <w:r>
              <w:rPr>
                <w:rFonts w:ascii="Arial" w:hAnsi="Arial" w:eastAsia="Microsoft YaHei"/>
                <w:sz w:val="15"/>
              </w:rPr>
              <w:t>Anomaly Transformer</w:t>
            </w:r>
          </w:p>
        </w:tc>
      </w:tr>
      <w:tr>
        <w:tc>
          <w:tcPr>
            <w:tcW w:type="dxa" w:w="5141"/>
            <w:vAlign w:val="center"/>
          </w:tcPr>
          <w:p>
            <w:pPr>
              <w:spacing w:after="0"/>
            </w:pPr>
            <w:r>
              <w:rPr>
                <w:rFonts w:ascii="Arial" w:hAnsi="Arial" w:eastAsia="Microsoft YaHei"/>
                <w:sz w:val="15"/>
              </w:rPr>
              <w:t>任务</w:t>
            </w:r>
          </w:p>
        </w:tc>
        <w:tc>
          <w:tcPr>
            <w:tcW w:type="dxa" w:w="5141"/>
            <w:vAlign w:val="center"/>
          </w:tcPr>
          <w:p>
            <w:pPr>
              <w:spacing w:after="0"/>
            </w:pPr>
            <w:r>
              <w:rPr>
                <w:rFonts w:ascii="Arial" w:hAnsi="Arial" w:eastAsia="Microsoft YaHei"/>
                <w:sz w:val="15"/>
              </w:rPr>
              <w:t>Unsupervised time series anomaly detection</w:t>
            </w:r>
          </w:p>
        </w:tc>
      </w:tr>
    </w:tbl>
    <w:p>
      <w:pPr>
        <w:pStyle w:val="Heading1"/>
      </w:pPr>
      <w:r>
        <w:t>2. 文中对“学习外”的定义</w:t>
      </w:r>
    </w:p>
    <w:p>
      <w:r>
        <w:t>论文不直接使用OOD/学習外入力定义，而将任务定义为无标签条件下判断时间点x_t是否异常。其核心异常假设是：异常点由于稀少，难以与整个时间序列建立丰富关联，其关联更集中于邻近时刻，因此prior-association与series-association之间的Association Discrepancy更小。</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0"/>
            </w:pPr>
            <w:r>
              <w:rPr>
                <w:rFonts w:ascii="Arial" w:hAnsi="Arial" w:eastAsia="Microsoft YaHei"/>
                <w:sz w:val="15"/>
              </w:rPr>
              <w:t>本调研分类</w:t>
            </w:r>
          </w:p>
        </w:tc>
        <w:tc>
          <w:tcPr>
            <w:tcW w:type="dxa" w:w="3427"/>
            <w:shd w:fill="D9EAF7"/>
            <w:vAlign w:val="center"/>
          </w:tcPr>
          <w:p>
            <w:pPr>
              <w:spacing w:after="0"/>
            </w:pPr>
            <w:r>
              <w:rPr>
                <w:rFonts w:ascii="Arial" w:hAnsi="Arial" w:eastAsia="Microsoft YaHei"/>
                <w:sz w:val="15"/>
              </w:rPr>
              <w:t>适配</w:t>
            </w:r>
          </w:p>
        </w:tc>
        <w:tc>
          <w:tcPr>
            <w:tcW w:type="dxa" w:w="3427"/>
            <w:shd w:fill="D9EAF7"/>
            <w:vAlign w:val="center"/>
          </w:tcPr>
          <w:p>
            <w:pPr>
              <w:spacing w:after="0"/>
            </w:pPr>
            <w:r>
              <w:rPr>
                <w:rFonts w:ascii="Arial" w:hAnsi="Arial" w:eastAsia="Microsoft YaHei"/>
                <w:sz w:val="15"/>
              </w:rPr>
              <w:t>判断</w:t>
            </w:r>
          </w:p>
        </w:tc>
      </w:tr>
      <w:tr>
        <w:tc>
          <w:tcPr>
            <w:tcW w:type="dxa" w:w="3427"/>
            <w:vAlign w:val="center"/>
          </w:tcPr>
          <w:p>
            <w:pPr>
              <w:spacing w:after="0"/>
            </w:pPr>
            <w:r>
              <w:rPr>
                <w:rFonts w:ascii="Arial" w:hAnsi="Arial" w:eastAsia="Microsoft YaHei"/>
                <w:sz w:val="15"/>
              </w:rPr>
              <w:t>① 输入范围/分布外</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极端点可通过重构误差和association异常被检出，但不是range detector</w:t>
            </w:r>
          </w:p>
        </w:tc>
      </w:tr>
      <w:tr>
        <w:tc>
          <w:tcPr>
            <w:tcW w:type="dxa" w:w="3427"/>
            <w:vAlign w:val="center"/>
          </w:tcPr>
          <w:p>
            <w:pPr>
              <w:spacing w:after="0"/>
            </w:pPr>
            <w:r>
              <w:rPr>
                <w:rFonts w:ascii="Arial" w:hAnsi="Arial" w:eastAsia="Microsoft YaHei"/>
                <w:sz w:val="15"/>
              </w:rPr>
              <w:t>② 训练不足/低密度</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未见模式可能导致重构及关联异常，但论文未定义“低密度区域”</w:t>
            </w:r>
          </w:p>
        </w:tc>
      </w:tr>
      <w:tr>
        <w:tc>
          <w:tcPr>
            <w:tcW w:type="dxa" w:w="3427"/>
            <w:vAlign w:val="center"/>
          </w:tcPr>
          <w:p>
            <w:pPr>
              <w:spacing w:after="0"/>
            </w:pPr>
            <w:r>
              <w:rPr>
                <w:rFonts w:ascii="Arial" w:hAnsi="Arial" w:eastAsia="Microsoft YaHei"/>
                <w:sz w:val="15"/>
              </w:rPr>
              <w:t>③ 变量组合/相关关系不同</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每个时间点是多变量向量，变量变化会影响attention；但主要显式建模time-point association，不是metric-to-metric关系</w:t>
            </w:r>
          </w:p>
        </w:tc>
      </w:tr>
      <w:tr>
        <w:tc>
          <w:tcPr>
            <w:tcW w:type="dxa" w:w="3427"/>
            <w:vAlign w:val="center"/>
          </w:tcPr>
          <w:p>
            <w:pPr>
              <w:spacing w:after="0"/>
            </w:pPr>
            <w:r>
              <w:rPr>
                <w:rFonts w:ascii="Arial" w:hAnsi="Arial" w:eastAsia="Microsoft YaHei"/>
                <w:sz w:val="15"/>
              </w:rPr>
              <w:t>时间上下文异常</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方法核心</w:t>
            </w:r>
          </w:p>
        </w:tc>
      </w:tr>
      <w:tr>
        <w:tc>
          <w:tcPr>
            <w:tcW w:type="dxa" w:w="3427"/>
            <w:vAlign w:val="center"/>
          </w:tcPr>
          <w:p>
            <w:pPr>
              <w:spacing w:after="0"/>
            </w:pPr>
            <w:r>
              <w:rPr>
                <w:rFonts w:ascii="Arial" w:hAnsi="Arial" w:eastAsia="Microsoft YaHei"/>
                <w:sz w:val="15"/>
              </w:rPr>
              <w:t>分布变化/concept drift</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可对变化产生报警，但并非漂移自适应算法；阈值和模型可能需更新</w:t>
            </w:r>
          </w:p>
        </w:tc>
      </w:tr>
    </w:tbl>
    <w:p>
      <w:pPr>
        <w:pStyle w:val="Heading1"/>
      </w:pPr>
      <w:r>
        <w:t>3. 学习外输入检测方法分类</w:t>
      </w:r>
    </w:p>
    <w:p>
      <w:r>
        <w:t>建议主分类为“基于关联结构（association）的方法”，辅以“重构误差联合判定”。它不属于单纯范围/距离、概率密度或目标AI预测不确定性方法。核心分数来自时间点关联分布差异。</w:t>
      </w:r>
    </w:p>
    <w:p>
      <w:pPr>
        <w:pStyle w:val="Heading1"/>
      </w:pPr>
      <w:r>
        <w:t>4. 学习外输入检测方法详细内容</w:t>
      </w:r>
    </w:p>
    <w:p>
      <w:pPr>
        <w:pStyle w:val="Heading2"/>
      </w:pPr>
      <w:r>
        <w:t>4.A 具体检测算法</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项目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输入</w:t>
            </w:r>
          </w:p>
        </w:tc>
        <w:tc>
          <w:tcPr>
            <w:tcW w:type="dxa" w:w="5141"/>
            <w:vAlign w:val="center"/>
          </w:tcPr>
          <w:p>
            <w:pPr>
              <w:spacing w:after="0"/>
            </w:pPr>
            <w:r>
              <w:rPr>
                <w:rFonts w:ascii="Arial" w:hAnsi="Arial" w:eastAsia="Microsoft YaHei"/>
                <w:sz w:val="15"/>
              </w:rPr>
              <w:t>长度N(实验为100)×d维的多变量时序窗口</w:t>
            </w:r>
          </w:p>
        </w:tc>
      </w:tr>
      <w:tr>
        <w:tc>
          <w:tcPr>
            <w:tcW w:type="dxa" w:w="5141"/>
            <w:vAlign w:val="center"/>
          </w:tcPr>
          <w:p>
            <w:pPr>
              <w:spacing w:after="0"/>
            </w:pPr>
            <w:r>
              <w:rPr>
                <w:rFonts w:ascii="Arial" w:hAnsi="Arial" w:eastAsia="Microsoft YaHei"/>
                <w:sz w:val="15"/>
              </w:rPr>
              <w:t>Prior-association</w:t>
            </w:r>
          </w:p>
        </w:tc>
        <w:tc>
          <w:tcPr>
            <w:tcW w:type="dxa" w:w="5141"/>
            <w:vAlign w:val="center"/>
          </w:tcPr>
          <w:p>
            <w:pPr>
              <w:spacing w:after="0"/>
            </w:pPr>
            <w:r>
              <w:rPr>
                <w:rFonts w:ascii="Arial" w:hAnsi="Arial" w:eastAsia="Microsoft YaHei"/>
                <w:sz w:val="15"/>
              </w:rPr>
              <w:t>以每个时间点为中心、尺度σ可学习的Gaussian邻近关联分布P</w:t>
            </w:r>
          </w:p>
        </w:tc>
      </w:tr>
      <w:tr>
        <w:tc>
          <w:tcPr>
            <w:tcW w:type="dxa" w:w="5141"/>
            <w:vAlign w:val="center"/>
          </w:tcPr>
          <w:p>
            <w:pPr>
              <w:spacing w:after="0"/>
            </w:pPr>
            <w:r>
              <w:rPr>
                <w:rFonts w:ascii="Arial" w:hAnsi="Arial" w:eastAsia="Microsoft YaHei"/>
                <w:sz w:val="15"/>
              </w:rPr>
              <w:t>Series-association</w:t>
            </w:r>
          </w:p>
        </w:tc>
        <w:tc>
          <w:tcPr>
            <w:tcW w:type="dxa" w:w="5141"/>
            <w:vAlign w:val="center"/>
          </w:tcPr>
          <w:p>
            <w:pPr>
              <w:spacing w:after="0"/>
            </w:pPr>
            <w:r>
              <w:rPr>
                <w:rFonts w:ascii="Arial" w:hAnsi="Arial" w:eastAsia="Microsoft YaHei"/>
                <w:sz w:val="15"/>
              </w:rPr>
              <w:t>Transformer self-attention得到的时间点全局关联分布S</w:t>
            </w:r>
          </w:p>
        </w:tc>
      </w:tr>
      <w:tr>
        <w:tc>
          <w:tcPr>
            <w:tcW w:type="dxa" w:w="5141"/>
            <w:vAlign w:val="center"/>
          </w:tcPr>
          <w:p>
            <w:pPr>
              <w:spacing w:after="0"/>
            </w:pPr>
            <w:r>
              <w:rPr>
                <w:rFonts w:ascii="Arial" w:hAnsi="Arial" w:eastAsia="Microsoft YaHei"/>
                <w:sz w:val="15"/>
              </w:rPr>
              <w:t>Association Discrepancy</w:t>
            </w:r>
          </w:p>
        </w:tc>
        <w:tc>
          <w:tcPr>
            <w:tcW w:type="dxa" w:w="5141"/>
            <w:vAlign w:val="center"/>
          </w:tcPr>
          <w:p>
            <w:pPr>
              <w:spacing w:after="0"/>
            </w:pPr>
            <w:r>
              <w:rPr>
                <w:rFonts w:ascii="Arial" w:hAnsi="Arial" w:eastAsia="Microsoft YaHei"/>
                <w:sz w:val="15"/>
              </w:rPr>
              <w:t>P与S之间的对称KL散度，多层平均；异常点通常更小</w:t>
            </w:r>
          </w:p>
        </w:tc>
      </w:tr>
      <w:tr>
        <w:tc>
          <w:tcPr>
            <w:tcW w:type="dxa" w:w="5141"/>
            <w:vAlign w:val="center"/>
          </w:tcPr>
          <w:p>
            <w:pPr>
              <w:spacing w:after="0"/>
            </w:pPr>
            <w:r>
              <w:rPr>
                <w:rFonts w:ascii="Arial" w:hAnsi="Arial" w:eastAsia="Microsoft YaHei"/>
                <w:sz w:val="15"/>
              </w:rPr>
              <w:t>训练</w:t>
            </w:r>
          </w:p>
        </w:tc>
        <w:tc>
          <w:tcPr>
            <w:tcW w:type="dxa" w:w="5141"/>
            <w:vAlign w:val="center"/>
          </w:tcPr>
          <w:p>
            <w:pPr>
              <w:spacing w:after="0"/>
            </w:pPr>
            <w:r>
              <w:rPr>
                <w:rFonts w:ascii="Arial" w:hAnsi="Arial" w:eastAsia="Microsoft YaHei"/>
                <w:sz w:val="15"/>
              </w:rPr>
              <w:t>重构损失 + minimax association learning；无监督</w:t>
            </w:r>
          </w:p>
        </w:tc>
      </w:tr>
      <w:tr>
        <w:tc>
          <w:tcPr>
            <w:tcW w:type="dxa" w:w="5141"/>
            <w:vAlign w:val="center"/>
          </w:tcPr>
          <w:p>
            <w:pPr>
              <w:spacing w:after="0"/>
            </w:pPr>
            <w:r>
              <w:rPr>
                <w:rFonts w:ascii="Arial" w:hAnsi="Arial" w:eastAsia="Microsoft YaHei"/>
                <w:sz w:val="15"/>
              </w:rPr>
              <w:t>运行所需</w:t>
            </w:r>
          </w:p>
        </w:tc>
        <w:tc>
          <w:tcPr>
            <w:tcW w:type="dxa" w:w="5141"/>
            <w:vAlign w:val="center"/>
          </w:tcPr>
          <w:p>
            <w:pPr>
              <w:spacing w:after="0"/>
            </w:pPr>
            <w:r>
              <w:rPr>
                <w:rFonts w:ascii="Arial" w:hAnsi="Arial" w:eastAsia="Microsoft YaHei"/>
                <w:sz w:val="15"/>
              </w:rPr>
              <w:t>当前窗口输入、训练好的Anomaly Transformer</w:t>
            </w:r>
          </w:p>
        </w:tc>
      </w:tr>
      <w:tr>
        <w:tc>
          <w:tcPr>
            <w:tcW w:type="dxa" w:w="5141"/>
            <w:vAlign w:val="center"/>
          </w:tcPr>
          <w:p>
            <w:pPr>
              <w:spacing w:after="0"/>
            </w:pPr>
            <w:r>
              <w:rPr>
                <w:rFonts w:ascii="Arial" w:hAnsi="Arial" w:eastAsia="Microsoft YaHei"/>
                <w:sz w:val="15"/>
              </w:rPr>
              <w:t>最终score</w:t>
            </w:r>
          </w:p>
        </w:tc>
        <w:tc>
          <w:tcPr>
            <w:tcW w:type="dxa" w:w="5141"/>
            <w:vAlign w:val="center"/>
          </w:tcPr>
          <w:p>
            <w:pPr>
              <w:spacing w:after="0"/>
            </w:pPr>
            <w:r>
              <w:rPr>
                <w:rFonts w:ascii="Arial" w:hAnsi="Arial" w:eastAsia="Microsoft YaHei"/>
                <w:sz w:val="15"/>
              </w:rPr>
              <w:t>Softmax(-AssDis) × point-wise reconstruction error</w:t>
            </w:r>
          </w:p>
        </w:tc>
      </w:tr>
      <w:tr>
        <w:tc>
          <w:tcPr>
            <w:tcW w:type="dxa" w:w="5141"/>
            <w:vAlign w:val="center"/>
          </w:tcPr>
          <w:p>
            <w:pPr>
              <w:spacing w:after="0"/>
            </w:pPr>
            <w:r>
              <w:rPr>
                <w:rFonts w:ascii="Arial" w:hAnsi="Arial" w:eastAsia="Microsoft YaHei"/>
                <w:sz w:val="15"/>
              </w:rPr>
              <w:t>方向</w:t>
            </w:r>
          </w:p>
        </w:tc>
        <w:tc>
          <w:tcPr>
            <w:tcW w:type="dxa" w:w="5141"/>
            <w:vAlign w:val="center"/>
          </w:tcPr>
          <w:p>
            <w:pPr>
              <w:spacing w:after="0"/>
            </w:pPr>
            <w:r>
              <w:rPr>
                <w:rFonts w:ascii="Arial" w:hAnsi="Arial" w:eastAsia="Microsoft YaHei"/>
                <w:sz w:val="15"/>
              </w:rPr>
              <w:t>score越高越异常</w:t>
            </w:r>
          </w:p>
        </w:tc>
      </w:tr>
      <w:tr>
        <w:tc>
          <w:tcPr>
            <w:tcW w:type="dxa" w:w="5141"/>
            <w:vAlign w:val="center"/>
          </w:tcPr>
          <w:p>
            <w:pPr>
              <w:spacing w:after="0"/>
            </w:pPr>
            <w:r>
              <w:rPr>
                <w:rFonts w:ascii="Arial" w:hAnsi="Arial" w:eastAsia="Microsoft YaHei"/>
                <w:sz w:val="15"/>
              </w:rPr>
              <w:t>阈值</w:t>
            </w:r>
          </w:p>
        </w:tc>
        <w:tc>
          <w:tcPr>
            <w:tcW w:type="dxa" w:w="5141"/>
            <w:vAlign w:val="center"/>
          </w:tcPr>
          <w:p>
            <w:pPr>
              <w:spacing w:after="0"/>
            </w:pPr>
            <w:r>
              <w:rPr>
                <w:rFonts w:ascii="Arial" w:hAnsi="Arial" w:eastAsia="Microsoft YaHei"/>
                <w:sz w:val="15"/>
              </w:rPr>
              <w:t>在无标签validation上按预设比例r选择δ；SWaT 0.1%、SMD 0.5%、其他1%</w:t>
            </w:r>
          </w:p>
        </w:tc>
      </w:tr>
      <w:tr>
        <w:tc>
          <w:tcPr>
            <w:tcW w:type="dxa" w:w="5141"/>
            <w:vAlign w:val="center"/>
          </w:tcPr>
          <w:p>
            <w:pPr>
              <w:spacing w:after="0"/>
            </w:pPr>
            <w:r>
              <w:rPr>
                <w:rFonts w:ascii="Arial" w:hAnsi="Arial" w:eastAsia="Microsoft YaHei"/>
                <w:sz w:val="15"/>
              </w:rPr>
              <w:t>目标AI信息</w:t>
            </w:r>
          </w:p>
        </w:tc>
        <w:tc>
          <w:tcPr>
            <w:tcW w:type="dxa" w:w="5141"/>
            <w:vAlign w:val="center"/>
          </w:tcPr>
          <w:p>
            <w:pPr>
              <w:spacing w:after="0"/>
            </w:pPr>
            <w:r>
              <w:rPr>
                <w:rFonts w:ascii="Arial" w:hAnsi="Arial" w:eastAsia="Microsoft YaHei"/>
                <w:sz w:val="15"/>
              </w:rPr>
              <w:t>不需要目标回归器内部信息或输出</w:t>
            </w:r>
          </w:p>
        </w:tc>
      </w:tr>
    </w:tbl>
    <w:p>
      <w:pPr>
        <w:pStyle w:val="Heading2"/>
      </w:pPr>
      <w:r>
        <w:t>4.B 方法评价方式</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项目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Ground truth</w:t>
            </w:r>
          </w:p>
        </w:tc>
        <w:tc>
          <w:tcPr>
            <w:tcW w:type="dxa" w:w="5141"/>
            <w:vAlign w:val="center"/>
          </w:tcPr>
          <w:p>
            <w:pPr>
              <w:spacing w:after="0"/>
            </w:pPr>
            <w:r>
              <w:rPr>
                <w:rFonts w:ascii="Arial" w:hAnsi="Arial" w:eastAsia="Microsoft YaHei"/>
                <w:sz w:val="15"/>
              </w:rPr>
              <w:t>异常标签仅用于test评价；train/validation无标签</w:t>
            </w:r>
          </w:p>
        </w:tc>
      </w:tr>
      <w:tr>
        <w:tc>
          <w:tcPr>
            <w:tcW w:type="dxa" w:w="5141"/>
            <w:vAlign w:val="center"/>
          </w:tcPr>
          <w:p>
            <w:pPr>
              <w:spacing w:after="0"/>
            </w:pPr>
            <w:r>
              <w:rPr>
                <w:rFonts w:ascii="Arial" w:hAnsi="Arial" w:eastAsia="Microsoft YaHei"/>
                <w:sz w:val="15"/>
              </w:rPr>
              <w:t>指标</w:t>
            </w:r>
          </w:p>
        </w:tc>
        <w:tc>
          <w:tcPr>
            <w:tcW w:type="dxa" w:w="5141"/>
            <w:vAlign w:val="center"/>
          </w:tcPr>
          <w:p>
            <w:pPr>
              <w:spacing w:after="0"/>
            </w:pPr>
            <w:r>
              <w:rPr>
                <w:rFonts w:ascii="Arial" w:hAnsi="Arial" w:eastAsia="Microsoft YaHei"/>
                <w:sz w:val="15"/>
              </w:rPr>
              <w:t>Precision, Recall, F1；ROC/AUC；point-adjust</w:t>
            </w:r>
          </w:p>
        </w:tc>
      </w:tr>
      <w:tr>
        <w:tc>
          <w:tcPr>
            <w:tcW w:type="dxa" w:w="5141"/>
            <w:vAlign w:val="center"/>
          </w:tcPr>
          <w:p>
            <w:pPr>
              <w:spacing w:after="0"/>
            </w:pPr>
            <w:r>
              <w:rPr>
                <w:rFonts w:ascii="Arial" w:hAnsi="Arial" w:eastAsia="Microsoft YaHei"/>
                <w:sz w:val="15"/>
              </w:rPr>
              <w:t>主要比较</w:t>
            </w:r>
          </w:p>
        </w:tc>
        <w:tc>
          <w:tcPr>
            <w:tcW w:type="dxa" w:w="5141"/>
            <w:vAlign w:val="center"/>
          </w:tcPr>
          <w:p>
            <w:pPr>
              <w:spacing w:after="0"/>
            </w:pPr>
            <w:r>
              <w:rPr>
                <w:rFonts w:ascii="Arial" w:hAnsi="Arial" w:eastAsia="Microsoft YaHei"/>
                <w:sz w:val="15"/>
              </w:rPr>
              <w:t>OCSVM, IsolationForest, LOF, Deep-SVDD, DAGMM, VAR, LSTM, LSTM-VAE, BeatGAN, OmniAnomaly, InterFusion, THOC等</w:t>
            </w:r>
          </w:p>
        </w:tc>
      </w:tr>
      <w:tr>
        <w:tc>
          <w:tcPr>
            <w:tcW w:type="dxa" w:w="5141"/>
            <w:vAlign w:val="center"/>
          </w:tcPr>
          <w:p>
            <w:pPr>
              <w:spacing w:after="0"/>
            </w:pPr>
            <w:r>
              <w:rPr>
                <w:rFonts w:ascii="Arial" w:hAnsi="Arial" w:eastAsia="Microsoft YaHei"/>
                <w:sz w:val="15"/>
              </w:rPr>
              <w:t>真实数据结果</w:t>
            </w:r>
          </w:p>
        </w:tc>
        <w:tc>
          <w:tcPr>
            <w:tcW w:type="dxa" w:w="5141"/>
            <w:vAlign w:val="center"/>
          </w:tcPr>
          <w:p>
            <w:pPr>
              <w:spacing w:after="0"/>
            </w:pPr>
            <w:r>
              <w:rPr>
                <w:rFonts w:ascii="Arial" w:hAnsi="Arial" w:eastAsia="Microsoft YaHei"/>
                <w:sz w:val="15"/>
              </w:rPr>
              <w:t>SMD 92.33, MSL 93.59, SMAP 96.69, SWaT 94.07, PSM 97.89 F1(%)</w:t>
            </w:r>
          </w:p>
        </w:tc>
      </w:tr>
      <w:tr>
        <w:tc>
          <w:tcPr>
            <w:tcW w:type="dxa" w:w="5141"/>
            <w:vAlign w:val="center"/>
          </w:tcPr>
          <w:p>
            <w:pPr>
              <w:spacing w:after="0"/>
            </w:pPr>
            <w:r>
              <w:rPr>
                <w:rFonts w:ascii="Arial" w:hAnsi="Arial" w:eastAsia="Microsoft YaHei"/>
                <w:sz w:val="15"/>
              </w:rPr>
              <w:t>多异常类型</w:t>
            </w:r>
          </w:p>
        </w:tc>
        <w:tc>
          <w:tcPr>
            <w:tcW w:type="dxa" w:w="5141"/>
            <w:vAlign w:val="center"/>
          </w:tcPr>
          <w:p>
            <w:pPr>
              <w:spacing w:after="0"/>
            </w:pPr>
            <w:r>
              <w:rPr>
                <w:rFonts w:ascii="Arial" w:hAnsi="Arial" w:eastAsia="Microsoft YaHei"/>
                <w:sz w:val="15"/>
              </w:rPr>
              <w:t>NeurIPS-TS覆盖point-global、pattern-contextual、shapelet、seasonal、trend</w:t>
            </w:r>
          </w:p>
        </w:tc>
      </w:tr>
      <w:tr>
        <w:tc>
          <w:tcPr>
            <w:tcW w:type="dxa" w:w="5141"/>
            <w:vAlign w:val="center"/>
          </w:tcPr>
          <w:p>
            <w:pPr>
              <w:spacing w:after="0"/>
            </w:pPr>
            <w:r>
              <w:rPr>
                <w:rFonts w:ascii="Arial" w:hAnsi="Arial" w:eastAsia="Microsoft YaHei"/>
                <w:sz w:val="15"/>
              </w:rPr>
              <w:t>检出率/误检率</w:t>
            </w:r>
          </w:p>
        </w:tc>
        <w:tc>
          <w:tcPr>
            <w:tcW w:type="dxa" w:w="5141"/>
            <w:vAlign w:val="center"/>
          </w:tcPr>
          <w:p>
            <w:pPr>
              <w:spacing w:after="0"/>
            </w:pPr>
            <w:r>
              <w:rPr>
                <w:rFonts w:ascii="Arial" w:hAnsi="Arial" w:eastAsia="Microsoft YaHei"/>
                <w:sz w:val="15"/>
              </w:rPr>
              <w:t>论文给出ROC/AUC，五个真实数据集AUC均优于所画比较模型</w:t>
            </w:r>
          </w:p>
        </w:tc>
      </w:tr>
      <w:tr>
        <w:tc>
          <w:tcPr>
            <w:tcW w:type="dxa" w:w="5141"/>
            <w:vAlign w:val="center"/>
          </w:tcPr>
          <w:p>
            <w:pPr>
              <w:spacing w:after="0"/>
            </w:pPr>
            <w:r>
              <w:rPr>
                <w:rFonts w:ascii="Arial" w:hAnsi="Arial" w:eastAsia="Microsoft YaHei"/>
                <w:sz w:val="15"/>
              </w:rPr>
              <w:t>评价注意</w:t>
            </w:r>
          </w:p>
        </w:tc>
        <w:tc>
          <w:tcPr>
            <w:tcW w:type="dxa" w:w="5141"/>
            <w:vAlign w:val="center"/>
          </w:tcPr>
          <w:p>
            <w:pPr>
              <w:spacing w:after="0"/>
            </w:pPr>
            <w:r>
              <w:rPr>
                <w:rFonts w:ascii="Arial" w:hAnsi="Arial" w:eastAsia="Microsoft YaHei"/>
                <w:sz w:val="15"/>
              </w:rPr>
              <w:t>使用point-adjust：异常段内任一点命中后整段视为正确，可能高估逐点性能</w:t>
            </w:r>
          </w:p>
        </w:tc>
      </w:tr>
    </w:tbl>
    <w:p>
      <w:pPr>
        <w:pStyle w:val="Heading2"/>
      </w:pPr>
      <w:r>
        <w:t>4.C 优点与缺点</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优点</w:t>
            </w:r>
          </w:p>
        </w:tc>
        <w:tc>
          <w:tcPr>
            <w:tcW w:type="dxa" w:w="5141"/>
            <w:shd w:fill="D9EAF7"/>
            <w:vAlign w:val="center"/>
          </w:tcPr>
          <w:p>
            <w:pPr>
              <w:spacing w:after="0"/>
            </w:pPr>
            <w:r>
              <w:rPr>
                <w:rFonts w:ascii="Arial" w:hAnsi="Arial" w:eastAsia="Microsoft YaHei"/>
                <w:sz w:val="15"/>
              </w:rPr>
              <w:t>缺点/风险</w:t>
            </w:r>
          </w:p>
        </w:tc>
      </w:tr>
      <w:tr>
        <w:tc>
          <w:tcPr>
            <w:tcW w:type="dxa" w:w="5141"/>
            <w:vAlign w:val="center"/>
          </w:tcPr>
          <w:p>
            <w:pPr>
              <w:spacing w:after="0"/>
            </w:pPr>
            <w:r>
              <w:rPr>
                <w:rFonts w:ascii="Arial" w:hAnsi="Arial" w:eastAsia="Microsoft YaHei"/>
                <w:sz w:val="15"/>
              </w:rPr>
              <w:t>提出区别于传统重构/预测误差的association-based criterion</w:t>
            </w:r>
          </w:p>
        </w:tc>
        <w:tc>
          <w:tcPr>
            <w:tcW w:type="dxa" w:w="5141"/>
            <w:vAlign w:val="center"/>
          </w:tcPr>
          <w:p>
            <w:pPr>
              <w:spacing w:after="0"/>
            </w:pPr>
            <w:r>
              <w:rPr>
                <w:rFonts w:ascii="Arial" w:hAnsi="Arial" w:eastAsia="Microsoft YaHei"/>
                <w:sz w:val="15"/>
              </w:rPr>
              <w:t>依赖“异常关联更邻近集中”的假设</w:t>
            </w:r>
          </w:p>
        </w:tc>
      </w:tr>
      <w:tr>
        <w:tc>
          <w:tcPr>
            <w:tcW w:type="dxa" w:w="5141"/>
            <w:vAlign w:val="center"/>
          </w:tcPr>
          <w:p>
            <w:pPr>
              <w:spacing w:after="0"/>
            </w:pPr>
            <w:r>
              <w:rPr>
                <w:rFonts w:ascii="Arial" w:hAnsi="Arial" w:eastAsia="Microsoft YaHei"/>
                <w:sz w:val="15"/>
              </w:rPr>
              <w:t>能利用长距离时序关系、周期、趋势等上下文</w:t>
            </w:r>
          </w:p>
        </w:tc>
        <w:tc>
          <w:tcPr>
            <w:tcW w:type="dxa" w:w="5141"/>
            <w:vAlign w:val="center"/>
          </w:tcPr>
          <w:p>
            <w:pPr>
              <w:spacing w:after="0"/>
            </w:pPr>
            <w:r>
              <w:rPr>
                <w:rFonts w:ascii="Arial" w:hAnsi="Arial" w:eastAsia="Microsoft YaHei"/>
                <w:sz w:val="15"/>
              </w:rPr>
              <w:t>attention对window长度二次复杂度</w:t>
            </w:r>
          </w:p>
        </w:tc>
      </w:tr>
      <w:tr>
        <w:tc>
          <w:tcPr>
            <w:tcW w:type="dxa" w:w="5141"/>
            <w:vAlign w:val="center"/>
          </w:tcPr>
          <w:p>
            <w:pPr>
              <w:spacing w:after="0"/>
            </w:pPr>
            <w:r>
              <w:rPr>
                <w:rFonts w:ascii="Arial" w:hAnsi="Arial" w:eastAsia="Microsoft YaHei"/>
                <w:sz w:val="15"/>
              </w:rPr>
              <w:t>无监督，train/validation无需异常标签</w:t>
            </w:r>
          </w:p>
        </w:tc>
        <w:tc>
          <w:tcPr>
            <w:tcW w:type="dxa" w:w="5141"/>
            <w:vAlign w:val="center"/>
          </w:tcPr>
          <w:p>
            <w:pPr>
              <w:spacing w:after="0"/>
            </w:pPr>
            <w:r>
              <w:rPr>
                <w:rFonts w:ascii="Arial" w:hAnsi="Arial" w:eastAsia="Microsoft YaHei"/>
                <w:sz w:val="15"/>
              </w:rPr>
              <w:t>阈值比例r仍需人工/业务先验</w:t>
            </w:r>
          </w:p>
        </w:tc>
      </w:tr>
      <w:tr>
        <w:tc>
          <w:tcPr>
            <w:tcW w:type="dxa" w:w="5141"/>
            <w:vAlign w:val="center"/>
          </w:tcPr>
          <w:p>
            <w:pPr>
              <w:spacing w:after="0"/>
            </w:pPr>
            <w:r>
              <w:rPr>
                <w:rFonts w:ascii="Arial" w:hAnsi="Arial" w:eastAsia="Microsoft YaHei"/>
                <w:sz w:val="15"/>
              </w:rPr>
              <w:t>输入即多变量时序，可独立于目标回归器</w:t>
            </w:r>
          </w:p>
        </w:tc>
        <w:tc>
          <w:tcPr>
            <w:tcW w:type="dxa" w:w="5141"/>
            <w:vAlign w:val="center"/>
          </w:tcPr>
          <w:p>
            <w:pPr>
              <w:spacing w:after="0"/>
            </w:pPr>
            <w:r>
              <w:rPr>
                <w:rFonts w:ascii="Arial" w:hAnsi="Arial" w:eastAsia="Microsoft YaHei"/>
                <w:sz w:val="15"/>
              </w:rPr>
              <w:t>没有显式metric-to-metric关系模块</w:t>
            </w:r>
          </w:p>
        </w:tc>
      </w:tr>
      <w:tr>
        <w:tc>
          <w:tcPr>
            <w:tcW w:type="dxa" w:w="5141"/>
            <w:vAlign w:val="center"/>
          </w:tcPr>
          <w:p>
            <w:pPr>
              <w:spacing w:after="0"/>
            </w:pPr>
            <w:r>
              <w:rPr>
                <w:rFonts w:ascii="Arial" w:hAnsi="Arial" w:eastAsia="Microsoft YaHei"/>
                <w:sz w:val="15"/>
              </w:rPr>
              <w:t>SWaT真实水处理系统验证</w:t>
            </w:r>
          </w:p>
        </w:tc>
        <w:tc>
          <w:tcPr>
            <w:tcW w:type="dxa" w:w="5141"/>
            <w:vAlign w:val="center"/>
          </w:tcPr>
          <w:p>
            <w:pPr>
              <w:spacing w:after="0"/>
            </w:pPr>
            <w:r>
              <w:rPr>
                <w:rFonts w:ascii="Arial" w:hAnsi="Arial" w:eastAsia="Microsoft YaHei"/>
                <w:sz w:val="15"/>
              </w:rPr>
              <w:t>论文未给具体在线延迟</w:t>
            </w:r>
          </w:p>
        </w:tc>
      </w:tr>
      <w:tr>
        <w:tc>
          <w:tcPr>
            <w:tcW w:type="dxa" w:w="5141"/>
            <w:vAlign w:val="center"/>
          </w:tcPr>
          <w:p>
            <w:pPr>
              <w:spacing w:after="0"/>
            </w:pPr>
            <w:r>
              <w:rPr>
                <w:rFonts w:ascii="Arial" w:hAnsi="Arial" w:eastAsia="Microsoft YaHei"/>
                <w:sz w:val="15"/>
              </w:rPr>
              <w:t>AssDis单独已有很强性能，可解释模型关键机制</w:t>
            </w:r>
          </w:p>
        </w:tc>
        <w:tc>
          <w:tcPr>
            <w:tcW w:type="dxa" w:w="5141"/>
            <w:vAlign w:val="center"/>
          </w:tcPr>
          <w:p>
            <w:pPr>
              <w:spacing w:after="0"/>
            </w:pPr>
            <w:r>
              <w:rPr>
                <w:rFonts w:ascii="Arial" w:hAnsi="Arial" w:eastAsia="Microsoft YaHei"/>
                <w:sz w:val="15"/>
              </w:rPr>
              <w:t>point-adjust指标可能乐观</w:t>
            </w:r>
          </w:p>
        </w:tc>
      </w:tr>
    </w:tbl>
    <w:p>
      <w:pPr>
        <w:pStyle w:val="Heading2"/>
      </w:pPr>
      <w:r>
        <w:t>4.D 应用限制条件</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条件</w:t>
            </w:r>
          </w:p>
        </w:tc>
        <w:tc>
          <w:tcPr>
            <w:tcW w:type="dxa" w:w="5141"/>
            <w:shd w:fill="D9EAF7"/>
            <w:vAlign w:val="center"/>
          </w:tcPr>
          <w:p>
            <w:pPr>
              <w:spacing w:after="0"/>
            </w:pPr>
            <w:r>
              <w:rPr>
                <w:rFonts w:ascii="Arial" w:hAnsi="Arial" w:eastAsia="Microsoft YaHei"/>
                <w:sz w:val="15"/>
              </w:rPr>
              <w:t>判断</w:t>
            </w:r>
          </w:p>
        </w:tc>
      </w:tr>
      <w:tr>
        <w:tc>
          <w:tcPr>
            <w:tcW w:type="dxa" w:w="5141"/>
            <w:vAlign w:val="center"/>
          </w:tcPr>
          <w:p>
            <w:pPr>
              <w:spacing w:after="0"/>
            </w:pPr>
            <w:r>
              <w:rPr>
                <w:rFonts w:ascii="Arial" w:hAnsi="Arial" w:eastAsia="Microsoft YaHei"/>
                <w:sz w:val="15"/>
              </w:rPr>
              <w:t>AI模型</w:t>
            </w:r>
          </w:p>
        </w:tc>
        <w:tc>
          <w:tcPr>
            <w:tcW w:type="dxa" w:w="5141"/>
            <w:vAlign w:val="center"/>
          </w:tcPr>
          <w:p>
            <w:pPr>
              <w:spacing w:after="0"/>
            </w:pPr>
            <w:r>
              <w:rPr>
                <w:rFonts w:ascii="Arial" w:hAnsi="Arial" w:eastAsia="Microsoft YaHei"/>
                <w:sz w:val="15"/>
              </w:rPr>
              <w:t>model-agnostic，可作为任意回归模型前段输入监视器</w:t>
            </w:r>
          </w:p>
        </w:tc>
      </w:tr>
      <w:tr>
        <w:tc>
          <w:tcPr>
            <w:tcW w:type="dxa" w:w="5141"/>
            <w:vAlign w:val="center"/>
          </w:tcPr>
          <w:p>
            <w:pPr>
              <w:spacing w:after="0"/>
            </w:pPr>
            <w:r>
              <w:rPr>
                <w:rFonts w:ascii="Arial" w:hAnsi="Arial" w:eastAsia="Microsoft YaHei"/>
                <w:sz w:val="15"/>
              </w:rPr>
              <w:t>训练数据</w:t>
            </w:r>
          </w:p>
        </w:tc>
        <w:tc>
          <w:tcPr>
            <w:tcW w:type="dxa" w:w="5141"/>
            <w:vAlign w:val="center"/>
          </w:tcPr>
          <w:p>
            <w:pPr>
              <w:spacing w:after="0"/>
            </w:pPr>
            <w:r>
              <w:rPr>
                <w:rFonts w:ascii="Arial" w:hAnsi="Arial" w:eastAsia="Microsoft YaHei"/>
                <w:sz w:val="15"/>
              </w:rPr>
              <w:t>需足够长序列学习全局关联；具体最低量未规定</w:t>
            </w:r>
          </w:p>
        </w:tc>
      </w:tr>
      <w:tr>
        <w:tc>
          <w:tcPr>
            <w:tcW w:type="dxa" w:w="5141"/>
            <w:vAlign w:val="center"/>
          </w:tcPr>
          <w:p>
            <w:pPr>
              <w:spacing w:after="0"/>
            </w:pPr>
            <w:r>
              <w:rPr>
                <w:rFonts w:ascii="Arial" w:hAnsi="Arial" w:eastAsia="Microsoft YaHei"/>
                <w:sz w:val="15"/>
              </w:rPr>
              <w:t>数据</w:t>
            </w:r>
          </w:p>
        </w:tc>
        <w:tc>
          <w:tcPr>
            <w:tcW w:type="dxa" w:w="5141"/>
            <w:vAlign w:val="center"/>
          </w:tcPr>
          <w:p>
            <w:pPr>
              <w:spacing w:after="0"/>
            </w:pPr>
            <w:r>
              <w:rPr>
                <w:rFonts w:ascii="Arial" w:hAnsi="Arial" w:eastAsia="Microsoft YaHei"/>
                <w:sz w:val="15"/>
              </w:rPr>
              <w:t>等间隔多变量时间序列最符合设定</w:t>
            </w:r>
          </w:p>
        </w:tc>
      </w:tr>
      <w:tr>
        <w:tc>
          <w:tcPr>
            <w:tcW w:type="dxa" w:w="5141"/>
            <w:vAlign w:val="center"/>
          </w:tcPr>
          <w:p>
            <w:pPr>
              <w:spacing w:after="0"/>
            </w:pPr>
            <w:r>
              <w:rPr>
                <w:rFonts w:ascii="Arial" w:hAnsi="Arial" w:eastAsia="Microsoft YaHei"/>
                <w:sz w:val="15"/>
              </w:rPr>
              <w:t>window</w:t>
            </w:r>
          </w:p>
        </w:tc>
        <w:tc>
          <w:tcPr>
            <w:tcW w:type="dxa" w:w="5141"/>
            <w:vAlign w:val="center"/>
          </w:tcPr>
          <w:p>
            <w:pPr>
              <w:spacing w:after="0"/>
            </w:pPr>
            <w:r>
              <w:rPr>
                <w:rFonts w:ascii="Arial" w:hAnsi="Arial" w:eastAsia="Microsoft YaHei"/>
                <w:sz w:val="15"/>
              </w:rPr>
              <w:t>主实验100；太小可能失效，太大计算/内存上升</w:t>
            </w:r>
          </w:p>
        </w:tc>
      </w:tr>
      <w:tr>
        <w:tc>
          <w:tcPr>
            <w:tcW w:type="dxa" w:w="5141"/>
            <w:vAlign w:val="center"/>
          </w:tcPr>
          <w:p>
            <w:pPr>
              <w:spacing w:after="0"/>
            </w:pPr>
            <w:r>
              <w:rPr>
                <w:rFonts w:ascii="Arial" w:hAnsi="Arial" w:eastAsia="Microsoft YaHei"/>
                <w:sz w:val="15"/>
              </w:rPr>
              <w:t>计算</w:t>
            </w:r>
          </w:p>
        </w:tc>
        <w:tc>
          <w:tcPr>
            <w:tcW w:type="dxa" w:w="5141"/>
            <w:vAlign w:val="center"/>
          </w:tcPr>
          <w:p>
            <w:pPr>
              <w:spacing w:after="0"/>
            </w:pPr>
            <w:r>
              <w:rPr>
                <w:rFonts w:ascii="Arial" w:hAnsi="Arial" w:eastAsia="Microsoft YaHei"/>
                <w:sz w:val="15"/>
              </w:rPr>
              <w:t>Transformer attention约随window²增长</w:t>
            </w:r>
          </w:p>
        </w:tc>
      </w:tr>
      <w:tr>
        <w:tc>
          <w:tcPr>
            <w:tcW w:type="dxa" w:w="5141"/>
            <w:vAlign w:val="center"/>
          </w:tcPr>
          <w:p>
            <w:pPr>
              <w:spacing w:after="0"/>
            </w:pPr>
            <w:r>
              <w:rPr>
                <w:rFonts w:ascii="Arial" w:hAnsi="Arial" w:eastAsia="Microsoft YaHei"/>
                <w:sz w:val="15"/>
              </w:rPr>
              <w:t>实时性</w:t>
            </w:r>
          </w:p>
        </w:tc>
        <w:tc>
          <w:tcPr>
            <w:tcW w:type="dxa" w:w="5141"/>
            <w:vAlign w:val="center"/>
          </w:tcPr>
          <w:p>
            <w:pPr>
              <w:spacing w:after="0"/>
            </w:pPr>
            <w:r>
              <w:rPr>
                <w:rFonts w:ascii="Arial" w:hAnsi="Arial" w:eastAsia="Microsoft YaHei"/>
                <w:sz w:val="15"/>
              </w:rPr>
              <w:t>理论可在线滑窗检测；论文未报告每点推理时间</w:t>
            </w:r>
          </w:p>
        </w:tc>
      </w:tr>
      <w:tr>
        <w:tc>
          <w:tcPr>
            <w:tcW w:type="dxa" w:w="5141"/>
            <w:vAlign w:val="center"/>
          </w:tcPr>
          <w:p>
            <w:pPr>
              <w:spacing w:after="0"/>
            </w:pPr>
            <w:r>
              <w:rPr>
                <w:rFonts w:ascii="Arial" w:hAnsi="Arial" w:eastAsia="Microsoft YaHei"/>
                <w:sz w:val="15"/>
              </w:rPr>
              <w:t>仅输入检测</w:t>
            </w:r>
          </w:p>
        </w:tc>
        <w:tc>
          <w:tcPr>
            <w:tcW w:type="dxa" w:w="5141"/>
            <w:vAlign w:val="center"/>
          </w:tcPr>
          <w:p>
            <w:pPr>
              <w:spacing w:after="0"/>
            </w:pPr>
            <w:r>
              <w:rPr>
                <w:rFonts w:ascii="Arial" w:hAnsi="Arial" w:eastAsia="Microsoft YaHei"/>
                <w:sz w:val="15"/>
              </w:rPr>
              <w:t>可以</w:t>
            </w:r>
          </w:p>
        </w:tc>
      </w:tr>
      <w:tr>
        <w:tc>
          <w:tcPr>
            <w:tcW w:type="dxa" w:w="5141"/>
            <w:vAlign w:val="center"/>
          </w:tcPr>
          <w:p>
            <w:pPr>
              <w:spacing w:after="0"/>
            </w:pPr>
            <w:r>
              <w:rPr>
                <w:rFonts w:ascii="Arial" w:hAnsi="Arial" w:eastAsia="Microsoft YaHei"/>
                <w:sz w:val="15"/>
              </w:rPr>
              <w:t>目标AI内部信息</w:t>
            </w:r>
          </w:p>
        </w:tc>
        <w:tc>
          <w:tcPr>
            <w:tcW w:type="dxa" w:w="5141"/>
            <w:vAlign w:val="center"/>
          </w:tcPr>
          <w:p>
            <w:pPr>
              <w:spacing w:after="0"/>
            </w:pPr>
            <w:r>
              <w:rPr>
                <w:rFonts w:ascii="Arial" w:hAnsi="Arial" w:eastAsia="Microsoft YaHei"/>
                <w:sz w:val="15"/>
              </w:rPr>
              <w:t>不需要</w:t>
            </w:r>
          </w:p>
        </w:tc>
      </w:tr>
      <w:tr>
        <w:tc>
          <w:tcPr>
            <w:tcW w:type="dxa" w:w="5141"/>
            <w:vAlign w:val="center"/>
          </w:tcPr>
          <w:p>
            <w:pPr>
              <w:spacing w:after="0"/>
            </w:pPr>
            <w:r>
              <w:rPr>
                <w:rFonts w:ascii="Arial" w:hAnsi="Arial" w:eastAsia="Microsoft YaHei"/>
                <w:sz w:val="15"/>
              </w:rPr>
              <w:t>阈值</w:t>
            </w:r>
          </w:p>
        </w:tc>
        <w:tc>
          <w:tcPr>
            <w:tcW w:type="dxa" w:w="5141"/>
            <w:vAlign w:val="center"/>
          </w:tcPr>
          <w:p>
            <w:pPr>
              <w:spacing w:after="0"/>
            </w:pPr>
            <w:r>
              <w:rPr>
                <w:rFonts w:ascii="Arial" w:hAnsi="Arial" w:eastAsia="Microsoft YaHei"/>
                <w:sz w:val="15"/>
              </w:rPr>
              <w:t>需validation分数和人工比例r/固定δ</w:t>
            </w:r>
          </w:p>
        </w:tc>
      </w:tr>
      <w:tr>
        <w:tc>
          <w:tcPr>
            <w:tcW w:type="dxa" w:w="5141"/>
            <w:vAlign w:val="center"/>
          </w:tcPr>
          <w:p>
            <w:pPr>
              <w:spacing w:after="0"/>
            </w:pPr>
            <w:r>
              <w:rPr>
                <w:rFonts w:ascii="Arial" w:hAnsi="Arial" w:eastAsia="Microsoft YaHei"/>
                <w:sz w:val="15"/>
              </w:rPr>
              <w:t>漂移</w:t>
            </w:r>
          </w:p>
        </w:tc>
        <w:tc>
          <w:tcPr>
            <w:tcW w:type="dxa" w:w="5141"/>
            <w:vAlign w:val="center"/>
          </w:tcPr>
          <w:p>
            <w:pPr>
              <w:spacing w:after="0"/>
            </w:pPr>
            <w:r>
              <w:rPr>
                <w:rFonts w:ascii="Arial" w:hAnsi="Arial" w:eastAsia="Microsoft YaHei"/>
                <w:sz w:val="15"/>
              </w:rPr>
              <w:t>持续结构变化时需重新训练/校准</w:t>
            </w:r>
          </w:p>
        </w:tc>
      </w:tr>
    </w:tbl>
    <w:p>
      <w:pPr>
        <w:pStyle w:val="Heading2"/>
      </w:pPr>
      <w:r>
        <w:t>4.E 应用案例与预期对象</w:t>
      </w:r>
    </w:p>
    <w:p>
      <w:r>
        <w:t>原论文实证包括服务器监控(SMD/PSM)、航天遥测(MSL/SMAP)、水处理(SWaT)及多类型异常benchmark(NeurIPS-TS)。可推测适用于制造、能源、上下水道等连续多传感器系统，但这些扩展场景不是原论文直接实证。</w:t>
      </w:r>
    </w:p>
    <w:p>
      <w:pPr>
        <w:pStyle w:val="Heading2"/>
      </w:pPr>
      <w:r>
        <w:t>4.F 社会基础设施监控与控制系统适用性</w:t>
      </w:r>
    </w:p>
    <w:p>
      <w:r>
        <w:t>综合适用性：高。SWaT直接来自水处理critical infrastructure，说明算法的输入形式和应用领域与本项目接近。建议重点用于检测工况时序关系、周期/趋势、局部动态模式变化；若重点是“同一时刻各变量间组合关系未知”，InterFusion的显式inter-metric建模更直接，可考虑两者并行比较。</w:t>
      </w:r>
    </w:p>
    <w:p>
      <w:pPr>
        <w:pStyle w:val="Heading1"/>
      </w:pPr>
      <w:r>
        <w:t>5. 用于评价的数据集</w:t>
      </w:r>
    </w:p>
    <w:p>
      <w:pPr>
        <w:pStyle w:val="Heading2"/>
      </w:pPr>
      <w:r>
        <w:t>5.1 数据集总表</w:t>
      </w:r>
    </w:p>
    <w:tbl>
      <w:tblPr>
        <w:tblStyle w:val="TableGrid"/>
        <w:tblW w:type="auto" w:w="0"/>
        <w:jc w:val="center"/>
        <w:tblLook w:firstColumn="1" w:firstRow="1" w:lastColumn="0" w:lastRow="0" w:noHBand="0" w:noVBand="1" w:val="04A0"/>
      </w:tblPr>
      <w:tblGrid>
        <w:gridCol w:w="1714"/>
        <w:gridCol w:w="1714"/>
        <w:gridCol w:w="1714"/>
        <w:gridCol w:w="1714"/>
        <w:gridCol w:w="1714"/>
        <w:gridCol w:w="1714"/>
      </w:tblGrid>
      <w:tr>
        <w:tc>
          <w:tcPr>
            <w:tcW w:type="dxa" w:w="1714"/>
            <w:shd w:fill="D9EAF7"/>
            <w:vAlign w:val="center"/>
          </w:tcPr>
          <w:p>
            <w:pPr>
              <w:spacing w:after="0"/>
            </w:pPr>
            <w:r>
              <w:rPr>
                <w:rFonts w:ascii="Arial" w:hAnsi="Arial" w:eastAsia="Microsoft YaHei"/>
                <w:sz w:val="13"/>
              </w:rPr>
              <w:t>Dataset</w:t>
            </w:r>
          </w:p>
        </w:tc>
        <w:tc>
          <w:tcPr>
            <w:tcW w:type="dxa" w:w="1714"/>
            <w:shd w:fill="D9EAF7"/>
            <w:vAlign w:val="center"/>
          </w:tcPr>
          <w:p>
            <w:pPr>
              <w:spacing w:after="0"/>
            </w:pPr>
            <w:r>
              <w:rPr>
                <w:rFonts w:ascii="Arial" w:hAnsi="Arial" w:eastAsia="Microsoft YaHei"/>
                <w:sz w:val="13"/>
              </w:rPr>
              <w:t>输入</w:t>
            </w:r>
          </w:p>
        </w:tc>
        <w:tc>
          <w:tcPr>
            <w:tcW w:type="dxa" w:w="1714"/>
            <w:shd w:fill="D9EAF7"/>
            <w:vAlign w:val="center"/>
          </w:tcPr>
          <w:p>
            <w:pPr>
              <w:spacing w:after="0"/>
            </w:pPr>
            <w:r>
              <w:rPr>
                <w:rFonts w:ascii="Arial" w:hAnsi="Arial" w:eastAsia="Microsoft YaHei"/>
                <w:sz w:val="13"/>
              </w:rPr>
              <w:t>Train/Val/Test</w:t>
            </w:r>
          </w:p>
        </w:tc>
        <w:tc>
          <w:tcPr>
            <w:tcW w:type="dxa" w:w="1714"/>
            <w:shd w:fill="D9EAF7"/>
            <w:vAlign w:val="center"/>
          </w:tcPr>
          <w:p>
            <w:pPr>
              <w:spacing w:after="0"/>
            </w:pPr>
            <w:r>
              <w:rPr>
                <w:rFonts w:ascii="Arial" w:hAnsi="Arial" w:eastAsia="Microsoft YaHei"/>
                <w:sz w:val="13"/>
              </w:rPr>
              <w:t>GT异常率</w:t>
            </w:r>
          </w:p>
        </w:tc>
        <w:tc>
          <w:tcPr>
            <w:tcW w:type="dxa" w:w="1714"/>
            <w:shd w:fill="D9EAF7"/>
            <w:vAlign w:val="center"/>
          </w:tcPr>
          <w:p>
            <w:pPr>
              <w:spacing w:after="0"/>
            </w:pPr>
            <w:r>
              <w:rPr>
                <w:rFonts w:ascii="Arial" w:hAnsi="Arial" w:eastAsia="Microsoft YaHei"/>
                <w:sz w:val="13"/>
              </w:rPr>
              <w:t>公开/获取</w:t>
            </w:r>
          </w:p>
        </w:tc>
        <w:tc>
          <w:tcPr>
            <w:tcW w:type="dxa" w:w="1714"/>
            <w:shd w:fill="D9EAF7"/>
            <w:vAlign w:val="center"/>
          </w:tcPr>
          <w:p>
            <w:pPr>
              <w:spacing w:after="0"/>
            </w:pPr>
            <w:r>
              <w:rPr>
                <w:rFonts w:ascii="Arial" w:hAnsi="Arial" w:eastAsia="Microsoft YaHei"/>
                <w:sz w:val="13"/>
              </w:rPr>
              <w:t>备注</w:t>
            </w:r>
          </w:p>
        </w:tc>
      </w:tr>
      <w:tr>
        <w:tc>
          <w:tcPr>
            <w:tcW w:type="dxa" w:w="1714"/>
            <w:vAlign w:val="center"/>
          </w:tcPr>
          <w:p>
            <w:pPr>
              <w:spacing w:after="0"/>
            </w:pPr>
            <w:r>
              <w:rPr>
                <w:rFonts w:ascii="Arial" w:hAnsi="Arial" w:eastAsia="Microsoft YaHei"/>
                <w:sz w:val="13"/>
              </w:rPr>
              <w:t>SMD</w:t>
            </w:r>
          </w:p>
        </w:tc>
        <w:tc>
          <w:tcPr>
            <w:tcW w:type="dxa" w:w="1714"/>
            <w:vAlign w:val="center"/>
          </w:tcPr>
          <w:p>
            <w:pPr>
              <w:spacing w:after="0"/>
            </w:pPr>
            <w:r>
              <w:rPr>
                <w:rFonts w:ascii="Arial" w:hAnsi="Arial" w:eastAsia="Microsoft YaHei"/>
                <w:sz w:val="13"/>
              </w:rPr>
              <w:t>38维服务器MTS</w:t>
            </w:r>
          </w:p>
        </w:tc>
        <w:tc>
          <w:tcPr>
            <w:tcW w:type="dxa" w:w="1714"/>
            <w:vAlign w:val="center"/>
          </w:tcPr>
          <w:p>
            <w:pPr>
              <w:spacing w:after="0"/>
            </w:pPr>
            <w:r>
              <w:rPr>
                <w:rFonts w:ascii="Arial" w:hAnsi="Arial" w:eastAsia="Microsoft YaHei"/>
                <w:sz w:val="13"/>
              </w:rPr>
              <w:t>566724 / 141681 / 708420</w:t>
            </w:r>
          </w:p>
        </w:tc>
        <w:tc>
          <w:tcPr>
            <w:tcW w:type="dxa" w:w="1714"/>
            <w:vAlign w:val="center"/>
          </w:tcPr>
          <w:p>
            <w:pPr>
              <w:spacing w:after="0"/>
            </w:pPr>
            <w:r>
              <w:rPr>
                <w:rFonts w:ascii="Arial" w:hAnsi="Arial" w:eastAsia="Microsoft YaHei"/>
                <w:sz w:val="13"/>
              </w:rPr>
              <w:t>4.2%</w:t>
            </w:r>
          </w:p>
        </w:tc>
        <w:tc>
          <w:tcPr>
            <w:tcW w:type="dxa" w:w="1714"/>
            <w:vAlign w:val="center"/>
          </w:tcPr>
          <w:p>
            <w:pPr>
              <w:spacing w:after="0"/>
            </w:pPr>
            <w:r>
              <w:rPr>
                <w:rFonts w:ascii="Arial" w:hAnsi="Arial" w:eastAsia="Microsoft YaHei"/>
                <w:sz w:val="13"/>
              </w:rPr>
              <w:t>公开，源自OmniAnomaly工作</w:t>
            </w:r>
          </w:p>
        </w:tc>
        <w:tc>
          <w:tcPr>
            <w:tcW w:type="dxa" w:w="1714"/>
            <w:vAlign w:val="center"/>
          </w:tcPr>
          <w:p>
            <w:pPr>
              <w:spacing w:after="0"/>
            </w:pPr>
            <w:r>
              <w:rPr>
                <w:rFonts w:ascii="Arial" w:hAnsi="Arial" w:eastAsia="Microsoft YaHei"/>
                <w:sz w:val="13"/>
              </w:rPr>
              <w:t>5周服务器数据</w:t>
            </w:r>
          </w:p>
        </w:tc>
      </w:tr>
      <w:tr>
        <w:tc>
          <w:tcPr>
            <w:tcW w:type="dxa" w:w="1714"/>
            <w:vAlign w:val="center"/>
          </w:tcPr>
          <w:p>
            <w:pPr>
              <w:spacing w:after="0"/>
            </w:pPr>
            <w:r>
              <w:rPr>
                <w:rFonts w:ascii="Arial" w:hAnsi="Arial" w:eastAsia="Microsoft YaHei"/>
                <w:sz w:val="13"/>
              </w:rPr>
              <w:t>PSM</w:t>
            </w:r>
          </w:p>
        </w:tc>
        <w:tc>
          <w:tcPr>
            <w:tcW w:type="dxa" w:w="1714"/>
            <w:vAlign w:val="center"/>
          </w:tcPr>
          <w:p>
            <w:pPr>
              <w:spacing w:after="0"/>
            </w:pPr>
            <w:r>
              <w:rPr>
                <w:rFonts w:ascii="Arial" w:hAnsi="Arial" w:eastAsia="Microsoft YaHei"/>
                <w:sz w:val="13"/>
              </w:rPr>
              <w:t>25维(附录；正文写26)服务器MTS</w:t>
            </w:r>
          </w:p>
        </w:tc>
        <w:tc>
          <w:tcPr>
            <w:tcW w:type="dxa" w:w="1714"/>
            <w:vAlign w:val="center"/>
          </w:tcPr>
          <w:p>
            <w:pPr>
              <w:spacing w:after="0"/>
            </w:pPr>
            <w:r>
              <w:rPr>
                <w:rFonts w:ascii="Arial" w:hAnsi="Arial" w:eastAsia="Microsoft YaHei"/>
                <w:sz w:val="13"/>
              </w:rPr>
              <w:t>105984 / 26497 / 87841</w:t>
            </w:r>
          </w:p>
        </w:tc>
        <w:tc>
          <w:tcPr>
            <w:tcW w:type="dxa" w:w="1714"/>
            <w:vAlign w:val="center"/>
          </w:tcPr>
          <w:p>
            <w:pPr>
              <w:spacing w:after="0"/>
            </w:pPr>
            <w:r>
              <w:rPr>
                <w:rFonts w:ascii="Arial" w:hAnsi="Arial" w:eastAsia="Microsoft YaHei"/>
                <w:sz w:val="13"/>
              </w:rPr>
              <w:t>27.8%</w:t>
            </w:r>
          </w:p>
        </w:tc>
        <w:tc>
          <w:tcPr>
            <w:tcW w:type="dxa" w:w="1714"/>
            <w:vAlign w:val="center"/>
          </w:tcPr>
          <w:p>
            <w:pPr>
              <w:spacing w:after="0"/>
            </w:pPr>
            <w:r>
              <w:rPr>
                <w:rFonts w:ascii="Arial" w:hAnsi="Arial" w:eastAsia="Microsoft YaHei"/>
                <w:sz w:val="13"/>
              </w:rPr>
              <w:t>论文指eBay内部采集数据集</w:t>
            </w:r>
          </w:p>
        </w:tc>
        <w:tc>
          <w:tcPr>
            <w:tcW w:type="dxa" w:w="1714"/>
            <w:vAlign w:val="center"/>
          </w:tcPr>
          <w:p>
            <w:pPr>
              <w:spacing w:after="0"/>
            </w:pPr>
            <w:r>
              <w:rPr>
                <w:rFonts w:ascii="Arial" w:hAnsi="Arial" w:eastAsia="Microsoft YaHei"/>
                <w:sz w:val="13"/>
              </w:rPr>
              <w:t>原文维度存在25/26不一致</w:t>
            </w:r>
          </w:p>
        </w:tc>
      </w:tr>
      <w:tr>
        <w:tc>
          <w:tcPr>
            <w:tcW w:type="dxa" w:w="1714"/>
            <w:vAlign w:val="center"/>
          </w:tcPr>
          <w:p>
            <w:pPr>
              <w:spacing w:after="0"/>
            </w:pPr>
            <w:r>
              <w:rPr>
                <w:rFonts w:ascii="Arial" w:hAnsi="Arial" w:eastAsia="Microsoft YaHei"/>
                <w:sz w:val="13"/>
              </w:rPr>
              <w:t>MSL</w:t>
            </w:r>
          </w:p>
        </w:tc>
        <w:tc>
          <w:tcPr>
            <w:tcW w:type="dxa" w:w="1714"/>
            <w:vAlign w:val="center"/>
          </w:tcPr>
          <w:p>
            <w:pPr>
              <w:spacing w:after="0"/>
            </w:pPr>
            <w:r>
              <w:rPr>
                <w:rFonts w:ascii="Arial" w:hAnsi="Arial" w:eastAsia="Microsoft YaHei"/>
                <w:sz w:val="13"/>
              </w:rPr>
              <w:t>55维NASA遥测</w:t>
            </w:r>
          </w:p>
        </w:tc>
        <w:tc>
          <w:tcPr>
            <w:tcW w:type="dxa" w:w="1714"/>
            <w:vAlign w:val="center"/>
          </w:tcPr>
          <w:p>
            <w:pPr>
              <w:spacing w:after="0"/>
            </w:pPr>
            <w:r>
              <w:rPr>
                <w:rFonts w:ascii="Arial" w:hAnsi="Arial" w:eastAsia="Microsoft YaHei"/>
                <w:sz w:val="13"/>
              </w:rPr>
              <w:t>46653 / 11664 / 73729</w:t>
            </w:r>
          </w:p>
        </w:tc>
        <w:tc>
          <w:tcPr>
            <w:tcW w:type="dxa" w:w="1714"/>
            <w:vAlign w:val="center"/>
          </w:tcPr>
          <w:p>
            <w:pPr>
              <w:spacing w:after="0"/>
            </w:pPr>
            <w:r>
              <w:rPr>
                <w:rFonts w:ascii="Arial" w:hAnsi="Arial" w:eastAsia="Microsoft YaHei"/>
                <w:sz w:val="13"/>
              </w:rPr>
              <w:t>10.5%</w:t>
            </w:r>
          </w:p>
        </w:tc>
        <w:tc>
          <w:tcPr>
            <w:tcW w:type="dxa" w:w="1714"/>
            <w:vAlign w:val="center"/>
          </w:tcPr>
          <w:p>
            <w:pPr>
              <w:spacing w:after="0"/>
            </w:pPr>
            <w:r>
              <w:rPr>
                <w:rFonts w:ascii="Arial" w:hAnsi="Arial" w:eastAsia="Microsoft YaHei"/>
                <w:sz w:val="13"/>
              </w:rPr>
              <w:t>公开NASA数据</w:t>
            </w:r>
          </w:p>
        </w:tc>
        <w:tc>
          <w:tcPr>
            <w:tcW w:type="dxa" w:w="1714"/>
            <w:vAlign w:val="center"/>
          </w:tcPr>
          <w:p>
            <w:pPr>
              <w:spacing w:after="0"/>
            </w:pPr>
            <w:r>
              <w:rPr>
                <w:rFonts w:ascii="Arial" w:hAnsi="Arial" w:eastAsia="Microsoft YaHei"/>
                <w:sz w:val="13"/>
              </w:rPr>
              <w:t>ISA incident reports</w:t>
            </w:r>
          </w:p>
        </w:tc>
      </w:tr>
      <w:tr>
        <w:tc>
          <w:tcPr>
            <w:tcW w:type="dxa" w:w="1714"/>
            <w:vAlign w:val="center"/>
          </w:tcPr>
          <w:p>
            <w:pPr>
              <w:spacing w:after="0"/>
            </w:pPr>
            <w:r>
              <w:rPr>
                <w:rFonts w:ascii="Arial" w:hAnsi="Arial" w:eastAsia="Microsoft YaHei"/>
                <w:sz w:val="13"/>
              </w:rPr>
              <w:t>SMAP</w:t>
            </w:r>
          </w:p>
        </w:tc>
        <w:tc>
          <w:tcPr>
            <w:tcW w:type="dxa" w:w="1714"/>
            <w:vAlign w:val="center"/>
          </w:tcPr>
          <w:p>
            <w:pPr>
              <w:spacing w:after="0"/>
            </w:pPr>
            <w:r>
              <w:rPr>
                <w:rFonts w:ascii="Arial" w:hAnsi="Arial" w:eastAsia="Microsoft YaHei"/>
                <w:sz w:val="13"/>
              </w:rPr>
              <w:t>25维NASA遥测</w:t>
            </w:r>
          </w:p>
        </w:tc>
        <w:tc>
          <w:tcPr>
            <w:tcW w:type="dxa" w:w="1714"/>
            <w:vAlign w:val="center"/>
          </w:tcPr>
          <w:p>
            <w:pPr>
              <w:spacing w:after="0"/>
            </w:pPr>
            <w:r>
              <w:rPr>
                <w:rFonts w:ascii="Arial" w:hAnsi="Arial" w:eastAsia="Microsoft YaHei"/>
                <w:sz w:val="13"/>
              </w:rPr>
              <w:t>108146 / 27037 / 427617</w:t>
            </w:r>
          </w:p>
        </w:tc>
        <w:tc>
          <w:tcPr>
            <w:tcW w:type="dxa" w:w="1714"/>
            <w:vAlign w:val="center"/>
          </w:tcPr>
          <w:p>
            <w:pPr>
              <w:spacing w:after="0"/>
            </w:pPr>
            <w:r>
              <w:rPr>
                <w:rFonts w:ascii="Arial" w:hAnsi="Arial" w:eastAsia="Microsoft YaHei"/>
                <w:sz w:val="13"/>
              </w:rPr>
              <w:t>12.8%</w:t>
            </w:r>
          </w:p>
        </w:tc>
        <w:tc>
          <w:tcPr>
            <w:tcW w:type="dxa" w:w="1714"/>
            <w:vAlign w:val="center"/>
          </w:tcPr>
          <w:p>
            <w:pPr>
              <w:spacing w:after="0"/>
            </w:pPr>
            <w:r>
              <w:rPr>
                <w:rFonts w:ascii="Arial" w:hAnsi="Arial" w:eastAsia="Microsoft YaHei"/>
                <w:sz w:val="13"/>
              </w:rPr>
              <w:t>公开NASA数据</w:t>
            </w:r>
          </w:p>
        </w:tc>
        <w:tc>
          <w:tcPr>
            <w:tcW w:type="dxa" w:w="1714"/>
            <w:vAlign w:val="center"/>
          </w:tcPr>
          <w:p>
            <w:pPr>
              <w:spacing w:after="0"/>
            </w:pPr>
            <w:r>
              <w:rPr>
                <w:rFonts w:ascii="Arial" w:hAnsi="Arial" w:eastAsia="Microsoft YaHei"/>
                <w:sz w:val="13"/>
              </w:rPr>
              <w:t>ISA incident reports</w:t>
            </w:r>
          </w:p>
        </w:tc>
      </w:tr>
      <w:tr>
        <w:tc>
          <w:tcPr>
            <w:tcW w:type="dxa" w:w="1714"/>
            <w:vAlign w:val="center"/>
          </w:tcPr>
          <w:p>
            <w:pPr>
              <w:spacing w:after="0"/>
            </w:pPr>
            <w:r>
              <w:rPr>
                <w:rFonts w:ascii="Arial" w:hAnsi="Arial" w:eastAsia="Microsoft YaHei"/>
                <w:sz w:val="13"/>
              </w:rPr>
              <w:t>SWaT</w:t>
            </w:r>
          </w:p>
        </w:tc>
        <w:tc>
          <w:tcPr>
            <w:tcW w:type="dxa" w:w="1714"/>
            <w:vAlign w:val="center"/>
          </w:tcPr>
          <w:p>
            <w:pPr>
              <w:spacing w:after="0"/>
            </w:pPr>
            <w:r>
              <w:rPr>
                <w:rFonts w:ascii="Arial" w:hAnsi="Arial" w:eastAsia="Microsoft YaHei"/>
                <w:sz w:val="13"/>
              </w:rPr>
              <w:t>51传感器水处理MTS</w:t>
            </w:r>
          </w:p>
        </w:tc>
        <w:tc>
          <w:tcPr>
            <w:tcW w:type="dxa" w:w="1714"/>
            <w:vAlign w:val="center"/>
          </w:tcPr>
          <w:p>
            <w:pPr>
              <w:spacing w:after="0"/>
            </w:pPr>
            <w:r>
              <w:rPr>
                <w:rFonts w:ascii="Arial" w:hAnsi="Arial" w:eastAsia="Microsoft YaHei"/>
                <w:sz w:val="13"/>
              </w:rPr>
              <w:t>396000 / 99000 / 449919</w:t>
            </w:r>
          </w:p>
        </w:tc>
        <w:tc>
          <w:tcPr>
            <w:tcW w:type="dxa" w:w="1714"/>
            <w:vAlign w:val="center"/>
          </w:tcPr>
          <w:p>
            <w:pPr>
              <w:spacing w:after="0"/>
            </w:pPr>
            <w:r>
              <w:rPr>
                <w:rFonts w:ascii="Arial" w:hAnsi="Arial" w:eastAsia="Microsoft YaHei"/>
                <w:sz w:val="13"/>
              </w:rPr>
              <w:t>12.1%</w:t>
            </w:r>
          </w:p>
        </w:tc>
        <w:tc>
          <w:tcPr>
            <w:tcW w:type="dxa" w:w="1714"/>
            <w:vAlign w:val="center"/>
          </w:tcPr>
          <w:p>
            <w:pPr>
              <w:spacing w:after="0"/>
            </w:pPr>
            <w:r>
              <w:rPr>
                <w:rFonts w:ascii="Arial" w:hAnsi="Arial" w:eastAsia="Microsoft YaHei"/>
                <w:sz w:val="13"/>
              </w:rPr>
              <w:t>公开/受数据提供方使用条件约束；本文未列license名称</w:t>
            </w:r>
          </w:p>
        </w:tc>
        <w:tc>
          <w:tcPr>
            <w:tcW w:type="dxa" w:w="1714"/>
            <w:vAlign w:val="center"/>
          </w:tcPr>
          <w:p>
            <w:pPr>
              <w:spacing w:after="0"/>
            </w:pPr>
            <w:r>
              <w:rPr>
                <w:rFonts w:ascii="Arial" w:hAnsi="Arial" w:eastAsia="Microsoft YaHei"/>
                <w:sz w:val="13"/>
              </w:rPr>
              <w:t>critical infrastructure</w:t>
            </w:r>
          </w:p>
        </w:tc>
      </w:tr>
      <w:tr>
        <w:tc>
          <w:tcPr>
            <w:tcW w:type="dxa" w:w="1714"/>
            <w:vAlign w:val="center"/>
          </w:tcPr>
          <w:p>
            <w:pPr>
              <w:spacing w:after="0"/>
            </w:pPr>
            <w:r>
              <w:rPr>
                <w:rFonts w:ascii="Arial" w:hAnsi="Arial" w:eastAsia="Microsoft YaHei"/>
                <w:sz w:val="13"/>
              </w:rPr>
              <w:t>NeurIPS-TS</w:t>
            </w:r>
          </w:p>
        </w:tc>
        <w:tc>
          <w:tcPr>
            <w:tcW w:type="dxa" w:w="1714"/>
            <w:vAlign w:val="center"/>
          </w:tcPr>
          <w:p>
            <w:pPr>
              <w:spacing w:after="0"/>
            </w:pPr>
            <w:r>
              <w:rPr>
                <w:rFonts w:ascii="Arial" w:hAnsi="Arial" w:eastAsia="Microsoft YaHei"/>
                <w:sz w:val="13"/>
              </w:rPr>
              <w:t>1维多异常类型</w:t>
            </w:r>
          </w:p>
        </w:tc>
        <w:tc>
          <w:tcPr>
            <w:tcW w:type="dxa" w:w="1714"/>
            <w:vAlign w:val="center"/>
          </w:tcPr>
          <w:p>
            <w:pPr>
              <w:spacing w:after="0"/>
            </w:pPr>
            <w:r>
              <w:rPr>
                <w:rFonts w:ascii="Arial" w:hAnsi="Arial" w:eastAsia="Microsoft YaHei"/>
                <w:sz w:val="13"/>
              </w:rPr>
              <w:t>20000 / 10000 / 20000</w:t>
            </w:r>
          </w:p>
        </w:tc>
        <w:tc>
          <w:tcPr>
            <w:tcW w:type="dxa" w:w="1714"/>
            <w:vAlign w:val="center"/>
          </w:tcPr>
          <w:p>
            <w:pPr>
              <w:spacing w:after="0"/>
            </w:pPr>
            <w:r>
              <w:rPr>
                <w:rFonts w:ascii="Arial" w:hAnsi="Arial" w:eastAsia="Microsoft YaHei"/>
                <w:sz w:val="13"/>
              </w:rPr>
              <w:t>1.8%</w:t>
            </w:r>
          </w:p>
        </w:tc>
        <w:tc>
          <w:tcPr>
            <w:tcW w:type="dxa" w:w="1714"/>
            <w:vAlign w:val="center"/>
          </w:tcPr>
          <w:p>
            <w:pPr>
              <w:spacing w:after="0"/>
            </w:pPr>
            <w:r>
              <w:rPr>
                <w:rFonts w:ascii="Arial" w:hAnsi="Arial" w:eastAsia="Microsoft YaHei"/>
                <w:sz w:val="13"/>
              </w:rPr>
              <w:t>benchmark</w:t>
            </w:r>
          </w:p>
        </w:tc>
        <w:tc>
          <w:tcPr>
            <w:tcW w:type="dxa" w:w="1714"/>
            <w:vAlign w:val="center"/>
          </w:tcPr>
          <w:p>
            <w:pPr>
              <w:spacing w:after="0"/>
            </w:pPr>
            <w:r>
              <w:rPr>
                <w:rFonts w:ascii="Arial" w:hAnsi="Arial" w:eastAsia="Microsoft YaHei"/>
                <w:sz w:val="13"/>
              </w:rPr>
              <w:t>五种behavior-driven anomaly</w:t>
            </w:r>
          </w:p>
        </w:tc>
      </w:tr>
    </w:tbl>
    <w:p>
      <w:pPr>
        <w:pStyle w:val="Heading2"/>
      </w:pPr>
      <w:r>
        <w:t>5.2 A-G逐项整理</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项目</w:t>
            </w:r>
          </w:p>
        </w:tc>
        <w:tc>
          <w:tcPr>
            <w:tcW w:type="dxa" w:w="5141"/>
            <w:shd w:fill="D9EAF7"/>
            <w:vAlign w:val="center"/>
          </w:tcPr>
          <w:p>
            <w:pPr>
              <w:spacing w:after="0"/>
            </w:pPr>
            <w:r>
              <w:rPr>
                <w:rFonts w:ascii="Arial" w:hAnsi="Arial" w:eastAsia="Microsoft YaHei"/>
                <w:sz w:val="15"/>
              </w:rPr>
              <w:t>整理</w:t>
            </w:r>
          </w:p>
        </w:tc>
      </w:tr>
      <w:tr>
        <w:tc>
          <w:tcPr>
            <w:tcW w:type="dxa" w:w="5141"/>
            <w:vAlign w:val="center"/>
          </w:tcPr>
          <w:p>
            <w:pPr>
              <w:spacing w:after="0"/>
            </w:pPr>
            <w:r>
              <w:rPr>
                <w:rFonts w:ascii="Arial" w:hAnsi="Arial" w:eastAsia="Microsoft YaHei"/>
                <w:sz w:val="15"/>
              </w:rPr>
              <w:t>A 输入/输出</w:t>
            </w:r>
          </w:p>
        </w:tc>
        <w:tc>
          <w:tcPr>
            <w:tcW w:type="dxa" w:w="5141"/>
            <w:vAlign w:val="center"/>
          </w:tcPr>
          <w:p>
            <w:pPr>
              <w:spacing w:after="0"/>
            </w:pPr>
            <w:r>
              <w:rPr>
                <w:rFonts w:ascii="Arial" w:hAnsi="Arial" w:eastAsia="Microsoft YaHei"/>
                <w:sz w:val="15"/>
              </w:rPr>
              <w:t>输入为多变量时序（NeurIPS-TS为1维）；无回归输出，模型输出point-wise anomaly score/label</w:t>
            </w:r>
          </w:p>
        </w:tc>
      </w:tr>
      <w:tr>
        <w:tc>
          <w:tcPr>
            <w:tcW w:type="dxa" w:w="5141"/>
            <w:vAlign w:val="center"/>
          </w:tcPr>
          <w:p>
            <w:pPr>
              <w:spacing w:after="0"/>
            </w:pPr>
            <w:r>
              <w:rPr>
                <w:rFonts w:ascii="Arial" w:hAnsi="Arial" w:eastAsia="Microsoft YaHei"/>
                <w:sz w:val="15"/>
              </w:rPr>
              <w:t>B 数据量</w:t>
            </w:r>
          </w:p>
        </w:tc>
        <w:tc>
          <w:tcPr>
            <w:tcW w:type="dxa" w:w="5141"/>
            <w:vAlign w:val="center"/>
          </w:tcPr>
          <w:p>
            <w:pPr>
              <w:spacing w:after="0"/>
            </w:pPr>
            <w:r>
              <w:rPr>
                <w:rFonts w:ascii="Arial" w:hAnsi="Arial" w:eastAsia="Microsoft YaHei"/>
                <w:sz w:val="15"/>
              </w:rPr>
              <w:t>详见总表；主实验window=100</w:t>
            </w:r>
          </w:p>
        </w:tc>
      </w:tr>
      <w:tr>
        <w:tc>
          <w:tcPr>
            <w:tcW w:type="dxa" w:w="5141"/>
            <w:vAlign w:val="center"/>
          </w:tcPr>
          <w:p>
            <w:pPr>
              <w:spacing w:after="0"/>
            </w:pPr>
            <w:r>
              <w:rPr>
                <w:rFonts w:ascii="Arial" w:hAnsi="Arial" w:eastAsia="Microsoft YaHei"/>
                <w:sz w:val="15"/>
              </w:rPr>
              <w:t>C Ground truth</w:t>
            </w:r>
          </w:p>
        </w:tc>
        <w:tc>
          <w:tcPr>
            <w:tcW w:type="dxa" w:w="5141"/>
            <w:vAlign w:val="center"/>
          </w:tcPr>
          <w:p>
            <w:pPr>
              <w:spacing w:after="0"/>
            </w:pPr>
            <w:r>
              <w:rPr>
                <w:rFonts w:ascii="Arial" w:hAnsi="Arial" w:eastAsia="Microsoft YaHei"/>
                <w:sz w:val="15"/>
              </w:rPr>
              <w:t>论文明确异常标签只用于testing subset；训练与validation无标签</w:t>
            </w:r>
          </w:p>
        </w:tc>
      </w:tr>
      <w:tr>
        <w:tc>
          <w:tcPr>
            <w:tcW w:type="dxa" w:w="5141"/>
            <w:vAlign w:val="center"/>
          </w:tcPr>
          <w:p>
            <w:pPr>
              <w:spacing w:after="0"/>
            </w:pPr>
            <w:r>
              <w:rPr>
                <w:rFonts w:ascii="Arial" w:hAnsi="Arial" w:eastAsia="Microsoft YaHei"/>
                <w:sz w:val="15"/>
              </w:rPr>
              <w:t>D License</w:t>
            </w:r>
          </w:p>
        </w:tc>
        <w:tc>
          <w:tcPr>
            <w:tcW w:type="dxa" w:w="5141"/>
            <w:vAlign w:val="center"/>
          </w:tcPr>
          <w:p>
            <w:pPr>
              <w:spacing w:after="0"/>
            </w:pPr>
            <w:r>
              <w:rPr>
                <w:rFonts w:ascii="Arial" w:hAnsi="Arial" w:eastAsia="Microsoft YaHei"/>
                <w:sz w:val="15"/>
              </w:rPr>
              <w:t>本文没有列出各数据集具体license条款，因此不凭空补写；公开性/来源按论文描述记录</w:t>
            </w:r>
          </w:p>
        </w:tc>
      </w:tr>
      <w:tr>
        <w:tc>
          <w:tcPr>
            <w:tcW w:type="dxa" w:w="5141"/>
            <w:vAlign w:val="center"/>
          </w:tcPr>
          <w:p>
            <w:pPr>
              <w:spacing w:after="0"/>
            </w:pPr>
            <w:r>
              <w:rPr>
                <w:rFonts w:ascii="Arial" w:hAnsi="Arial" w:eastAsia="Microsoft YaHei"/>
                <w:sz w:val="15"/>
              </w:rPr>
              <w:t>E 数据集分类</w:t>
            </w:r>
          </w:p>
        </w:tc>
        <w:tc>
          <w:tcPr>
            <w:tcW w:type="dxa" w:w="5141"/>
            <w:vAlign w:val="center"/>
          </w:tcPr>
          <w:p>
            <w:pPr>
              <w:spacing w:after="0"/>
            </w:pPr>
            <w:r>
              <w:rPr>
                <w:rFonts w:ascii="Arial" w:hAnsi="Arial" w:eastAsia="Microsoft YaHei"/>
                <w:sz w:val="15"/>
              </w:rPr>
              <w:t>NeurIPS-TS明确分point-global、pattern-contextual、pattern-shapelet、pattern-seasonal、pattern-trend；其他真实集未按①②③分类</w:t>
            </w:r>
          </w:p>
        </w:tc>
      </w:tr>
      <w:tr>
        <w:tc>
          <w:tcPr>
            <w:tcW w:type="dxa" w:w="5141"/>
            <w:vAlign w:val="center"/>
          </w:tcPr>
          <w:p>
            <w:pPr>
              <w:spacing w:after="0"/>
            </w:pPr>
            <w:r>
              <w:rPr>
                <w:rFonts w:ascii="Arial" w:hAnsi="Arial" w:eastAsia="Microsoft YaHei"/>
                <w:sz w:val="15"/>
              </w:rPr>
              <w:t>E ①②③映射</w:t>
            </w:r>
          </w:p>
        </w:tc>
        <w:tc>
          <w:tcPr>
            <w:tcW w:type="dxa" w:w="5141"/>
            <w:vAlign w:val="center"/>
          </w:tcPr>
          <w:p>
            <w:pPr>
              <w:spacing w:after="0"/>
            </w:pPr>
            <w:r>
              <w:rPr>
                <w:rFonts w:ascii="Arial" w:hAnsi="Arial" w:eastAsia="Microsoft YaHei"/>
                <w:sz w:val="15"/>
              </w:rPr>
              <w:t>point-global较接近①；contextual/seasonal/trend/shapelet更接近时序上下文/动态模式变化；③变量间关系变化在本文并非显式标签</w:t>
            </w:r>
          </w:p>
        </w:tc>
      </w:tr>
      <w:tr>
        <w:tc>
          <w:tcPr>
            <w:tcW w:type="dxa" w:w="5141"/>
            <w:vAlign w:val="center"/>
          </w:tcPr>
          <w:p>
            <w:pPr>
              <w:spacing w:after="0"/>
            </w:pPr>
            <w:r>
              <w:rPr>
                <w:rFonts w:ascii="Arial" w:hAnsi="Arial" w:eastAsia="Microsoft YaHei"/>
                <w:sz w:val="15"/>
              </w:rPr>
              <w:t>E Point/Contextual/Collective</w:t>
            </w:r>
          </w:p>
        </w:tc>
        <w:tc>
          <w:tcPr>
            <w:tcW w:type="dxa" w:w="5141"/>
            <w:vAlign w:val="center"/>
          </w:tcPr>
          <w:p>
            <w:pPr>
              <w:spacing w:after="0"/>
            </w:pPr>
            <w:r>
              <w:rPr>
                <w:rFonts w:ascii="Arial" w:hAnsi="Arial" w:eastAsia="Microsoft YaHei"/>
                <w:sz w:val="15"/>
              </w:rPr>
              <w:t>point-global=Point；pattern-contextual=Contextual；shapelet/seasonal/trend多属于Contextual或Collective，需按具体异常段定义</w:t>
            </w:r>
          </w:p>
        </w:tc>
      </w:tr>
      <w:tr>
        <w:tc>
          <w:tcPr>
            <w:tcW w:type="dxa" w:w="5141"/>
            <w:vAlign w:val="center"/>
          </w:tcPr>
          <w:p>
            <w:pPr>
              <w:spacing w:after="0"/>
            </w:pPr>
            <w:r>
              <w:rPr>
                <w:rFonts w:ascii="Arial" w:hAnsi="Arial" w:eastAsia="Microsoft YaHei"/>
                <w:sz w:val="15"/>
              </w:rPr>
              <w:t>F 时间特征</w:t>
            </w:r>
          </w:p>
        </w:tc>
        <w:tc>
          <w:tcPr>
            <w:tcW w:type="dxa" w:w="5141"/>
            <w:vAlign w:val="center"/>
          </w:tcPr>
          <w:p>
            <w:pPr>
              <w:spacing w:after="0"/>
            </w:pPr>
            <w:r>
              <w:rPr>
                <w:rFonts w:ascii="Arial" w:hAnsi="Arial" w:eastAsia="Microsoft YaHei"/>
                <w:sz w:val="15"/>
              </w:rPr>
              <w:t>论文统一使用100点窗口；各真实数据集原始采样粒度在本文统计表中未完整列出，不自行补猜</w:t>
            </w:r>
          </w:p>
        </w:tc>
      </w:tr>
      <w:tr>
        <w:tc>
          <w:tcPr>
            <w:tcW w:type="dxa" w:w="5141"/>
            <w:vAlign w:val="center"/>
          </w:tcPr>
          <w:p>
            <w:pPr>
              <w:spacing w:after="0"/>
            </w:pPr>
            <w:r>
              <w:rPr>
                <w:rFonts w:ascii="Arial" w:hAnsi="Arial" w:eastAsia="Microsoft YaHei"/>
                <w:sz w:val="15"/>
              </w:rPr>
              <w:t>G 划分</w:t>
            </w:r>
          </w:p>
        </w:tc>
        <w:tc>
          <w:tcPr>
            <w:tcW w:type="dxa" w:w="5141"/>
            <w:vAlign w:val="center"/>
          </w:tcPr>
          <w:p>
            <w:pPr>
              <w:spacing w:after="0"/>
            </w:pPr>
            <w:r>
              <w:rPr>
                <w:rFonts w:ascii="Arial" w:hAnsi="Arial" w:eastAsia="Microsoft YaHei"/>
                <w:sz w:val="15"/>
              </w:rPr>
              <w:t>论文给出Train/Validation/Test数量；检测阈值由无标签validation分数确定，test仅用于最终评价</w:t>
            </w:r>
          </w:p>
        </w:tc>
      </w:tr>
      <w:tr>
        <w:tc>
          <w:tcPr>
            <w:tcW w:type="dxa" w:w="5141"/>
            <w:vAlign w:val="center"/>
          </w:tcPr>
          <w:p>
            <w:pPr>
              <w:spacing w:after="0"/>
            </w:pPr>
            <w:r>
              <w:rPr>
                <w:rFonts w:ascii="Arial" w:hAnsi="Arial" w:eastAsia="Microsoft YaHei"/>
                <w:sz w:val="15"/>
              </w:rPr>
              <w:t>G OOD/异常比例</w:t>
            </w:r>
          </w:p>
        </w:tc>
        <w:tc>
          <w:tcPr>
            <w:tcW w:type="dxa" w:w="5141"/>
            <w:vAlign w:val="center"/>
          </w:tcPr>
          <w:p>
            <w:pPr>
              <w:spacing w:after="0"/>
            </w:pPr>
            <w:r>
              <w:rPr>
                <w:rFonts w:ascii="Arial" w:hAnsi="Arial" w:eastAsia="Microsoft YaHei"/>
                <w:sz w:val="15"/>
              </w:rPr>
              <w:t>Table 13给出whole dataset truth abnormal proportion：SMD 4.2%、PSM 27.8%、MSL 10.5%、SMAP 12.8%、SWaT 12.1%、NeurIPS-TS 1.8%</w:t>
            </w:r>
          </w:p>
        </w:tc>
      </w:tr>
    </w:tbl>
    <w:p>
      <w:pPr>
        <w:pStyle w:val="Heading1"/>
      </w:pPr>
      <w:r>
        <w:t>6. 对本研究的最终评价</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评价项</w:t>
            </w:r>
          </w:p>
        </w:tc>
        <w:tc>
          <w:tcPr>
            <w:tcW w:type="dxa" w:w="5141"/>
            <w:shd w:fill="D9EAF7"/>
            <w:vAlign w:val="center"/>
          </w:tcPr>
          <w:p>
            <w:pPr>
              <w:spacing w:after="0"/>
            </w:pPr>
            <w:r>
              <w:rPr>
                <w:rFonts w:ascii="Arial" w:hAnsi="Arial" w:eastAsia="Microsoft YaHei"/>
                <w:sz w:val="15"/>
              </w:rPr>
              <w:t>结论</w:t>
            </w:r>
          </w:p>
        </w:tc>
      </w:tr>
      <w:tr>
        <w:tc>
          <w:tcPr>
            <w:tcW w:type="dxa" w:w="5141"/>
            <w:vAlign w:val="center"/>
          </w:tcPr>
          <w:p>
            <w:pPr>
              <w:spacing w:after="0"/>
            </w:pPr>
            <w:r>
              <w:rPr>
                <w:rFonts w:ascii="Arial" w:hAnsi="Arial" w:eastAsia="Microsoft YaHei"/>
                <w:sz w:val="15"/>
              </w:rPr>
              <w:t>多变量数值输入</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时间序列</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回归模型前置检测</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仅输入即可检测</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目标AI内部信息</w:t>
            </w:r>
          </w:p>
        </w:tc>
        <w:tc>
          <w:tcPr>
            <w:tcW w:type="dxa" w:w="5141"/>
            <w:vAlign w:val="center"/>
          </w:tcPr>
          <w:p>
            <w:pPr>
              <w:spacing w:after="0"/>
            </w:pPr>
            <w:r>
              <w:rPr>
                <w:rFonts w:ascii="Arial" w:hAnsi="Arial" w:eastAsia="Microsoft YaHei"/>
                <w:sz w:val="15"/>
              </w:rPr>
              <w:t>不需要</w:t>
            </w:r>
          </w:p>
        </w:tc>
      </w:tr>
      <w:tr>
        <w:tc>
          <w:tcPr>
            <w:tcW w:type="dxa" w:w="5141"/>
            <w:vAlign w:val="center"/>
          </w:tcPr>
          <w:p>
            <w:pPr>
              <w:spacing w:after="0"/>
            </w:pPr>
            <w:r>
              <w:rPr>
                <w:rFonts w:ascii="Arial" w:hAnsi="Arial" w:eastAsia="Microsoft YaHei"/>
                <w:sz w:val="15"/>
              </w:rPr>
              <w:t>①范围外</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②低密度/未充分学习</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③变量组合关系不同</w:t>
            </w:r>
          </w:p>
        </w:tc>
        <w:tc>
          <w:tcPr>
            <w:tcW w:type="dxa" w:w="5141"/>
            <w:vAlign w:val="center"/>
          </w:tcPr>
          <w:p>
            <w:pPr>
              <w:spacing w:after="0"/>
            </w:pPr>
            <w:r>
              <w:rPr>
                <w:rFonts w:ascii="Arial" w:hAnsi="Arial" w:eastAsia="Microsoft YaHei"/>
                <w:sz w:val="15"/>
              </w:rPr>
              <w:t>○，但非显式metric-relation建模</w:t>
            </w:r>
          </w:p>
        </w:tc>
      </w:tr>
      <w:tr>
        <w:tc>
          <w:tcPr>
            <w:tcW w:type="dxa" w:w="5141"/>
            <w:vAlign w:val="center"/>
          </w:tcPr>
          <w:p>
            <w:pPr>
              <w:spacing w:after="0"/>
            </w:pPr>
            <w:r>
              <w:rPr>
                <w:rFonts w:ascii="Arial" w:hAnsi="Arial" w:eastAsia="Microsoft YaHei"/>
                <w:sz w:val="15"/>
              </w:rPr>
              <w:t>Contextual/Collective异常</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水系统相关性</w:t>
            </w:r>
          </w:p>
        </w:tc>
        <w:tc>
          <w:tcPr>
            <w:tcW w:type="dxa" w:w="5141"/>
            <w:vAlign w:val="center"/>
          </w:tcPr>
          <w:p>
            <w:pPr>
              <w:spacing w:after="0"/>
            </w:pPr>
            <w:r>
              <w:rPr>
                <w:rFonts w:ascii="Arial" w:hAnsi="Arial" w:eastAsia="Microsoft YaHei"/>
                <w:sz w:val="15"/>
              </w:rPr>
              <w:t>◎（SWaT）</w:t>
            </w:r>
          </w:p>
        </w:tc>
      </w:tr>
      <w:tr>
        <w:tc>
          <w:tcPr>
            <w:tcW w:type="dxa" w:w="5141"/>
            <w:vAlign w:val="center"/>
          </w:tcPr>
          <w:p>
            <w:pPr>
              <w:spacing w:after="0"/>
            </w:pPr>
            <w:r>
              <w:rPr>
                <w:rFonts w:ascii="Arial" w:hAnsi="Arial" w:eastAsia="Microsoft YaHei"/>
                <w:sz w:val="15"/>
              </w:rPr>
              <w:t>阈值独立于test标签</w:t>
            </w:r>
          </w:p>
        </w:tc>
        <w:tc>
          <w:tcPr>
            <w:tcW w:type="dxa" w:w="5141"/>
            <w:vAlign w:val="center"/>
          </w:tcPr>
          <w:p>
            <w:pPr>
              <w:spacing w:after="0"/>
            </w:pPr>
            <w:r>
              <w:rPr>
                <w:rFonts w:ascii="Arial" w:hAnsi="Arial" w:eastAsia="Microsoft YaHei"/>
                <w:sz w:val="15"/>
              </w:rPr>
              <w:t>○（无标签validation + 比例r）</w:t>
            </w:r>
          </w:p>
        </w:tc>
      </w:tr>
      <w:tr>
        <w:tc>
          <w:tcPr>
            <w:tcW w:type="dxa" w:w="5141"/>
            <w:vAlign w:val="center"/>
          </w:tcPr>
          <w:p>
            <w:pPr>
              <w:spacing w:after="0"/>
            </w:pPr>
            <w:r>
              <w:rPr>
                <w:rFonts w:ascii="Arial" w:hAnsi="Arial" w:eastAsia="Microsoft YaHei"/>
                <w:sz w:val="15"/>
              </w:rPr>
              <w:t>实时计算</w:t>
            </w:r>
          </w:p>
        </w:tc>
        <w:tc>
          <w:tcPr>
            <w:tcW w:type="dxa" w:w="5141"/>
            <w:vAlign w:val="center"/>
          </w:tcPr>
          <w:p>
            <w:pPr>
              <w:spacing w:after="0"/>
            </w:pPr>
            <w:r>
              <w:rPr>
                <w:rFonts w:ascii="Arial" w:hAnsi="Arial" w:eastAsia="Microsoft YaHei"/>
                <w:sz w:val="15"/>
              </w:rPr>
              <w:t>○/待实测；window attention为O(N²)</w:t>
            </w:r>
          </w:p>
        </w:tc>
      </w:tr>
      <w:tr>
        <w:tc>
          <w:tcPr>
            <w:tcW w:type="dxa" w:w="5141"/>
            <w:vAlign w:val="center"/>
          </w:tcPr>
          <w:p>
            <w:pPr>
              <w:spacing w:after="0"/>
            </w:pPr>
            <w:r>
              <w:rPr>
                <w:rFonts w:ascii="Arial" w:hAnsi="Arial" w:eastAsia="Microsoft YaHei"/>
                <w:sz w:val="15"/>
              </w:rPr>
              <w:t>研究优先级</w:t>
            </w:r>
          </w:p>
        </w:tc>
        <w:tc>
          <w:tcPr>
            <w:tcW w:type="dxa" w:w="5141"/>
            <w:vAlign w:val="center"/>
          </w:tcPr>
          <w:p>
            <w:pPr>
              <w:spacing w:after="0"/>
            </w:pPr>
            <w:r>
              <w:rPr>
                <w:rFonts w:ascii="Arial" w:hAnsi="Arial" w:eastAsia="Microsoft YaHei"/>
                <w:sz w:val="15"/>
              </w:rPr>
              <w:t>高</w:t>
            </w:r>
          </w:p>
        </w:tc>
      </w:tr>
    </w:tbl>
    <w:p>
      <w:r>
        <w:br w:type="page"/>
      </w:r>
    </w:p>
    <w:p>
      <w:pPr>
        <w:pStyle w:val="Title"/>
      </w:pPr>
      <w:r>
        <w:t>Part II-B　研究報告（日文版）</w:t>
      </w:r>
    </w:p>
    <w:p>
      <w:pPr>
        <w:pStyle w:val="Heading1"/>
      </w:pPr>
      <w:r>
        <w:t>1. 文献情報</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項目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論文名</w:t>
            </w:r>
          </w:p>
        </w:tc>
        <w:tc>
          <w:tcPr>
            <w:tcW w:type="dxa" w:w="5141"/>
            <w:vAlign w:val="center"/>
          </w:tcPr>
          <w:p>
            <w:pPr>
              <w:spacing w:after="0"/>
            </w:pPr>
            <w:r>
              <w:rPr>
                <w:rFonts w:ascii="Arial" w:hAnsi="Arial" w:eastAsia="Microsoft YaHei"/>
                <w:sz w:val="15"/>
              </w:rPr>
              <w:t>Anomaly Transformer: Time Series Anomaly Detection with Association Discrepancy</w:t>
            </w:r>
          </w:p>
        </w:tc>
      </w:tr>
      <w:tr>
        <w:tc>
          <w:tcPr>
            <w:tcW w:type="dxa" w:w="5141"/>
            <w:vAlign w:val="center"/>
          </w:tcPr>
          <w:p>
            <w:pPr>
              <w:spacing w:after="0"/>
            </w:pPr>
            <w:r>
              <w:rPr>
                <w:rFonts w:ascii="Arial" w:hAnsi="Arial" w:eastAsia="Microsoft YaHei"/>
                <w:sz w:val="15"/>
              </w:rPr>
              <w:t>著者</w:t>
            </w:r>
          </w:p>
        </w:tc>
        <w:tc>
          <w:tcPr>
            <w:tcW w:type="dxa" w:w="5141"/>
            <w:vAlign w:val="center"/>
          </w:tcPr>
          <w:p>
            <w:pPr>
              <w:spacing w:after="0"/>
            </w:pPr>
            <w:r>
              <w:rPr>
                <w:rFonts w:ascii="Arial" w:hAnsi="Arial" w:eastAsia="Microsoft YaHei"/>
                <w:sz w:val="15"/>
              </w:rPr>
              <w:t>Jiehui Xu, Haixu Wu, Jianmin Wang, Mingsheng Long</w:t>
            </w:r>
          </w:p>
        </w:tc>
      </w:tr>
      <w:tr>
        <w:tc>
          <w:tcPr>
            <w:tcW w:type="dxa" w:w="5141"/>
            <w:vAlign w:val="center"/>
          </w:tcPr>
          <w:p>
            <w:pPr>
              <w:spacing w:after="0"/>
            </w:pPr>
            <w:r>
              <w:rPr>
                <w:rFonts w:ascii="Arial" w:hAnsi="Arial" w:eastAsia="Microsoft YaHei"/>
                <w:sz w:val="15"/>
              </w:rPr>
              <w:t>発表年</w:t>
            </w:r>
          </w:p>
        </w:tc>
        <w:tc>
          <w:tcPr>
            <w:tcW w:type="dxa" w:w="5141"/>
            <w:vAlign w:val="center"/>
          </w:tcPr>
          <w:p>
            <w:pPr>
              <w:spacing w:after="0"/>
            </w:pPr>
            <w:r>
              <w:rPr>
                <w:rFonts w:ascii="Arial" w:hAnsi="Arial" w:eastAsia="Microsoft YaHei"/>
                <w:sz w:val="15"/>
              </w:rPr>
              <w:t>2022</w:t>
            </w:r>
          </w:p>
        </w:tc>
      </w:tr>
      <w:tr>
        <w:tc>
          <w:tcPr>
            <w:tcW w:type="dxa" w:w="5141"/>
            <w:vAlign w:val="center"/>
          </w:tcPr>
          <w:p>
            <w:pPr>
              <w:spacing w:after="0"/>
            </w:pPr>
            <w:r>
              <w:rPr>
                <w:rFonts w:ascii="Arial" w:hAnsi="Arial" w:eastAsia="Microsoft YaHei"/>
                <w:sz w:val="15"/>
              </w:rPr>
              <w:t>発表先</w:t>
            </w:r>
          </w:p>
        </w:tc>
        <w:tc>
          <w:tcPr>
            <w:tcW w:type="dxa" w:w="5141"/>
            <w:vAlign w:val="center"/>
          </w:tcPr>
          <w:p>
            <w:pPr>
              <w:spacing w:after="0"/>
            </w:pPr>
            <w:r>
              <w:rPr>
                <w:rFonts w:ascii="Arial" w:hAnsi="Arial" w:eastAsia="Microsoft YaHei"/>
                <w:sz w:val="15"/>
              </w:rPr>
              <w:t>ICLR 2022</w:t>
            </w:r>
          </w:p>
        </w:tc>
      </w:tr>
      <w:tr>
        <w:tc>
          <w:tcPr>
            <w:tcW w:type="dxa" w:w="5141"/>
            <w:vAlign w:val="center"/>
          </w:tcPr>
          <w:p>
            <w:pPr>
              <w:spacing w:after="0"/>
            </w:pPr>
            <w:r>
              <w:rPr>
                <w:rFonts w:ascii="Arial" w:hAnsi="Arial" w:eastAsia="Microsoft YaHei"/>
                <w:sz w:val="15"/>
              </w:rPr>
              <w:t>手法名</w:t>
            </w:r>
          </w:p>
        </w:tc>
        <w:tc>
          <w:tcPr>
            <w:tcW w:type="dxa" w:w="5141"/>
            <w:vAlign w:val="center"/>
          </w:tcPr>
          <w:p>
            <w:pPr>
              <w:spacing w:after="0"/>
            </w:pPr>
            <w:r>
              <w:rPr>
                <w:rFonts w:ascii="Arial" w:hAnsi="Arial" w:eastAsia="Microsoft YaHei"/>
                <w:sz w:val="15"/>
              </w:rPr>
              <w:t>Anomaly Transformer</w:t>
            </w:r>
          </w:p>
        </w:tc>
      </w:tr>
      <w:tr>
        <w:tc>
          <w:tcPr>
            <w:tcW w:type="dxa" w:w="5141"/>
            <w:vAlign w:val="center"/>
          </w:tcPr>
          <w:p>
            <w:pPr>
              <w:spacing w:after="0"/>
            </w:pPr>
            <w:r>
              <w:rPr>
                <w:rFonts w:ascii="Arial" w:hAnsi="Arial" w:eastAsia="Microsoft YaHei"/>
                <w:sz w:val="15"/>
              </w:rPr>
              <w:t>課題</w:t>
            </w:r>
          </w:p>
        </w:tc>
        <w:tc>
          <w:tcPr>
            <w:tcW w:type="dxa" w:w="5141"/>
            <w:vAlign w:val="center"/>
          </w:tcPr>
          <w:p>
            <w:pPr>
              <w:spacing w:after="0"/>
            </w:pPr>
            <w:r>
              <w:rPr>
                <w:rFonts w:ascii="Arial" w:hAnsi="Arial" w:eastAsia="Microsoft YaHei"/>
                <w:sz w:val="15"/>
              </w:rPr>
              <w:t>教師なし時系列異常検知</w:t>
            </w:r>
          </w:p>
        </w:tc>
      </w:tr>
    </w:tbl>
    <w:p>
      <w:pPr>
        <w:pStyle w:val="Heading1"/>
      </w:pPr>
      <w:r>
        <w:t>2. 文中における「学習外」の定義</w:t>
      </w:r>
    </w:p>
    <w:p>
      <w:r>
        <w:t>原論文ではOODを直接定義していない。異常点は希少であるため時系列全体と豊かな関連を形成しにくく、近傍時刻へのassociationが集中する、という仮説を置く。このprior-associationと実データから学習したseries-associationとの差をAssociation Discrepancyとして定義し、正常点と異常点を区別する。</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0"/>
            </w:pPr>
            <w:r>
              <w:rPr>
                <w:rFonts w:ascii="Arial" w:hAnsi="Arial" w:eastAsia="Microsoft YaHei"/>
                <w:sz w:val="15"/>
              </w:rPr>
              <w:t>本調査分類</w:t>
            </w:r>
          </w:p>
        </w:tc>
        <w:tc>
          <w:tcPr>
            <w:tcW w:type="dxa" w:w="3427"/>
            <w:shd w:fill="D9EAF7"/>
            <w:vAlign w:val="center"/>
          </w:tcPr>
          <w:p>
            <w:pPr>
              <w:spacing w:after="0"/>
            </w:pPr>
            <w:r>
              <w:rPr>
                <w:rFonts w:ascii="Arial" w:hAnsi="Arial" w:eastAsia="Microsoft YaHei"/>
                <w:sz w:val="15"/>
              </w:rPr>
              <w:t>適合性</w:t>
            </w:r>
          </w:p>
        </w:tc>
        <w:tc>
          <w:tcPr>
            <w:tcW w:type="dxa" w:w="3427"/>
            <w:shd w:fill="D9EAF7"/>
            <w:vAlign w:val="center"/>
          </w:tcPr>
          <w:p>
            <w:pPr>
              <w:spacing w:after="0"/>
            </w:pPr>
            <w:r>
              <w:rPr>
                <w:rFonts w:ascii="Arial" w:hAnsi="Arial" w:eastAsia="Microsoft YaHei"/>
                <w:sz w:val="15"/>
              </w:rPr>
              <w:t>評価</w:t>
            </w:r>
          </w:p>
        </w:tc>
      </w:tr>
      <w:tr>
        <w:tc>
          <w:tcPr>
            <w:tcW w:type="dxa" w:w="3427"/>
            <w:vAlign w:val="center"/>
          </w:tcPr>
          <w:p>
            <w:pPr>
              <w:spacing w:after="0"/>
            </w:pPr>
            <w:r>
              <w:rPr>
                <w:rFonts w:ascii="Arial" w:hAnsi="Arial" w:eastAsia="Microsoft YaHei"/>
                <w:sz w:val="15"/>
              </w:rPr>
              <w:t>① 入力範囲・分布外</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極端な点は検知可能だがrange判定ではない</w:t>
            </w:r>
          </w:p>
        </w:tc>
      </w:tr>
      <w:tr>
        <w:tc>
          <w:tcPr>
            <w:tcW w:type="dxa" w:w="3427"/>
            <w:vAlign w:val="center"/>
          </w:tcPr>
          <w:p>
            <w:pPr>
              <w:spacing w:after="0"/>
            </w:pPr>
            <w:r>
              <w:rPr>
                <w:rFonts w:ascii="Arial" w:hAnsi="Arial" w:eastAsia="Microsoft YaHei"/>
                <w:sz w:val="15"/>
              </w:rPr>
              <w:t>② 学習不足領域</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未知パターンは異常scoreになり得るが明示定義なし</w:t>
            </w:r>
          </w:p>
        </w:tc>
      </w:tr>
      <w:tr>
        <w:tc>
          <w:tcPr>
            <w:tcW w:type="dxa" w:w="3427"/>
            <w:vAlign w:val="center"/>
          </w:tcPr>
          <w:p>
            <w:pPr>
              <w:spacing w:after="0"/>
            </w:pPr>
            <w:r>
              <w:rPr>
                <w:rFonts w:ascii="Arial" w:hAnsi="Arial" w:eastAsia="Microsoft YaHei"/>
                <w:sz w:val="15"/>
              </w:rPr>
              <w:t>③ 変数組合せ・相関変化</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多変量vectorはattentionに反映されるがmetric間関係を明示的にモデル化していない</w:t>
            </w:r>
          </w:p>
        </w:tc>
      </w:tr>
      <w:tr>
        <w:tc>
          <w:tcPr>
            <w:tcW w:type="dxa" w:w="3427"/>
            <w:vAlign w:val="center"/>
          </w:tcPr>
          <w:p>
            <w:pPr>
              <w:spacing w:after="0"/>
            </w:pPr>
            <w:r>
              <w:rPr>
                <w:rFonts w:ascii="Arial" w:hAnsi="Arial" w:eastAsia="Microsoft YaHei"/>
                <w:sz w:val="15"/>
              </w:rPr>
              <w:t>時間文脈異常</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本手法の中心</w:t>
            </w:r>
          </w:p>
        </w:tc>
      </w:tr>
      <w:tr>
        <w:tc>
          <w:tcPr>
            <w:tcW w:type="dxa" w:w="3427"/>
            <w:vAlign w:val="center"/>
          </w:tcPr>
          <w:p>
            <w:pPr>
              <w:spacing w:after="0"/>
            </w:pPr>
            <w:r>
              <w:rPr>
                <w:rFonts w:ascii="Arial" w:hAnsi="Arial" w:eastAsia="Microsoft YaHei"/>
                <w:sz w:val="15"/>
              </w:rPr>
              <w:t>Concept drift</w:t>
            </w:r>
          </w:p>
        </w:tc>
        <w:tc>
          <w:tcPr>
            <w:tcW w:type="dxa" w:w="3427"/>
            <w:vAlign w:val="center"/>
          </w:tcPr>
          <w:p>
            <w:pPr>
              <w:spacing w:after="0"/>
            </w:pPr>
            <w:r>
              <w:rPr>
                <w:rFonts w:ascii="Arial" w:hAnsi="Arial" w:eastAsia="Microsoft YaHei"/>
                <w:sz w:val="15"/>
              </w:rPr>
              <w:t>△</w:t>
            </w:r>
          </w:p>
        </w:tc>
        <w:tc>
          <w:tcPr>
            <w:tcW w:type="dxa" w:w="3427"/>
            <w:vAlign w:val="center"/>
          </w:tcPr>
          <w:p>
            <w:pPr>
              <w:spacing w:after="0"/>
            </w:pPr>
            <w:r>
              <w:rPr>
                <w:rFonts w:ascii="Arial" w:hAnsi="Arial" w:eastAsia="Microsoft YaHei"/>
                <w:sz w:val="15"/>
              </w:rPr>
              <w:t>適応型drift検知ではなく、再学習/再校リブレーションが必要になり得る</w:t>
            </w:r>
          </w:p>
        </w:tc>
      </w:tr>
    </w:tbl>
    <w:p>
      <w:pPr>
        <w:pStyle w:val="Heading1"/>
      </w:pPr>
      <w:r>
        <w:t>3. 「学習外入力データ検知手法」の分類</w:t>
      </w:r>
    </w:p>
    <w:p>
      <w:r>
        <w:t>主分類は「association構造に基づく検知手法」、副分類は「再構成誤差とのハイブリッド手法」。入力範囲・距離、確率密度、対象AIの予測不確実性とは異なる新しい分類として扱うのが適切である。</w:t>
      </w:r>
    </w:p>
    <w:p>
      <w:pPr>
        <w:pStyle w:val="Heading1"/>
      </w:pPr>
      <w:r>
        <w:t>4. 手法詳細</w:t>
      </w:r>
    </w:p>
    <w:p>
      <w:pPr>
        <w:pStyle w:val="Heading2"/>
      </w:pPr>
      <w:r>
        <w:t>4.A 具体的アルゴリズム</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項目</w:t>
            </w:r>
          </w:p>
        </w:tc>
        <w:tc>
          <w:tcPr>
            <w:tcW w:type="dxa" w:w="5141"/>
            <w:shd w:fill="D9EAF7"/>
            <w:vAlign w:val="center"/>
          </w:tcPr>
          <w:p>
            <w:pPr>
              <w:spacing w:after="0"/>
            </w:pPr>
            <w:r>
              <w:rPr>
                <w:rFonts w:ascii="Arial" w:hAnsi="Arial" w:eastAsia="Microsoft YaHei"/>
                <w:sz w:val="15"/>
              </w:rPr>
              <w:t>内容</w:t>
            </w:r>
          </w:p>
        </w:tc>
      </w:tr>
      <w:tr>
        <w:tc>
          <w:tcPr>
            <w:tcW w:type="dxa" w:w="5141"/>
            <w:vAlign w:val="center"/>
          </w:tcPr>
          <w:p>
            <w:pPr>
              <w:spacing w:after="0"/>
            </w:pPr>
            <w:r>
              <w:rPr>
                <w:rFonts w:ascii="Arial" w:hAnsi="Arial" w:eastAsia="Microsoft YaHei"/>
                <w:sz w:val="15"/>
              </w:rPr>
              <w:t>入力</w:t>
            </w:r>
          </w:p>
        </w:tc>
        <w:tc>
          <w:tcPr>
            <w:tcW w:type="dxa" w:w="5141"/>
            <w:vAlign w:val="center"/>
          </w:tcPr>
          <w:p>
            <w:pPr>
              <w:spacing w:after="0"/>
            </w:pPr>
            <w:r>
              <w:rPr>
                <w:rFonts w:ascii="Arial" w:hAnsi="Arial" w:eastAsia="Microsoft YaHei"/>
                <w:sz w:val="15"/>
              </w:rPr>
              <w:t>N×d多変量時系列window；実験N=100</w:t>
            </w:r>
          </w:p>
        </w:tc>
      </w:tr>
      <w:tr>
        <w:tc>
          <w:tcPr>
            <w:tcW w:type="dxa" w:w="5141"/>
            <w:vAlign w:val="center"/>
          </w:tcPr>
          <w:p>
            <w:pPr>
              <w:spacing w:after="0"/>
            </w:pPr>
            <w:r>
              <w:rPr>
                <w:rFonts w:ascii="Arial" w:hAnsi="Arial" w:eastAsia="Microsoft YaHei"/>
                <w:sz w:val="15"/>
              </w:rPr>
              <w:t>Prior-association</w:t>
            </w:r>
          </w:p>
        </w:tc>
        <w:tc>
          <w:tcPr>
            <w:tcW w:type="dxa" w:w="5141"/>
            <w:vAlign w:val="center"/>
          </w:tcPr>
          <w:p>
            <w:pPr>
              <w:spacing w:after="0"/>
            </w:pPr>
            <w:r>
              <w:rPr>
                <w:rFonts w:ascii="Arial" w:hAnsi="Arial" w:eastAsia="Microsoft YaHei"/>
                <w:sz w:val="15"/>
              </w:rPr>
              <w:t>学習可能σを持つGaussian kernelによる近傍集中分布P</w:t>
            </w:r>
          </w:p>
        </w:tc>
      </w:tr>
      <w:tr>
        <w:tc>
          <w:tcPr>
            <w:tcW w:type="dxa" w:w="5141"/>
            <w:vAlign w:val="center"/>
          </w:tcPr>
          <w:p>
            <w:pPr>
              <w:spacing w:after="0"/>
            </w:pPr>
            <w:r>
              <w:rPr>
                <w:rFonts w:ascii="Arial" w:hAnsi="Arial" w:eastAsia="Microsoft YaHei"/>
                <w:sz w:val="15"/>
              </w:rPr>
              <w:t>Series-association</w:t>
            </w:r>
          </w:p>
        </w:tc>
        <w:tc>
          <w:tcPr>
            <w:tcW w:type="dxa" w:w="5141"/>
            <w:vAlign w:val="center"/>
          </w:tcPr>
          <w:p>
            <w:pPr>
              <w:spacing w:after="0"/>
            </w:pPr>
            <w:r>
              <w:rPr>
                <w:rFonts w:ascii="Arial" w:hAnsi="Arial" w:eastAsia="Microsoft YaHei"/>
                <w:sz w:val="15"/>
              </w:rPr>
              <w:t>Self-attentionから得る実データの関連分布S</w:t>
            </w:r>
          </w:p>
        </w:tc>
      </w:tr>
      <w:tr>
        <w:tc>
          <w:tcPr>
            <w:tcW w:type="dxa" w:w="5141"/>
            <w:vAlign w:val="center"/>
          </w:tcPr>
          <w:p>
            <w:pPr>
              <w:spacing w:after="0"/>
            </w:pPr>
            <w:r>
              <w:rPr>
                <w:rFonts w:ascii="Arial" w:hAnsi="Arial" w:eastAsia="Microsoft YaHei"/>
                <w:sz w:val="15"/>
              </w:rPr>
              <w:t>Association Discrepancy</w:t>
            </w:r>
          </w:p>
        </w:tc>
        <w:tc>
          <w:tcPr>
            <w:tcW w:type="dxa" w:w="5141"/>
            <w:vAlign w:val="center"/>
          </w:tcPr>
          <w:p>
            <w:pPr>
              <w:spacing w:after="0"/>
            </w:pPr>
            <w:r>
              <w:rPr>
                <w:rFonts w:ascii="Arial" w:hAnsi="Arial" w:eastAsia="Microsoft YaHei"/>
                <w:sz w:val="15"/>
              </w:rPr>
              <w:t>PとSの対称KL divergenceを多層平均</w:t>
            </w:r>
          </w:p>
        </w:tc>
      </w:tr>
      <w:tr>
        <w:tc>
          <w:tcPr>
            <w:tcW w:type="dxa" w:w="5141"/>
            <w:vAlign w:val="center"/>
          </w:tcPr>
          <w:p>
            <w:pPr>
              <w:spacing w:after="0"/>
            </w:pPr>
            <w:r>
              <w:rPr>
                <w:rFonts w:ascii="Arial" w:hAnsi="Arial" w:eastAsia="Microsoft YaHei"/>
                <w:sz w:val="15"/>
              </w:rPr>
              <w:t>異常仮説</w:t>
            </w:r>
          </w:p>
        </w:tc>
        <w:tc>
          <w:tcPr>
            <w:tcW w:type="dxa" w:w="5141"/>
            <w:vAlign w:val="center"/>
          </w:tcPr>
          <w:p>
            <w:pPr>
              <w:spacing w:after="0"/>
            </w:pPr>
            <w:r>
              <w:rPr>
                <w:rFonts w:ascii="Arial" w:hAnsi="Arial" w:eastAsia="Microsoft YaHei"/>
                <w:sz w:val="15"/>
              </w:rPr>
              <w:t>異常点のAssDisは正常点より小さい</w:t>
            </w:r>
          </w:p>
        </w:tc>
      </w:tr>
      <w:tr>
        <w:tc>
          <w:tcPr>
            <w:tcW w:type="dxa" w:w="5141"/>
            <w:vAlign w:val="center"/>
          </w:tcPr>
          <w:p>
            <w:pPr>
              <w:spacing w:after="0"/>
            </w:pPr>
            <w:r>
              <w:rPr>
                <w:rFonts w:ascii="Arial" w:hAnsi="Arial" w:eastAsia="Microsoft YaHei"/>
                <w:sz w:val="15"/>
              </w:rPr>
              <w:t>学習</w:t>
            </w:r>
          </w:p>
        </w:tc>
        <w:tc>
          <w:tcPr>
            <w:tcW w:type="dxa" w:w="5141"/>
            <w:vAlign w:val="center"/>
          </w:tcPr>
          <w:p>
            <w:pPr>
              <w:spacing w:after="0"/>
            </w:pPr>
            <w:r>
              <w:rPr>
                <w:rFonts w:ascii="Arial" w:hAnsi="Arial" w:eastAsia="Microsoft YaHei"/>
                <w:sz w:val="15"/>
              </w:rPr>
              <w:t>reconstruction loss + minimax association learning</w:t>
            </w:r>
          </w:p>
        </w:tc>
      </w:tr>
      <w:tr>
        <w:tc>
          <w:tcPr>
            <w:tcW w:type="dxa" w:w="5141"/>
            <w:vAlign w:val="center"/>
          </w:tcPr>
          <w:p>
            <w:pPr>
              <w:spacing w:after="0"/>
            </w:pPr>
            <w:r>
              <w:rPr>
                <w:rFonts w:ascii="Arial" w:hAnsi="Arial" w:eastAsia="Microsoft YaHei"/>
                <w:sz w:val="15"/>
              </w:rPr>
              <w:t>最終score</w:t>
            </w:r>
          </w:p>
        </w:tc>
        <w:tc>
          <w:tcPr>
            <w:tcW w:type="dxa" w:w="5141"/>
            <w:vAlign w:val="center"/>
          </w:tcPr>
          <w:p>
            <w:pPr>
              <w:spacing w:after="0"/>
            </w:pPr>
            <w:r>
              <w:rPr>
                <w:rFonts w:ascii="Arial" w:hAnsi="Arial" w:eastAsia="Microsoft YaHei"/>
                <w:sz w:val="15"/>
              </w:rPr>
              <w:t>Softmax(-AssDis) × point-wise reconstruction error</w:t>
            </w:r>
          </w:p>
        </w:tc>
      </w:tr>
      <w:tr>
        <w:tc>
          <w:tcPr>
            <w:tcW w:type="dxa" w:w="5141"/>
            <w:vAlign w:val="center"/>
          </w:tcPr>
          <w:p>
            <w:pPr>
              <w:spacing w:after="0"/>
            </w:pPr>
            <w:r>
              <w:rPr>
                <w:rFonts w:ascii="Arial" w:hAnsi="Arial" w:eastAsia="Microsoft YaHei"/>
                <w:sz w:val="15"/>
              </w:rPr>
              <w:t>判定</w:t>
            </w:r>
          </w:p>
        </w:tc>
        <w:tc>
          <w:tcPr>
            <w:tcW w:type="dxa" w:w="5141"/>
            <w:vAlign w:val="center"/>
          </w:tcPr>
          <w:p>
            <w:pPr>
              <w:spacing w:after="0"/>
            </w:pPr>
            <w:r>
              <w:rPr>
                <w:rFonts w:ascii="Arial" w:hAnsi="Arial" w:eastAsia="Microsoft YaHei"/>
                <w:sz w:val="15"/>
              </w:rPr>
              <w:t>scoreがthreshold δを超えると異常</w:t>
            </w:r>
          </w:p>
        </w:tc>
      </w:tr>
      <w:tr>
        <w:tc>
          <w:tcPr>
            <w:tcW w:type="dxa" w:w="5141"/>
            <w:vAlign w:val="center"/>
          </w:tcPr>
          <w:p>
            <w:pPr>
              <w:spacing w:after="0"/>
            </w:pPr>
            <w:r>
              <w:rPr>
                <w:rFonts w:ascii="Arial" w:hAnsi="Arial" w:eastAsia="Microsoft YaHei"/>
                <w:sz w:val="15"/>
              </w:rPr>
              <w:t>閾値</w:t>
            </w:r>
          </w:p>
        </w:tc>
        <w:tc>
          <w:tcPr>
            <w:tcW w:type="dxa" w:w="5141"/>
            <w:vAlign w:val="center"/>
          </w:tcPr>
          <w:p>
            <w:pPr>
              <w:spacing w:after="0"/>
            </w:pPr>
            <w:r>
              <w:rPr>
                <w:rFonts w:ascii="Arial" w:hAnsi="Arial" w:eastAsia="Microsoft YaHei"/>
                <w:sz w:val="15"/>
              </w:rPr>
              <w:t>無ラベルvalidationで上位r割合が異常となるδを選択</w:t>
            </w:r>
          </w:p>
        </w:tc>
      </w:tr>
      <w:tr>
        <w:tc>
          <w:tcPr>
            <w:tcW w:type="dxa" w:w="5141"/>
            <w:vAlign w:val="center"/>
          </w:tcPr>
          <w:p>
            <w:pPr>
              <w:spacing w:after="0"/>
            </w:pPr>
            <w:r>
              <w:rPr>
                <w:rFonts w:ascii="Arial" w:hAnsi="Arial" w:eastAsia="Microsoft YaHei"/>
                <w:sz w:val="15"/>
              </w:rPr>
              <w:t>対象回帰AI情報</w:t>
            </w:r>
          </w:p>
        </w:tc>
        <w:tc>
          <w:tcPr>
            <w:tcW w:type="dxa" w:w="5141"/>
            <w:vAlign w:val="center"/>
          </w:tcPr>
          <w:p>
            <w:pPr>
              <w:spacing w:after="0"/>
            </w:pPr>
            <w:r>
              <w:rPr>
                <w:rFonts w:ascii="Arial" w:hAnsi="Arial" w:eastAsia="Microsoft YaHei"/>
                <w:sz w:val="15"/>
              </w:rPr>
              <w:t>不要</w:t>
            </w:r>
          </w:p>
        </w:tc>
      </w:tr>
    </w:tbl>
    <w:p>
      <w:pPr>
        <w:pStyle w:val="Heading2"/>
      </w:pPr>
      <w:r>
        <w:t>4.B 評価</w:t>
      </w:r>
    </w:p>
    <w:p>
      <w:r>
        <w:t>SMD、PSM、MSL、SMAP、SWaT、NeurIPS-TSで評価。実データ5種ではPrecision/Recall/F1とROC/AUCを使用し、連続異常区間にはpoint-adjustを適用する。</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Dataset</w:t>
            </w:r>
          </w:p>
        </w:tc>
        <w:tc>
          <w:tcPr>
            <w:tcW w:type="dxa" w:w="5141"/>
            <w:shd w:fill="D9EAF7"/>
            <w:vAlign w:val="center"/>
          </w:tcPr>
          <w:p>
            <w:pPr>
              <w:spacing w:after="0"/>
            </w:pPr>
            <w:r>
              <w:rPr>
                <w:rFonts w:ascii="Arial" w:hAnsi="Arial" w:eastAsia="Microsoft YaHei"/>
                <w:sz w:val="15"/>
              </w:rPr>
              <w:t>F1 (%)</w:t>
            </w:r>
          </w:p>
        </w:tc>
      </w:tr>
      <w:tr>
        <w:tc>
          <w:tcPr>
            <w:tcW w:type="dxa" w:w="5141"/>
            <w:vAlign w:val="center"/>
          </w:tcPr>
          <w:p>
            <w:pPr>
              <w:spacing w:after="0"/>
            </w:pPr>
            <w:r>
              <w:rPr>
                <w:rFonts w:ascii="Arial" w:hAnsi="Arial" w:eastAsia="Microsoft YaHei"/>
                <w:sz w:val="15"/>
              </w:rPr>
              <w:t>SMD</w:t>
            </w:r>
          </w:p>
        </w:tc>
        <w:tc>
          <w:tcPr>
            <w:tcW w:type="dxa" w:w="5141"/>
            <w:vAlign w:val="center"/>
          </w:tcPr>
          <w:p>
            <w:pPr>
              <w:spacing w:after="0"/>
            </w:pPr>
            <w:r>
              <w:rPr>
                <w:rFonts w:ascii="Arial" w:hAnsi="Arial" w:eastAsia="Microsoft YaHei"/>
                <w:sz w:val="15"/>
              </w:rPr>
              <w:t>92.33</w:t>
            </w:r>
          </w:p>
        </w:tc>
      </w:tr>
      <w:tr>
        <w:tc>
          <w:tcPr>
            <w:tcW w:type="dxa" w:w="5141"/>
            <w:vAlign w:val="center"/>
          </w:tcPr>
          <w:p>
            <w:pPr>
              <w:spacing w:after="0"/>
            </w:pPr>
            <w:r>
              <w:rPr>
                <w:rFonts w:ascii="Arial" w:hAnsi="Arial" w:eastAsia="Microsoft YaHei"/>
                <w:sz w:val="15"/>
              </w:rPr>
              <w:t>MSL</w:t>
            </w:r>
          </w:p>
        </w:tc>
        <w:tc>
          <w:tcPr>
            <w:tcW w:type="dxa" w:w="5141"/>
            <w:vAlign w:val="center"/>
          </w:tcPr>
          <w:p>
            <w:pPr>
              <w:spacing w:after="0"/>
            </w:pPr>
            <w:r>
              <w:rPr>
                <w:rFonts w:ascii="Arial" w:hAnsi="Arial" w:eastAsia="Microsoft YaHei"/>
                <w:sz w:val="15"/>
              </w:rPr>
              <w:t>93.59</w:t>
            </w:r>
          </w:p>
        </w:tc>
      </w:tr>
      <w:tr>
        <w:tc>
          <w:tcPr>
            <w:tcW w:type="dxa" w:w="5141"/>
            <w:vAlign w:val="center"/>
          </w:tcPr>
          <w:p>
            <w:pPr>
              <w:spacing w:after="0"/>
            </w:pPr>
            <w:r>
              <w:rPr>
                <w:rFonts w:ascii="Arial" w:hAnsi="Arial" w:eastAsia="Microsoft YaHei"/>
                <w:sz w:val="15"/>
              </w:rPr>
              <w:t>SMAP</w:t>
            </w:r>
          </w:p>
        </w:tc>
        <w:tc>
          <w:tcPr>
            <w:tcW w:type="dxa" w:w="5141"/>
            <w:vAlign w:val="center"/>
          </w:tcPr>
          <w:p>
            <w:pPr>
              <w:spacing w:after="0"/>
            </w:pPr>
            <w:r>
              <w:rPr>
                <w:rFonts w:ascii="Arial" w:hAnsi="Arial" w:eastAsia="Microsoft YaHei"/>
                <w:sz w:val="15"/>
              </w:rPr>
              <w:t>96.69</w:t>
            </w:r>
          </w:p>
        </w:tc>
      </w:tr>
      <w:tr>
        <w:tc>
          <w:tcPr>
            <w:tcW w:type="dxa" w:w="5141"/>
            <w:vAlign w:val="center"/>
          </w:tcPr>
          <w:p>
            <w:pPr>
              <w:spacing w:after="0"/>
            </w:pPr>
            <w:r>
              <w:rPr>
                <w:rFonts w:ascii="Arial" w:hAnsi="Arial" w:eastAsia="Microsoft YaHei"/>
                <w:sz w:val="15"/>
              </w:rPr>
              <w:t>SWaT</w:t>
            </w:r>
          </w:p>
        </w:tc>
        <w:tc>
          <w:tcPr>
            <w:tcW w:type="dxa" w:w="5141"/>
            <w:vAlign w:val="center"/>
          </w:tcPr>
          <w:p>
            <w:pPr>
              <w:spacing w:after="0"/>
            </w:pPr>
            <w:r>
              <w:rPr>
                <w:rFonts w:ascii="Arial" w:hAnsi="Arial" w:eastAsia="Microsoft YaHei"/>
                <w:sz w:val="15"/>
              </w:rPr>
              <w:t>94.07</w:t>
            </w:r>
          </w:p>
        </w:tc>
      </w:tr>
      <w:tr>
        <w:tc>
          <w:tcPr>
            <w:tcW w:type="dxa" w:w="5141"/>
            <w:vAlign w:val="center"/>
          </w:tcPr>
          <w:p>
            <w:pPr>
              <w:spacing w:after="0"/>
            </w:pPr>
            <w:r>
              <w:rPr>
                <w:rFonts w:ascii="Arial" w:hAnsi="Arial" w:eastAsia="Microsoft YaHei"/>
                <w:sz w:val="15"/>
              </w:rPr>
              <w:t>PSM</w:t>
            </w:r>
          </w:p>
        </w:tc>
        <w:tc>
          <w:tcPr>
            <w:tcW w:type="dxa" w:w="5141"/>
            <w:vAlign w:val="center"/>
          </w:tcPr>
          <w:p>
            <w:pPr>
              <w:spacing w:after="0"/>
            </w:pPr>
            <w:r>
              <w:rPr>
                <w:rFonts w:ascii="Arial" w:hAnsi="Arial" w:eastAsia="Microsoft YaHei"/>
                <w:sz w:val="15"/>
              </w:rPr>
              <w:t>97.89</w:t>
            </w:r>
          </w:p>
        </w:tc>
      </w:tr>
    </w:tbl>
    <w:p>
      <w:r>
        <w:t>Ablationではreconstructionのみの平均F1 76.20%に対し、Association Discrepancyのみで91.55%、最終ハイブリッドで94.96%。association criterionが性能向上の中心である。</w:t>
      </w:r>
    </w:p>
    <w:p>
      <w:pPr>
        <w:pStyle w:val="Heading2"/>
      </w:pPr>
      <w:r>
        <w:t>4.C 長所・短所</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長所</w:t>
            </w:r>
          </w:p>
        </w:tc>
        <w:tc>
          <w:tcPr>
            <w:tcW w:type="dxa" w:w="5141"/>
            <w:shd w:fill="D9EAF7"/>
            <w:vAlign w:val="center"/>
          </w:tcPr>
          <w:p>
            <w:pPr>
              <w:spacing w:after="0"/>
            </w:pPr>
            <w:r>
              <w:rPr>
                <w:rFonts w:ascii="Arial" w:hAnsi="Arial" w:eastAsia="Microsoft YaHei"/>
                <w:sz w:val="15"/>
              </w:rPr>
              <w:t>短所・注意点</w:t>
            </w:r>
          </w:p>
        </w:tc>
      </w:tr>
      <w:tr>
        <w:tc>
          <w:tcPr>
            <w:tcW w:type="dxa" w:w="5141"/>
            <w:vAlign w:val="center"/>
          </w:tcPr>
          <w:p>
            <w:pPr>
              <w:spacing w:after="0"/>
            </w:pPr>
            <w:r>
              <w:rPr>
                <w:rFonts w:ascii="Arial" w:hAnsi="Arial" w:eastAsia="Microsoft YaHei"/>
                <w:sz w:val="15"/>
              </w:rPr>
              <w:t>長距離temporal associationを利用できる</w:t>
            </w:r>
          </w:p>
        </w:tc>
        <w:tc>
          <w:tcPr>
            <w:tcW w:type="dxa" w:w="5141"/>
            <w:vAlign w:val="center"/>
          </w:tcPr>
          <w:p>
            <w:pPr>
              <w:spacing w:after="0"/>
            </w:pPr>
            <w:r>
              <w:rPr>
                <w:rFonts w:ascii="Arial" w:hAnsi="Arial" w:eastAsia="Microsoft YaHei"/>
                <w:sz w:val="15"/>
              </w:rPr>
              <w:t>window attentionがO(N²)</w:t>
            </w:r>
          </w:p>
        </w:tc>
      </w:tr>
      <w:tr>
        <w:tc>
          <w:tcPr>
            <w:tcW w:type="dxa" w:w="5141"/>
            <w:vAlign w:val="center"/>
          </w:tcPr>
          <w:p>
            <w:pPr>
              <w:spacing w:after="0"/>
            </w:pPr>
            <w:r>
              <w:rPr>
                <w:rFonts w:ascii="Arial" w:hAnsi="Arial" w:eastAsia="Microsoft YaHei"/>
                <w:sz w:val="15"/>
              </w:rPr>
              <w:t>従来のpoint-wise error以外の判定基準を提供</w:t>
            </w:r>
          </w:p>
        </w:tc>
        <w:tc>
          <w:tcPr>
            <w:tcW w:type="dxa" w:w="5141"/>
            <w:vAlign w:val="center"/>
          </w:tcPr>
          <w:p>
            <w:pPr>
              <w:spacing w:after="0"/>
            </w:pPr>
            <w:r>
              <w:rPr>
                <w:rFonts w:ascii="Arial" w:hAnsi="Arial" w:eastAsia="Microsoft YaHei"/>
                <w:sz w:val="15"/>
              </w:rPr>
              <w:t>近傍集中仮説がデータによっては成立しにくい可能性</w:t>
            </w:r>
          </w:p>
        </w:tc>
      </w:tr>
      <w:tr>
        <w:tc>
          <w:tcPr>
            <w:tcW w:type="dxa" w:w="5141"/>
            <w:vAlign w:val="center"/>
          </w:tcPr>
          <w:p>
            <w:pPr>
              <w:spacing w:after="0"/>
            </w:pPr>
            <w:r>
              <w:rPr>
                <w:rFonts w:ascii="Arial" w:hAnsi="Arial" w:eastAsia="Microsoft YaHei"/>
                <w:sz w:val="15"/>
              </w:rPr>
              <w:t>教師なしでtrain/validationに異常label不要</w:t>
            </w:r>
          </w:p>
        </w:tc>
        <w:tc>
          <w:tcPr>
            <w:tcW w:type="dxa" w:w="5141"/>
            <w:vAlign w:val="center"/>
          </w:tcPr>
          <w:p>
            <w:pPr>
              <w:spacing w:after="0"/>
            </w:pPr>
            <w:r>
              <w:rPr>
                <w:rFonts w:ascii="Arial" w:hAnsi="Arial" w:eastAsia="Microsoft YaHei"/>
                <w:sz w:val="15"/>
              </w:rPr>
              <w:t>thresholdの割合rは業務側の設定が必要</w:t>
            </w:r>
          </w:p>
        </w:tc>
      </w:tr>
      <w:tr>
        <w:tc>
          <w:tcPr>
            <w:tcW w:type="dxa" w:w="5141"/>
            <w:vAlign w:val="center"/>
          </w:tcPr>
          <w:p>
            <w:pPr>
              <w:spacing w:after="0"/>
            </w:pPr>
            <w:r>
              <w:rPr>
                <w:rFonts w:ascii="Arial" w:hAnsi="Arial" w:eastAsia="Microsoft YaHei"/>
                <w:sz w:val="15"/>
              </w:rPr>
              <w:t>多変量MTSに直接適用</w:t>
            </w:r>
          </w:p>
        </w:tc>
        <w:tc>
          <w:tcPr>
            <w:tcW w:type="dxa" w:w="5141"/>
            <w:vAlign w:val="center"/>
          </w:tcPr>
          <w:p>
            <w:pPr>
              <w:spacing w:after="0"/>
            </w:pPr>
            <w:r>
              <w:rPr>
                <w:rFonts w:ascii="Arial" w:hAnsi="Arial" w:eastAsia="Microsoft YaHei"/>
                <w:sz w:val="15"/>
              </w:rPr>
              <w:t>metric-to-metric dependencyを明示的にはモデル化しない</w:t>
            </w:r>
          </w:p>
        </w:tc>
      </w:tr>
      <w:tr>
        <w:tc>
          <w:tcPr>
            <w:tcW w:type="dxa" w:w="5141"/>
            <w:vAlign w:val="center"/>
          </w:tcPr>
          <w:p>
            <w:pPr>
              <w:spacing w:after="0"/>
            </w:pPr>
            <w:r>
              <w:rPr>
                <w:rFonts w:ascii="Arial" w:hAnsi="Arial" w:eastAsia="Microsoft YaHei"/>
                <w:sz w:val="15"/>
              </w:rPr>
              <w:t>SWaT水処理で高性能</w:t>
            </w:r>
          </w:p>
        </w:tc>
        <w:tc>
          <w:tcPr>
            <w:tcW w:type="dxa" w:w="5141"/>
            <w:vAlign w:val="center"/>
          </w:tcPr>
          <w:p>
            <w:pPr>
              <w:spacing w:after="0"/>
            </w:pPr>
            <w:r>
              <w:rPr>
                <w:rFonts w:ascii="Arial" w:hAnsi="Arial" w:eastAsia="Microsoft YaHei"/>
                <w:sz w:val="15"/>
              </w:rPr>
              <w:t>online latencyは本文で未報告</w:t>
            </w:r>
          </w:p>
        </w:tc>
      </w:tr>
      <w:tr>
        <w:tc>
          <w:tcPr>
            <w:tcW w:type="dxa" w:w="5141"/>
            <w:vAlign w:val="center"/>
          </w:tcPr>
          <w:p>
            <w:pPr>
              <w:spacing w:after="0"/>
            </w:pPr>
            <w:r>
              <w:rPr>
                <w:rFonts w:ascii="Arial" w:hAnsi="Arial" w:eastAsia="Microsoft YaHei"/>
                <w:sz w:val="15"/>
              </w:rPr>
              <w:t>test labelなしでthresholdを決定可能</w:t>
            </w:r>
          </w:p>
        </w:tc>
        <w:tc>
          <w:tcPr>
            <w:tcW w:type="dxa" w:w="5141"/>
            <w:vAlign w:val="center"/>
          </w:tcPr>
          <w:p>
            <w:pPr>
              <w:spacing w:after="0"/>
            </w:pPr>
            <w:r>
              <w:rPr>
                <w:rFonts w:ascii="Arial" w:hAnsi="Arial" w:eastAsia="Microsoft YaHei"/>
                <w:sz w:val="15"/>
              </w:rPr>
              <w:t>point-adjust評価は点単位性能を楽観的に見せ得る</w:t>
            </w:r>
          </w:p>
        </w:tc>
      </w:tr>
    </w:tbl>
    <w:p>
      <w:pPr>
        <w:pStyle w:val="Heading2"/>
      </w:pPr>
      <w:r>
        <w:t>4.D 適用条件</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条件</w:t>
            </w:r>
          </w:p>
        </w:tc>
        <w:tc>
          <w:tcPr>
            <w:tcW w:type="dxa" w:w="5141"/>
            <w:shd w:fill="D9EAF7"/>
            <w:vAlign w:val="center"/>
          </w:tcPr>
          <w:p>
            <w:pPr>
              <w:spacing w:after="0"/>
            </w:pPr>
            <w:r>
              <w:rPr>
                <w:rFonts w:ascii="Arial" w:hAnsi="Arial" w:eastAsia="Microsoft YaHei"/>
                <w:sz w:val="15"/>
              </w:rPr>
              <w:t>評価</w:t>
            </w:r>
          </w:p>
        </w:tc>
      </w:tr>
      <w:tr>
        <w:tc>
          <w:tcPr>
            <w:tcW w:type="dxa" w:w="5141"/>
            <w:vAlign w:val="center"/>
          </w:tcPr>
          <w:p>
            <w:pPr>
              <w:spacing w:after="0"/>
            </w:pPr>
            <w:r>
              <w:rPr>
                <w:rFonts w:ascii="Arial" w:hAnsi="Arial" w:eastAsia="Microsoft YaHei"/>
                <w:sz w:val="15"/>
              </w:rPr>
              <w:t>AIモデル</w:t>
            </w:r>
          </w:p>
        </w:tc>
        <w:tc>
          <w:tcPr>
            <w:tcW w:type="dxa" w:w="5141"/>
            <w:vAlign w:val="center"/>
          </w:tcPr>
          <w:p>
            <w:pPr>
              <w:spacing w:after="0"/>
            </w:pPr>
            <w:r>
              <w:rPr>
                <w:rFonts w:ascii="Arial" w:hAnsi="Arial" w:eastAsia="Microsoft YaHei"/>
                <w:sz w:val="15"/>
              </w:rPr>
              <w:t>model-agnostic。回帰モデル前段に利用可能</w:t>
            </w:r>
          </w:p>
        </w:tc>
      </w:tr>
      <w:tr>
        <w:tc>
          <w:tcPr>
            <w:tcW w:type="dxa" w:w="5141"/>
            <w:vAlign w:val="center"/>
          </w:tcPr>
          <w:p>
            <w:pPr>
              <w:spacing w:after="0"/>
            </w:pPr>
            <w:r>
              <w:rPr>
                <w:rFonts w:ascii="Arial" w:hAnsi="Arial" w:eastAsia="Microsoft YaHei"/>
                <w:sz w:val="15"/>
              </w:rPr>
              <w:t>入力</w:t>
            </w:r>
          </w:p>
        </w:tc>
        <w:tc>
          <w:tcPr>
            <w:tcW w:type="dxa" w:w="5141"/>
            <w:vAlign w:val="center"/>
          </w:tcPr>
          <w:p>
            <w:pPr>
              <w:spacing w:after="0"/>
            </w:pPr>
            <w:r>
              <w:rPr>
                <w:rFonts w:ascii="Arial" w:hAnsi="Arial" w:eastAsia="Microsoft YaHei"/>
                <w:sz w:val="15"/>
              </w:rPr>
              <w:t>等間隔の多変量数値時系列</w:t>
            </w:r>
          </w:p>
        </w:tc>
      </w:tr>
      <w:tr>
        <w:tc>
          <w:tcPr>
            <w:tcW w:type="dxa" w:w="5141"/>
            <w:vAlign w:val="center"/>
          </w:tcPr>
          <w:p>
            <w:pPr>
              <w:spacing w:after="0"/>
            </w:pPr>
            <w:r>
              <w:rPr>
                <w:rFonts w:ascii="Arial" w:hAnsi="Arial" w:eastAsia="Microsoft YaHei"/>
                <w:sz w:val="15"/>
              </w:rPr>
              <w:t>window</w:t>
            </w:r>
          </w:p>
        </w:tc>
        <w:tc>
          <w:tcPr>
            <w:tcW w:type="dxa" w:w="5141"/>
            <w:vAlign w:val="center"/>
          </w:tcPr>
          <w:p>
            <w:pPr>
              <w:spacing w:after="0"/>
            </w:pPr>
            <w:r>
              <w:rPr>
                <w:rFonts w:ascii="Arial" w:hAnsi="Arial" w:eastAsia="Microsoft YaHei"/>
                <w:sz w:val="15"/>
              </w:rPr>
              <w:t>実験100。小さすぎるとassociation learningが失敗し得る</w:t>
            </w:r>
          </w:p>
        </w:tc>
      </w:tr>
      <w:tr>
        <w:tc>
          <w:tcPr>
            <w:tcW w:type="dxa" w:w="5141"/>
            <w:vAlign w:val="center"/>
          </w:tcPr>
          <w:p>
            <w:pPr>
              <w:spacing w:after="0"/>
            </w:pPr>
            <w:r>
              <w:rPr>
                <w:rFonts w:ascii="Arial" w:hAnsi="Arial" w:eastAsia="Microsoft YaHei"/>
                <w:sz w:val="15"/>
              </w:rPr>
              <w:t>計算量</w:t>
            </w:r>
          </w:p>
        </w:tc>
        <w:tc>
          <w:tcPr>
            <w:tcW w:type="dxa" w:w="5141"/>
            <w:vAlign w:val="center"/>
          </w:tcPr>
          <w:p>
            <w:pPr>
              <w:spacing w:after="0"/>
            </w:pPr>
            <w:r>
              <w:rPr>
                <w:rFonts w:ascii="Arial" w:hAnsi="Arial" w:eastAsia="Microsoft YaHei"/>
                <w:sz w:val="15"/>
              </w:rPr>
              <w:t>Transformer attentionはwindow長の二乗オーダー</w:t>
            </w:r>
          </w:p>
        </w:tc>
      </w:tr>
      <w:tr>
        <w:tc>
          <w:tcPr>
            <w:tcW w:type="dxa" w:w="5141"/>
            <w:vAlign w:val="center"/>
          </w:tcPr>
          <w:p>
            <w:pPr>
              <w:spacing w:after="0"/>
            </w:pPr>
            <w:r>
              <w:rPr>
                <w:rFonts w:ascii="Arial" w:hAnsi="Arial" w:eastAsia="Microsoft YaHei"/>
                <w:sz w:val="15"/>
              </w:rPr>
              <w:t>学習量</w:t>
            </w:r>
          </w:p>
        </w:tc>
        <w:tc>
          <w:tcPr>
            <w:tcW w:type="dxa" w:w="5141"/>
            <w:vAlign w:val="center"/>
          </w:tcPr>
          <w:p>
            <w:pPr>
              <w:spacing w:after="0"/>
            </w:pPr>
            <w:r>
              <w:rPr>
                <w:rFonts w:ascii="Arial" w:hAnsi="Arial" w:eastAsia="Microsoft YaHei"/>
                <w:sz w:val="15"/>
              </w:rPr>
              <w:t>具体的最低量は規定なし</w:t>
            </w:r>
          </w:p>
        </w:tc>
      </w:tr>
      <w:tr>
        <w:tc>
          <w:tcPr>
            <w:tcW w:type="dxa" w:w="5141"/>
            <w:vAlign w:val="center"/>
          </w:tcPr>
          <w:p>
            <w:pPr>
              <w:spacing w:after="0"/>
            </w:pPr>
            <w:r>
              <w:rPr>
                <w:rFonts w:ascii="Arial" w:hAnsi="Arial" w:eastAsia="Microsoft YaHei"/>
                <w:sz w:val="15"/>
              </w:rPr>
              <w:t>リアルタイム</w:t>
            </w:r>
          </w:p>
        </w:tc>
        <w:tc>
          <w:tcPr>
            <w:tcW w:type="dxa" w:w="5141"/>
            <w:vAlign w:val="center"/>
          </w:tcPr>
          <w:p>
            <w:pPr>
              <w:spacing w:after="0"/>
            </w:pPr>
            <w:r>
              <w:rPr>
                <w:rFonts w:ascii="Arial" w:hAnsi="Arial" w:eastAsia="Microsoft YaHei"/>
                <w:sz w:val="15"/>
              </w:rPr>
              <w:t>実装可能だが論文にpoint latencyの記載なし</w:t>
            </w:r>
          </w:p>
        </w:tc>
      </w:tr>
      <w:tr>
        <w:tc>
          <w:tcPr>
            <w:tcW w:type="dxa" w:w="5141"/>
            <w:vAlign w:val="center"/>
          </w:tcPr>
          <w:p>
            <w:pPr>
              <w:spacing w:after="0"/>
            </w:pPr>
            <w:r>
              <w:rPr>
                <w:rFonts w:ascii="Arial" w:hAnsi="Arial" w:eastAsia="Microsoft YaHei"/>
                <w:sz w:val="15"/>
              </w:rPr>
              <w:t>入力のみ</w:t>
            </w:r>
          </w:p>
        </w:tc>
        <w:tc>
          <w:tcPr>
            <w:tcW w:type="dxa" w:w="5141"/>
            <w:vAlign w:val="center"/>
          </w:tcPr>
          <w:p>
            <w:pPr>
              <w:spacing w:after="0"/>
            </w:pPr>
            <w:r>
              <w:rPr>
                <w:rFonts w:ascii="Arial" w:hAnsi="Arial" w:eastAsia="Microsoft YaHei"/>
                <w:sz w:val="15"/>
              </w:rPr>
              <w:t>可能</w:t>
            </w:r>
          </w:p>
        </w:tc>
      </w:tr>
      <w:tr>
        <w:tc>
          <w:tcPr>
            <w:tcW w:type="dxa" w:w="5141"/>
            <w:vAlign w:val="center"/>
          </w:tcPr>
          <w:p>
            <w:pPr>
              <w:spacing w:after="0"/>
            </w:pPr>
            <w:r>
              <w:rPr>
                <w:rFonts w:ascii="Arial" w:hAnsi="Arial" w:eastAsia="Microsoft YaHei"/>
                <w:sz w:val="15"/>
              </w:rPr>
              <w:t>対象AI内部情報</w:t>
            </w:r>
          </w:p>
        </w:tc>
        <w:tc>
          <w:tcPr>
            <w:tcW w:type="dxa" w:w="5141"/>
            <w:vAlign w:val="center"/>
          </w:tcPr>
          <w:p>
            <w:pPr>
              <w:spacing w:after="0"/>
            </w:pPr>
            <w:r>
              <w:rPr>
                <w:rFonts w:ascii="Arial" w:hAnsi="Arial" w:eastAsia="Microsoft YaHei"/>
                <w:sz w:val="15"/>
              </w:rPr>
              <w:t>不要</w:t>
            </w:r>
          </w:p>
        </w:tc>
      </w:tr>
      <w:tr>
        <w:tc>
          <w:tcPr>
            <w:tcW w:type="dxa" w:w="5141"/>
            <w:vAlign w:val="center"/>
          </w:tcPr>
          <w:p>
            <w:pPr>
              <w:spacing w:after="0"/>
            </w:pPr>
            <w:r>
              <w:rPr>
                <w:rFonts w:ascii="Arial" w:hAnsi="Arial" w:eastAsia="Microsoft YaHei"/>
                <w:sz w:val="15"/>
              </w:rPr>
              <w:t>閾値</w:t>
            </w:r>
          </w:p>
        </w:tc>
        <w:tc>
          <w:tcPr>
            <w:tcW w:type="dxa" w:w="5141"/>
            <w:vAlign w:val="center"/>
          </w:tcPr>
          <w:p>
            <w:pPr>
              <w:spacing w:after="0"/>
            </w:pPr>
            <w:r>
              <w:rPr>
                <w:rFonts w:ascii="Arial" w:hAnsi="Arial" w:eastAsia="Microsoft YaHei"/>
                <w:sz w:val="15"/>
              </w:rPr>
              <w:t>validation上のscore分布とrが必要</w:t>
            </w:r>
          </w:p>
        </w:tc>
      </w:tr>
      <w:tr>
        <w:tc>
          <w:tcPr>
            <w:tcW w:type="dxa" w:w="5141"/>
            <w:vAlign w:val="center"/>
          </w:tcPr>
          <w:p>
            <w:pPr>
              <w:spacing w:after="0"/>
            </w:pPr>
            <w:r>
              <w:rPr>
                <w:rFonts w:ascii="Arial" w:hAnsi="Arial" w:eastAsia="Microsoft YaHei"/>
                <w:sz w:val="15"/>
              </w:rPr>
              <w:t>分布変化</w:t>
            </w:r>
          </w:p>
        </w:tc>
        <w:tc>
          <w:tcPr>
            <w:tcW w:type="dxa" w:w="5141"/>
            <w:vAlign w:val="center"/>
          </w:tcPr>
          <w:p>
            <w:pPr>
              <w:spacing w:after="0"/>
            </w:pPr>
            <w:r>
              <w:rPr>
                <w:rFonts w:ascii="Arial" w:hAnsi="Arial" w:eastAsia="Microsoft YaHei"/>
                <w:sz w:val="15"/>
              </w:rPr>
              <w:t>構造的変化時は再学習/再校正を検討</w:t>
            </w:r>
          </w:p>
        </w:tc>
      </w:tr>
    </w:tbl>
    <w:p>
      <w:pPr>
        <w:pStyle w:val="Heading2"/>
      </w:pPr>
      <w:r>
        <w:t>4.E 適用例</w:t>
      </w:r>
    </w:p>
    <w:p>
      <w:r>
        <w:t>Server monitoring、NASA spacecraft telemetry、SWaT water treatment、NeurIPS-TSの多様な異常パターンで評価されている。本研究の浄水処理モデルとはSWaTのドメイン近接性が高い。</w:t>
      </w:r>
    </w:p>
    <w:p>
      <w:pPr>
        <w:pStyle w:val="Heading2"/>
      </w:pPr>
      <w:r>
        <w:t>4.F 社会インフラ監視・制御への適用性</w:t>
      </w:r>
    </w:p>
    <w:p>
      <w:r>
        <w:t>適用性は高い。特に時間的な周期、trend、局所パターン、工況遷移の異常検知に有望である。一方、同一時刻の変数間関係の破綻を最重要視する場合は、InterFusionのinter-metric embeddingの方が直接的であり、両手法を比較する価値が高い。</w:t>
      </w:r>
    </w:p>
    <w:p>
      <w:pPr>
        <w:pStyle w:val="Heading1"/>
      </w:pPr>
      <w:r>
        <w:t>5. 評価データセット</w:t>
      </w:r>
    </w:p>
    <w:tbl>
      <w:tblPr>
        <w:tblStyle w:val="TableGrid"/>
        <w:tblW w:type="auto" w:w="0"/>
        <w:jc w:val="center"/>
        <w:tblLook w:firstColumn="1" w:firstRow="1" w:lastColumn="0" w:lastRow="0" w:noHBand="0" w:noVBand="1" w:val="04A0"/>
      </w:tblPr>
      <w:tblGrid>
        <w:gridCol w:w="2056"/>
        <w:gridCol w:w="2056"/>
        <w:gridCol w:w="2056"/>
        <w:gridCol w:w="2056"/>
        <w:gridCol w:w="2056"/>
      </w:tblGrid>
      <w:tr>
        <w:tc>
          <w:tcPr>
            <w:tcW w:type="dxa" w:w="2056"/>
            <w:shd w:fill="D9EAF7"/>
            <w:vAlign w:val="center"/>
          </w:tcPr>
          <w:p>
            <w:pPr>
              <w:spacing w:after="0"/>
            </w:pPr>
            <w:r>
              <w:rPr>
                <w:rFonts w:ascii="Arial" w:hAnsi="Arial" w:eastAsia="Microsoft YaHei"/>
                <w:sz w:val="14"/>
              </w:rPr>
              <w:t>Dataset</w:t>
            </w:r>
          </w:p>
        </w:tc>
        <w:tc>
          <w:tcPr>
            <w:tcW w:type="dxa" w:w="2056"/>
            <w:shd w:fill="D9EAF7"/>
            <w:vAlign w:val="center"/>
          </w:tcPr>
          <w:p>
            <w:pPr>
              <w:spacing w:after="0"/>
            </w:pPr>
            <w:r>
              <w:rPr>
                <w:rFonts w:ascii="Arial" w:hAnsi="Arial" w:eastAsia="Microsoft YaHei"/>
                <w:sz w:val="14"/>
              </w:rPr>
              <w:t>Dimension</w:t>
            </w:r>
          </w:p>
        </w:tc>
        <w:tc>
          <w:tcPr>
            <w:tcW w:type="dxa" w:w="2056"/>
            <w:shd w:fill="D9EAF7"/>
            <w:vAlign w:val="center"/>
          </w:tcPr>
          <w:p>
            <w:pPr>
              <w:spacing w:after="0"/>
            </w:pPr>
            <w:r>
              <w:rPr>
                <w:rFonts w:ascii="Arial" w:hAnsi="Arial" w:eastAsia="Microsoft YaHei"/>
                <w:sz w:val="14"/>
              </w:rPr>
              <w:t>Train/Val/Test</w:t>
            </w:r>
          </w:p>
        </w:tc>
        <w:tc>
          <w:tcPr>
            <w:tcW w:type="dxa" w:w="2056"/>
            <w:shd w:fill="D9EAF7"/>
            <w:vAlign w:val="center"/>
          </w:tcPr>
          <w:p>
            <w:pPr>
              <w:spacing w:after="0"/>
            </w:pPr>
            <w:r>
              <w:rPr>
                <w:rFonts w:ascii="Arial" w:hAnsi="Arial" w:eastAsia="Microsoft YaHei"/>
                <w:sz w:val="14"/>
              </w:rPr>
              <w:t>AR</w:t>
            </w:r>
          </w:p>
        </w:tc>
        <w:tc>
          <w:tcPr>
            <w:tcW w:type="dxa" w:w="2056"/>
            <w:shd w:fill="D9EAF7"/>
            <w:vAlign w:val="center"/>
          </w:tcPr>
          <w:p>
            <w:pPr>
              <w:spacing w:after="0"/>
            </w:pPr>
            <w:r>
              <w:rPr>
                <w:rFonts w:ascii="Arial" w:hAnsi="Arial" w:eastAsia="Microsoft YaHei"/>
                <w:sz w:val="14"/>
              </w:rPr>
              <w:t>特徴</w:t>
            </w:r>
          </w:p>
        </w:tc>
      </w:tr>
      <w:tr>
        <w:tc>
          <w:tcPr>
            <w:tcW w:type="dxa" w:w="2056"/>
            <w:vAlign w:val="center"/>
          </w:tcPr>
          <w:p>
            <w:pPr>
              <w:spacing w:after="0"/>
            </w:pPr>
            <w:r>
              <w:rPr>
                <w:rFonts w:ascii="Arial" w:hAnsi="Arial" w:eastAsia="Microsoft YaHei"/>
                <w:sz w:val="14"/>
              </w:rPr>
              <w:t>SMD</w:t>
            </w:r>
          </w:p>
        </w:tc>
        <w:tc>
          <w:tcPr>
            <w:tcW w:type="dxa" w:w="2056"/>
            <w:vAlign w:val="center"/>
          </w:tcPr>
          <w:p>
            <w:pPr>
              <w:spacing w:after="0"/>
            </w:pPr>
            <w:r>
              <w:rPr>
                <w:rFonts w:ascii="Arial" w:hAnsi="Arial" w:eastAsia="Microsoft YaHei"/>
                <w:sz w:val="14"/>
              </w:rPr>
              <w:t>38</w:t>
            </w:r>
          </w:p>
        </w:tc>
        <w:tc>
          <w:tcPr>
            <w:tcW w:type="dxa" w:w="2056"/>
            <w:vAlign w:val="center"/>
          </w:tcPr>
          <w:p>
            <w:pPr>
              <w:spacing w:after="0"/>
            </w:pPr>
            <w:r>
              <w:rPr>
                <w:rFonts w:ascii="Arial" w:hAnsi="Arial" w:eastAsia="Microsoft YaHei"/>
                <w:sz w:val="14"/>
              </w:rPr>
              <w:t>566724/141681/708420</w:t>
            </w:r>
          </w:p>
        </w:tc>
        <w:tc>
          <w:tcPr>
            <w:tcW w:type="dxa" w:w="2056"/>
            <w:vAlign w:val="center"/>
          </w:tcPr>
          <w:p>
            <w:pPr>
              <w:spacing w:after="0"/>
            </w:pPr>
            <w:r>
              <w:rPr>
                <w:rFonts w:ascii="Arial" w:hAnsi="Arial" w:eastAsia="Microsoft YaHei"/>
                <w:sz w:val="14"/>
              </w:rPr>
              <w:t>4.2%</w:t>
            </w:r>
          </w:p>
        </w:tc>
        <w:tc>
          <w:tcPr>
            <w:tcW w:type="dxa" w:w="2056"/>
            <w:vAlign w:val="center"/>
          </w:tcPr>
          <w:p>
            <w:pPr>
              <w:spacing w:after="0"/>
            </w:pPr>
            <w:r>
              <w:rPr>
                <w:rFonts w:ascii="Arial" w:hAnsi="Arial" w:eastAsia="Microsoft YaHei"/>
                <w:sz w:val="14"/>
              </w:rPr>
              <w:t>server</w:t>
            </w:r>
          </w:p>
        </w:tc>
      </w:tr>
      <w:tr>
        <w:tc>
          <w:tcPr>
            <w:tcW w:type="dxa" w:w="2056"/>
            <w:vAlign w:val="center"/>
          </w:tcPr>
          <w:p>
            <w:pPr>
              <w:spacing w:after="0"/>
            </w:pPr>
            <w:r>
              <w:rPr>
                <w:rFonts w:ascii="Arial" w:hAnsi="Arial" w:eastAsia="Microsoft YaHei"/>
                <w:sz w:val="14"/>
              </w:rPr>
              <w:t>PSM</w:t>
            </w:r>
          </w:p>
        </w:tc>
        <w:tc>
          <w:tcPr>
            <w:tcW w:type="dxa" w:w="2056"/>
            <w:vAlign w:val="center"/>
          </w:tcPr>
          <w:p>
            <w:pPr>
              <w:spacing w:after="0"/>
            </w:pPr>
            <w:r>
              <w:rPr>
                <w:rFonts w:ascii="Arial" w:hAnsi="Arial" w:eastAsia="Microsoft YaHei"/>
                <w:sz w:val="14"/>
              </w:rPr>
              <w:t>25*</w:t>
            </w:r>
          </w:p>
        </w:tc>
        <w:tc>
          <w:tcPr>
            <w:tcW w:type="dxa" w:w="2056"/>
            <w:vAlign w:val="center"/>
          </w:tcPr>
          <w:p>
            <w:pPr>
              <w:spacing w:after="0"/>
            </w:pPr>
            <w:r>
              <w:rPr>
                <w:rFonts w:ascii="Arial" w:hAnsi="Arial" w:eastAsia="Microsoft YaHei"/>
                <w:sz w:val="14"/>
              </w:rPr>
              <w:t>105984/26497/87841</w:t>
            </w:r>
          </w:p>
        </w:tc>
        <w:tc>
          <w:tcPr>
            <w:tcW w:type="dxa" w:w="2056"/>
            <w:vAlign w:val="center"/>
          </w:tcPr>
          <w:p>
            <w:pPr>
              <w:spacing w:after="0"/>
            </w:pPr>
            <w:r>
              <w:rPr>
                <w:rFonts w:ascii="Arial" w:hAnsi="Arial" w:eastAsia="Microsoft YaHei"/>
                <w:sz w:val="14"/>
              </w:rPr>
              <w:t>27.8%</w:t>
            </w:r>
          </w:p>
        </w:tc>
        <w:tc>
          <w:tcPr>
            <w:tcW w:type="dxa" w:w="2056"/>
            <w:vAlign w:val="center"/>
          </w:tcPr>
          <w:p>
            <w:pPr>
              <w:spacing w:after="0"/>
            </w:pPr>
            <w:r>
              <w:rPr>
                <w:rFonts w:ascii="Arial" w:hAnsi="Arial" w:eastAsia="Microsoft YaHei"/>
                <w:sz w:val="14"/>
              </w:rPr>
              <w:t>server; main text says 26</w:t>
            </w:r>
          </w:p>
        </w:tc>
      </w:tr>
      <w:tr>
        <w:tc>
          <w:tcPr>
            <w:tcW w:type="dxa" w:w="2056"/>
            <w:vAlign w:val="center"/>
          </w:tcPr>
          <w:p>
            <w:pPr>
              <w:spacing w:after="0"/>
            </w:pPr>
            <w:r>
              <w:rPr>
                <w:rFonts w:ascii="Arial" w:hAnsi="Arial" w:eastAsia="Microsoft YaHei"/>
                <w:sz w:val="14"/>
              </w:rPr>
              <w:t>MSL</w:t>
            </w:r>
          </w:p>
        </w:tc>
        <w:tc>
          <w:tcPr>
            <w:tcW w:type="dxa" w:w="2056"/>
            <w:vAlign w:val="center"/>
          </w:tcPr>
          <w:p>
            <w:pPr>
              <w:spacing w:after="0"/>
            </w:pPr>
            <w:r>
              <w:rPr>
                <w:rFonts w:ascii="Arial" w:hAnsi="Arial" w:eastAsia="Microsoft YaHei"/>
                <w:sz w:val="14"/>
              </w:rPr>
              <w:t>55</w:t>
            </w:r>
          </w:p>
        </w:tc>
        <w:tc>
          <w:tcPr>
            <w:tcW w:type="dxa" w:w="2056"/>
            <w:vAlign w:val="center"/>
          </w:tcPr>
          <w:p>
            <w:pPr>
              <w:spacing w:after="0"/>
            </w:pPr>
            <w:r>
              <w:rPr>
                <w:rFonts w:ascii="Arial" w:hAnsi="Arial" w:eastAsia="Microsoft YaHei"/>
                <w:sz w:val="14"/>
              </w:rPr>
              <w:t>46653/11664/73729</w:t>
            </w:r>
          </w:p>
        </w:tc>
        <w:tc>
          <w:tcPr>
            <w:tcW w:type="dxa" w:w="2056"/>
            <w:vAlign w:val="center"/>
          </w:tcPr>
          <w:p>
            <w:pPr>
              <w:spacing w:after="0"/>
            </w:pPr>
            <w:r>
              <w:rPr>
                <w:rFonts w:ascii="Arial" w:hAnsi="Arial" w:eastAsia="Microsoft YaHei"/>
                <w:sz w:val="14"/>
              </w:rPr>
              <w:t>10.5%</w:t>
            </w:r>
          </w:p>
        </w:tc>
        <w:tc>
          <w:tcPr>
            <w:tcW w:type="dxa" w:w="2056"/>
            <w:vAlign w:val="center"/>
          </w:tcPr>
          <w:p>
            <w:pPr>
              <w:spacing w:after="0"/>
            </w:pPr>
            <w:r>
              <w:rPr>
                <w:rFonts w:ascii="Arial" w:hAnsi="Arial" w:eastAsia="Microsoft YaHei"/>
                <w:sz w:val="14"/>
              </w:rPr>
              <w:t>NASA telemetry</w:t>
            </w:r>
          </w:p>
        </w:tc>
      </w:tr>
      <w:tr>
        <w:tc>
          <w:tcPr>
            <w:tcW w:type="dxa" w:w="2056"/>
            <w:vAlign w:val="center"/>
          </w:tcPr>
          <w:p>
            <w:pPr>
              <w:spacing w:after="0"/>
            </w:pPr>
            <w:r>
              <w:rPr>
                <w:rFonts w:ascii="Arial" w:hAnsi="Arial" w:eastAsia="Microsoft YaHei"/>
                <w:sz w:val="14"/>
              </w:rPr>
              <w:t>SMAP</w:t>
            </w:r>
          </w:p>
        </w:tc>
        <w:tc>
          <w:tcPr>
            <w:tcW w:type="dxa" w:w="2056"/>
            <w:vAlign w:val="center"/>
          </w:tcPr>
          <w:p>
            <w:pPr>
              <w:spacing w:after="0"/>
            </w:pPr>
            <w:r>
              <w:rPr>
                <w:rFonts w:ascii="Arial" w:hAnsi="Arial" w:eastAsia="Microsoft YaHei"/>
                <w:sz w:val="14"/>
              </w:rPr>
              <w:t>25</w:t>
            </w:r>
          </w:p>
        </w:tc>
        <w:tc>
          <w:tcPr>
            <w:tcW w:type="dxa" w:w="2056"/>
            <w:vAlign w:val="center"/>
          </w:tcPr>
          <w:p>
            <w:pPr>
              <w:spacing w:after="0"/>
            </w:pPr>
            <w:r>
              <w:rPr>
                <w:rFonts w:ascii="Arial" w:hAnsi="Arial" w:eastAsia="Microsoft YaHei"/>
                <w:sz w:val="14"/>
              </w:rPr>
              <w:t>108146/27037/427617</w:t>
            </w:r>
          </w:p>
        </w:tc>
        <w:tc>
          <w:tcPr>
            <w:tcW w:type="dxa" w:w="2056"/>
            <w:vAlign w:val="center"/>
          </w:tcPr>
          <w:p>
            <w:pPr>
              <w:spacing w:after="0"/>
            </w:pPr>
            <w:r>
              <w:rPr>
                <w:rFonts w:ascii="Arial" w:hAnsi="Arial" w:eastAsia="Microsoft YaHei"/>
                <w:sz w:val="14"/>
              </w:rPr>
              <w:t>12.8%</w:t>
            </w:r>
          </w:p>
        </w:tc>
        <w:tc>
          <w:tcPr>
            <w:tcW w:type="dxa" w:w="2056"/>
            <w:vAlign w:val="center"/>
          </w:tcPr>
          <w:p>
            <w:pPr>
              <w:spacing w:after="0"/>
            </w:pPr>
            <w:r>
              <w:rPr>
                <w:rFonts w:ascii="Arial" w:hAnsi="Arial" w:eastAsia="Microsoft YaHei"/>
                <w:sz w:val="14"/>
              </w:rPr>
              <w:t>NASA telemetry</w:t>
            </w:r>
          </w:p>
        </w:tc>
      </w:tr>
      <w:tr>
        <w:tc>
          <w:tcPr>
            <w:tcW w:type="dxa" w:w="2056"/>
            <w:vAlign w:val="center"/>
          </w:tcPr>
          <w:p>
            <w:pPr>
              <w:spacing w:after="0"/>
            </w:pPr>
            <w:r>
              <w:rPr>
                <w:rFonts w:ascii="Arial" w:hAnsi="Arial" w:eastAsia="Microsoft YaHei"/>
                <w:sz w:val="14"/>
              </w:rPr>
              <w:t>SWaT</w:t>
            </w:r>
          </w:p>
        </w:tc>
        <w:tc>
          <w:tcPr>
            <w:tcW w:type="dxa" w:w="2056"/>
            <w:vAlign w:val="center"/>
          </w:tcPr>
          <w:p>
            <w:pPr>
              <w:spacing w:after="0"/>
            </w:pPr>
            <w:r>
              <w:rPr>
                <w:rFonts w:ascii="Arial" w:hAnsi="Arial" w:eastAsia="Microsoft YaHei"/>
                <w:sz w:val="14"/>
              </w:rPr>
              <w:t>51</w:t>
            </w:r>
          </w:p>
        </w:tc>
        <w:tc>
          <w:tcPr>
            <w:tcW w:type="dxa" w:w="2056"/>
            <w:vAlign w:val="center"/>
          </w:tcPr>
          <w:p>
            <w:pPr>
              <w:spacing w:after="0"/>
            </w:pPr>
            <w:r>
              <w:rPr>
                <w:rFonts w:ascii="Arial" w:hAnsi="Arial" w:eastAsia="Microsoft YaHei"/>
                <w:sz w:val="14"/>
              </w:rPr>
              <w:t>396000/99000/449919</w:t>
            </w:r>
          </w:p>
        </w:tc>
        <w:tc>
          <w:tcPr>
            <w:tcW w:type="dxa" w:w="2056"/>
            <w:vAlign w:val="center"/>
          </w:tcPr>
          <w:p>
            <w:pPr>
              <w:spacing w:after="0"/>
            </w:pPr>
            <w:r>
              <w:rPr>
                <w:rFonts w:ascii="Arial" w:hAnsi="Arial" w:eastAsia="Microsoft YaHei"/>
                <w:sz w:val="14"/>
              </w:rPr>
              <w:t>12.1%</w:t>
            </w:r>
          </w:p>
        </w:tc>
        <w:tc>
          <w:tcPr>
            <w:tcW w:type="dxa" w:w="2056"/>
            <w:vAlign w:val="center"/>
          </w:tcPr>
          <w:p>
            <w:pPr>
              <w:spacing w:after="0"/>
            </w:pPr>
            <w:r>
              <w:rPr>
                <w:rFonts w:ascii="Arial" w:hAnsi="Arial" w:eastAsia="Microsoft YaHei"/>
                <w:sz w:val="14"/>
              </w:rPr>
              <w:t>water treatment</w:t>
            </w:r>
          </w:p>
        </w:tc>
      </w:tr>
      <w:tr>
        <w:tc>
          <w:tcPr>
            <w:tcW w:type="dxa" w:w="2056"/>
            <w:vAlign w:val="center"/>
          </w:tcPr>
          <w:p>
            <w:pPr>
              <w:spacing w:after="0"/>
            </w:pPr>
            <w:r>
              <w:rPr>
                <w:rFonts w:ascii="Arial" w:hAnsi="Arial" w:eastAsia="Microsoft YaHei"/>
                <w:sz w:val="14"/>
              </w:rPr>
              <w:t>NeurIPS-TS</w:t>
            </w:r>
          </w:p>
        </w:tc>
        <w:tc>
          <w:tcPr>
            <w:tcW w:type="dxa" w:w="2056"/>
            <w:vAlign w:val="center"/>
          </w:tcPr>
          <w:p>
            <w:pPr>
              <w:spacing w:after="0"/>
            </w:pPr>
            <w:r>
              <w:rPr>
                <w:rFonts w:ascii="Arial" w:hAnsi="Arial" w:eastAsia="Microsoft YaHei"/>
                <w:sz w:val="14"/>
              </w:rPr>
              <w:t>1</w:t>
            </w:r>
          </w:p>
        </w:tc>
        <w:tc>
          <w:tcPr>
            <w:tcW w:type="dxa" w:w="2056"/>
            <w:vAlign w:val="center"/>
          </w:tcPr>
          <w:p>
            <w:pPr>
              <w:spacing w:after="0"/>
            </w:pPr>
            <w:r>
              <w:rPr>
                <w:rFonts w:ascii="Arial" w:hAnsi="Arial" w:eastAsia="Microsoft YaHei"/>
                <w:sz w:val="14"/>
              </w:rPr>
              <w:t>20000/10000/20000</w:t>
            </w:r>
          </w:p>
        </w:tc>
        <w:tc>
          <w:tcPr>
            <w:tcW w:type="dxa" w:w="2056"/>
            <w:vAlign w:val="center"/>
          </w:tcPr>
          <w:p>
            <w:pPr>
              <w:spacing w:after="0"/>
            </w:pPr>
            <w:r>
              <w:rPr>
                <w:rFonts w:ascii="Arial" w:hAnsi="Arial" w:eastAsia="Microsoft YaHei"/>
                <w:sz w:val="14"/>
              </w:rPr>
              <w:t>1.8%</w:t>
            </w:r>
          </w:p>
        </w:tc>
        <w:tc>
          <w:tcPr>
            <w:tcW w:type="dxa" w:w="2056"/>
            <w:vAlign w:val="center"/>
          </w:tcPr>
          <w:p>
            <w:pPr>
              <w:spacing w:after="0"/>
            </w:pPr>
            <w:r>
              <w:rPr>
                <w:rFonts w:ascii="Arial" w:hAnsi="Arial" w:eastAsia="Microsoft YaHei"/>
                <w:sz w:val="14"/>
              </w:rPr>
              <w:t>five anomaly taxonomies</w:t>
            </w:r>
          </w:p>
        </w:tc>
      </w:tr>
    </w:tbl>
    <w:p>
      <w:r>
        <w:t>ライセンス：原論文は各benchmarkの出典・公開性を説明するが、個別のlicense名称・再配布条件を一覧化していない。そのため本報告では論文にないlicenseを推測しない。</w:t>
      </w:r>
    </w:p>
    <w:p>
      <w:pPr>
        <w:pStyle w:val="Heading1"/>
      </w:pPr>
      <w:r>
        <w:t>6. 本研究課題に対する総合評価</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0"/>
            </w:pPr>
            <w:r>
              <w:rPr>
                <w:rFonts w:ascii="Arial" w:hAnsi="Arial" w:eastAsia="Microsoft YaHei"/>
                <w:sz w:val="15"/>
              </w:rPr>
              <w:t>評価</w:t>
            </w:r>
          </w:p>
        </w:tc>
        <w:tc>
          <w:tcPr>
            <w:tcW w:type="dxa" w:w="5141"/>
            <w:shd w:fill="D9EAF7"/>
            <w:vAlign w:val="center"/>
          </w:tcPr>
          <w:p>
            <w:pPr>
              <w:spacing w:after="0"/>
            </w:pPr>
            <w:r>
              <w:rPr>
                <w:rFonts w:ascii="Arial" w:hAnsi="Arial" w:eastAsia="Microsoft YaHei"/>
                <w:sz w:val="15"/>
              </w:rPr>
              <w:t>判定</w:t>
            </w:r>
          </w:p>
        </w:tc>
      </w:tr>
      <w:tr>
        <w:tc>
          <w:tcPr>
            <w:tcW w:type="dxa" w:w="5141"/>
            <w:vAlign w:val="center"/>
          </w:tcPr>
          <w:p>
            <w:pPr>
              <w:spacing w:after="0"/>
            </w:pPr>
            <w:r>
              <w:rPr>
                <w:rFonts w:ascii="Arial" w:hAnsi="Arial" w:eastAsia="Microsoft YaHei"/>
                <w:sz w:val="15"/>
              </w:rPr>
              <w:t>多変量数値時系列</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回帰モデルとの併用</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対象AI内部情報</w:t>
            </w:r>
          </w:p>
        </w:tc>
        <w:tc>
          <w:tcPr>
            <w:tcW w:type="dxa" w:w="5141"/>
            <w:vAlign w:val="center"/>
          </w:tcPr>
          <w:p>
            <w:pPr>
              <w:spacing w:after="0"/>
            </w:pPr>
            <w:r>
              <w:rPr>
                <w:rFonts w:ascii="Arial" w:hAnsi="Arial" w:eastAsia="Microsoft YaHei"/>
                <w:sz w:val="15"/>
              </w:rPr>
              <w:t>不要</w:t>
            </w:r>
          </w:p>
        </w:tc>
      </w:tr>
      <w:tr>
        <w:tc>
          <w:tcPr>
            <w:tcW w:type="dxa" w:w="5141"/>
            <w:vAlign w:val="center"/>
          </w:tcPr>
          <w:p>
            <w:pPr>
              <w:spacing w:after="0"/>
            </w:pPr>
            <w:r>
              <w:rPr>
                <w:rFonts w:ascii="Arial" w:hAnsi="Arial" w:eastAsia="Microsoft YaHei"/>
                <w:sz w:val="15"/>
              </w:rPr>
              <w:t>Temporal/Contextual anomaly</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変数間relation異常</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水インフラ</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無ラベルthreshold設定</w:t>
            </w:r>
          </w:p>
        </w:tc>
        <w:tc>
          <w:tcPr>
            <w:tcW w:type="dxa" w:w="5141"/>
            <w:vAlign w:val="center"/>
          </w:tcPr>
          <w:p>
            <w:pPr>
              <w:spacing w:after="0"/>
            </w:pPr>
            <w:r>
              <w:rPr>
                <w:rFonts w:ascii="Arial" w:hAnsi="Arial" w:eastAsia="Microsoft YaHei"/>
                <w:sz w:val="15"/>
              </w:rPr>
              <w:t>○</w:t>
            </w:r>
          </w:p>
        </w:tc>
      </w:tr>
      <w:tr>
        <w:tc>
          <w:tcPr>
            <w:tcW w:type="dxa" w:w="5141"/>
            <w:vAlign w:val="center"/>
          </w:tcPr>
          <w:p>
            <w:pPr>
              <w:spacing w:after="0"/>
            </w:pPr>
            <w:r>
              <w:rPr>
                <w:rFonts w:ascii="Arial" w:hAnsi="Arial" w:eastAsia="Microsoft YaHei"/>
                <w:sz w:val="15"/>
              </w:rPr>
              <w:t>計算コスト</w:t>
            </w:r>
          </w:p>
        </w:tc>
        <w:tc>
          <w:tcPr>
            <w:tcW w:type="dxa" w:w="5141"/>
            <w:vAlign w:val="center"/>
          </w:tcPr>
          <w:p>
            <w:pPr>
              <w:spacing w:after="0"/>
            </w:pPr>
            <w:r>
              <w:rPr>
                <w:rFonts w:ascii="Arial" w:hAnsi="Arial" w:eastAsia="Microsoft YaHei"/>
                <w:sz w:val="15"/>
              </w:rPr>
              <w:t>中～高；window²</w:t>
            </w:r>
          </w:p>
        </w:tc>
      </w:tr>
      <w:tr>
        <w:tc>
          <w:tcPr>
            <w:tcW w:type="dxa" w:w="5141"/>
            <w:vAlign w:val="center"/>
          </w:tcPr>
          <w:p>
            <w:pPr>
              <w:spacing w:after="0"/>
            </w:pPr>
            <w:r>
              <w:rPr>
                <w:rFonts w:ascii="Arial" w:hAnsi="Arial" w:eastAsia="Microsoft YaHei"/>
                <w:sz w:val="15"/>
              </w:rPr>
              <w:t>継続精読優先度</w:t>
            </w:r>
          </w:p>
        </w:tc>
        <w:tc>
          <w:tcPr>
            <w:tcW w:type="dxa" w:w="5141"/>
            <w:vAlign w:val="center"/>
          </w:tcPr>
          <w:p>
            <w:pPr>
              <w:spacing w:after="0"/>
            </w:pPr>
            <w:r>
              <w:rPr>
                <w:rFonts w:ascii="Arial" w:hAnsi="Arial" w:eastAsia="Microsoft YaHei"/>
                <w:sz w:val="15"/>
              </w:rPr>
              <w:t>高</w:t>
            </w:r>
          </w:p>
        </w:tc>
      </w:tr>
    </w:tbl>
    <w:p>
      <w:pPr>
        <w:pStyle w:val="Title"/>
      </w:pPr>
      <w:r>
        <w:t>Part III　每日口头汇报稿（中文）</w:t>
      </w:r>
    </w:p>
    <w:p>
      <w:r>
        <w:t>这篇是ICLR 2022的Anomaly Transformer。它和OmniAnomaly、InterFusion最大的区别，是不只把重构误差当作异常依据，而提出了一个新的association-based判据。作者认为正常时间点能够和整个时间窗口中的其他正常点建立比较丰富的远距离关联，而异常点因为很少，通常只能和附近的点形成比较强的关联。</w:t>
      </w:r>
    </w:p>
    <w:p>
      <w:r>
        <w:t>模型因此同时构造两种association。第一种prior-association用以当前点为中心的Gaussian分布表示“邻近集中”的先验；第二种series-association就是Transformer self-attention从真实数据学出来的注意力分布。两者之间用对称KL散度计算Association Discrepancy。作者的假设是异常点的两种association更相似，所以discrepancy反而更小。</w:t>
      </w:r>
    </w:p>
    <w:p>
      <w:r>
        <w:t>训练时还用了minimax策略：先让prior去逼近series，使Gaussian先验适应不同序列；再固定prior，让series尽可能拉大discrepancy，同时仍然要做好重构。这样正常点更容易建立远距离关联，异常点更难，正常和异常的差距就会被放大。最终异常分数不是单独用discrepancy，而是Softmax(-AssDis)乘以逐点重构误差。</w:t>
      </w:r>
    </w:p>
    <w:p>
      <w:r>
        <w:t>这篇和我们的模型匹配度高，因为输入本身就是多变量数值时间序列，每个时刻x_t是d维向量，实验统一用100个时刻的window，而且检测器完全不需要目标回归模型的内部信息。它还在SWaT真实水处理数据上得到94.07%的F1，所以场景也比较接近。</w:t>
      </w:r>
    </w:p>
    <w:p>
      <w:r>
        <w:t>阈值方面比InterFusion更值得注意：论文把train、validation、test分开，异常标签只在test中使用。实际阈值是根据无标签validation的anomaly score分布确定，比如让SWaT validation中0.1%的点超过threshold。因此不依赖测试异常标签，但仍需要先设定一个预期报警比例r。</w:t>
      </w:r>
    </w:p>
    <w:p>
      <w:r>
        <w:t>我认为它特别适合我们要找的time-contextual或者动态模式异常，比如数值本身不一定越界，但周期、趋势、变化过程和过去不一样。不过它显式建模的是“时间点和时间点之间的association”，不是InterFusion那种metric-to-metric关系，所以如果重点是流量和压力各自正常但组合关系异常，InterFusion的理论对应更直接。后续可以把这两个作为不同关系维度的候选算法进行比较。</w:t>
      </w:r>
    </w:p>
    <w:p>
      <w:r>
        <w:t>另外它有一个工程限制：window太小可能学不到association，但Transformer attention的计算和内存随window长度大约平方增长。作者自己也把这个列为limitation。因此应用到公司数据时，window长度需要结合采样周期和物理过程时滞重新选择。</w:t>
      </w:r>
    </w:p>
    <w:p>
      <w:r>
        <w:t>注：本报告中“学習外输入”分类、与水系统回归模型的适用性判断属于基于论文机制的研究分析；原论文的正式任务名称仍是unsupervised time series anomaly detection。</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