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S1論文：実験・結果部分 報告書</w:t>
      </w:r>
    </w:p>
    <w:p>
      <w:pPr>
        <w:jc w:val="center"/>
      </w:pPr>
      <w:r>
        <w:rPr>
          <w:sz w:val="21"/>
        </w:rPr>
        <w:t>Audibert et al., “Do Deep Neural Networks Contribute to Multivariate Time Series Anomaly Detection?”</w:t>
      </w:r>
    </w:p>
    <w:p/>
    <w:p>
      <w:r>
        <w:t>報告の焦点：従来手法、機械学習（ML）、深層ニューラルネットワーク（DNN）を同一条件で比較し、DNNの複雑さが多変量時系列異常検知において本当に一貫した性能向上をもたらすかを検証する。</w:t>
      </w:r>
    </w:p>
    <w:p>
      <w:pPr>
        <w:pStyle w:val="Heading1"/>
      </w:pPr>
      <w:r>
        <w:t>1. 実験で検証する問い</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pPr>
              <w:spacing w:after="0"/>
            </w:pPr>
            <w:r/>
            <w:r>
              <w:rPr>
                <w:b/>
                <w:sz w:val="18"/>
              </w:rPr>
              <w:t>問い</w:t>
            </w:r>
          </w:p>
        </w:tc>
        <w:tc>
          <w:tcPr>
            <w:tcW w:type="dxa" w:w="3324"/>
            <w:shd w:fill="D9EAF7"/>
            <w:vAlign w:val="center"/>
          </w:tcPr>
          <w:p>
            <w:pPr>
              <w:spacing w:after="0"/>
            </w:pPr>
            <w:r/>
            <w:r>
              <w:rPr>
                <w:b/>
                <w:sz w:val="18"/>
              </w:rPr>
              <w:t>実験設計</w:t>
            </w:r>
          </w:p>
        </w:tc>
        <w:tc>
          <w:tcPr>
            <w:tcW w:type="dxa" w:w="3324"/>
            <w:shd w:fill="D9EAF7"/>
            <w:vAlign w:val="center"/>
          </w:tcPr>
          <w:p>
            <w:pPr>
              <w:spacing w:after="0"/>
            </w:pPr>
            <w:r/>
            <w:r>
              <w:rPr>
                <w:b/>
                <w:sz w:val="18"/>
              </w:rPr>
              <w:t>確認するポイント</w:t>
            </w:r>
          </w:p>
        </w:tc>
      </w:tr>
      <w:tr>
        <w:tc>
          <w:tcPr>
            <w:tcW w:type="dxa" w:w="3324"/>
            <w:vAlign w:val="center"/>
          </w:tcPr>
          <w:p>
            <w:pPr>
              <w:spacing w:after="0"/>
            </w:pPr>
            <w:r/>
            <w:r>
              <w:rPr>
                <w:b w:val="0"/>
                <w:sz w:val="17"/>
              </w:rPr>
              <w:t>Q1：DNNは全体として優れているか</w:t>
            </w:r>
          </w:p>
        </w:tc>
        <w:tc>
          <w:tcPr>
            <w:tcW w:type="dxa" w:w="3324"/>
            <w:vAlign w:val="center"/>
          </w:tcPr>
          <w:p>
            <w:pPr>
              <w:spacing w:after="0"/>
            </w:pPr>
            <w:r/>
            <w:r>
              <w:rPr>
                <w:b w:val="0"/>
                <w:sz w:val="17"/>
              </w:rPr>
              <w:t>16手法 × 5実世界公開データセット</w:t>
            </w:r>
          </w:p>
        </w:tc>
        <w:tc>
          <w:tcPr>
            <w:tcW w:type="dxa" w:w="3324"/>
            <w:vAlign w:val="center"/>
          </w:tcPr>
          <w:p>
            <w:pPr>
              <w:spacing w:after="0"/>
            </w:pPr>
            <w:r/>
            <w:r>
              <w:rPr>
                <w:b w:val="0"/>
                <w:sz w:val="17"/>
              </w:rPr>
              <w:t>F1、AP、統計的有意差</w:t>
            </w:r>
          </w:p>
        </w:tc>
      </w:tr>
      <w:tr>
        <w:tc>
          <w:tcPr>
            <w:tcW w:type="dxa" w:w="3324"/>
            <w:vAlign w:val="center"/>
          </w:tcPr>
          <w:p>
            <w:pPr>
              <w:spacing w:after="0"/>
            </w:pPr>
            <w:r/>
            <w:r>
              <w:rPr>
                <w:b w:val="0"/>
                <w:sz w:val="17"/>
              </w:rPr>
              <w:t>Q2：DNNが優れる場合、その理由は何か</w:t>
            </w:r>
          </w:p>
        </w:tc>
        <w:tc>
          <w:tcPr>
            <w:tcW w:type="dxa" w:w="3324"/>
            <w:vAlign w:val="center"/>
          </w:tcPr>
          <w:p>
            <w:pPr>
              <w:spacing w:after="0"/>
            </w:pPr>
            <w:r/>
            <w:r>
              <w:rPr>
                <w:b w:val="0"/>
                <w:sz w:val="17"/>
              </w:rPr>
              <w:t>WADIの異常を個別分析</w:t>
            </w:r>
          </w:p>
        </w:tc>
        <w:tc>
          <w:tcPr>
            <w:tcW w:type="dxa" w:w="3324"/>
            <w:vAlign w:val="center"/>
          </w:tcPr>
          <w:p>
            <w:pPr>
              <w:spacing w:after="0"/>
            </w:pPr>
            <w:r/>
            <w:r>
              <w:rPr>
                <w:b w:val="0"/>
                <w:sz w:val="17"/>
              </w:rPr>
              <w:t>DNNのみが検知できた異常とその種類</w:t>
            </w:r>
          </w:p>
        </w:tc>
      </w:tr>
      <w:tr>
        <w:tc>
          <w:tcPr>
            <w:tcW w:type="dxa" w:w="3324"/>
            <w:vAlign w:val="center"/>
          </w:tcPr>
          <w:p>
            <w:pPr>
              <w:spacing w:after="0"/>
            </w:pPr>
            <w:r/>
            <w:r>
              <w:rPr>
                <w:b w:val="0"/>
                <w:sz w:val="17"/>
              </w:rPr>
              <w:t>Q3：学習データ量は結論を変えるか</w:t>
            </w:r>
          </w:p>
        </w:tc>
        <w:tc>
          <w:tcPr>
            <w:tcW w:type="dxa" w:w="3324"/>
            <w:vAlign w:val="center"/>
          </w:tcPr>
          <w:p>
            <w:pPr>
              <w:spacing w:after="0"/>
            </w:pPr>
            <w:r/>
            <w:r>
              <w:rPr>
                <w:b w:val="0"/>
                <w:sz w:val="17"/>
              </w:rPr>
              <w:t>SWaT/WADIで10%、25%、50%、75%を使用</w:t>
            </w:r>
          </w:p>
        </w:tc>
        <w:tc>
          <w:tcPr>
            <w:tcW w:type="dxa" w:w="3324"/>
            <w:vAlign w:val="center"/>
          </w:tcPr>
          <w:p>
            <w:pPr>
              <w:spacing w:after="0"/>
            </w:pPr>
            <w:r/>
            <w:r>
              <w:rPr>
                <w:b w:val="0"/>
                <w:sz w:val="17"/>
              </w:rPr>
              <w:t>学習量に対するAPの変化</w:t>
            </w:r>
          </w:p>
        </w:tc>
      </w:tr>
    </w:tbl>
    <w:p/>
    <w:p>
      <w:pPr>
        <w:pStyle w:val="Heading1"/>
      </w:pPr>
      <w:r>
        <w:t>2. ベンチマークデータセット</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F7"/>
            <w:vAlign w:val="center"/>
          </w:tcPr>
          <w:p>
            <w:pPr>
              <w:spacing w:after="0"/>
            </w:pPr>
            <w:r/>
            <w:r>
              <w:rPr>
                <w:b/>
                <w:sz w:val="18"/>
              </w:rPr>
              <w:t>Dataset</w:t>
            </w:r>
          </w:p>
        </w:tc>
        <w:tc>
          <w:tcPr>
            <w:tcW w:type="dxa" w:w="1425"/>
            <w:shd w:fill="D9EAF7"/>
            <w:vAlign w:val="center"/>
          </w:tcPr>
          <w:p>
            <w:pPr>
              <w:spacing w:after="0"/>
            </w:pPr>
            <w:r/>
            <w:r>
              <w:rPr>
                <w:b/>
                <w:sz w:val="18"/>
              </w:rPr>
              <w:t>Train</w:t>
            </w:r>
          </w:p>
        </w:tc>
        <w:tc>
          <w:tcPr>
            <w:tcW w:type="dxa" w:w="1425"/>
            <w:shd w:fill="D9EAF7"/>
            <w:vAlign w:val="center"/>
          </w:tcPr>
          <w:p>
            <w:pPr>
              <w:spacing w:after="0"/>
            </w:pPr>
            <w:r/>
            <w:r>
              <w:rPr>
                <w:b/>
                <w:sz w:val="18"/>
              </w:rPr>
              <w:t>Test</w:t>
            </w:r>
          </w:p>
        </w:tc>
        <w:tc>
          <w:tcPr>
            <w:tcW w:type="dxa" w:w="1425"/>
            <w:shd w:fill="D9EAF7"/>
            <w:vAlign w:val="center"/>
          </w:tcPr>
          <w:p>
            <w:pPr>
              <w:spacing w:after="0"/>
            </w:pPr>
            <w:r/>
            <w:r>
              <w:rPr>
                <w:b/>
                <w:sz w:val="18"/>
              </w:rPr>
              <w:t>Dimension</w:t>
            </w:r>
          </w:p>
        </w:tc>
        <w:tc>
          <w:tcPr>
            <w:tcW w:type="dxa" w:w="1425"/>
            <w:shd w:fill="D9EAF7"/>
            <w:vAlign w:val="center"/>
          </w:tcPr>
          <w:p>
            <w:pPr>
              <w:spacing w:after="0"/>
            </w:pPr>
            <w:r/>
            <w:r>
              <w:rPr>
                <w:b/>
                <w:sz w:val="18"/>
              </w:rPr>
              <w:t>異常率</w:t>
            </w:r>
          </w:p>
        </w:tc>
        <w:tc>
          <w:tcPr>
            <w:tcW w:type="dxa" w:w="1425"/>
            <w:shd w:fill="D9EAF7"/>
            <w:vAlign w:val="center"/>
          </w:tcPr>
          <w:p>
            <w:pPr>
              <w:spacing w:after="0"/>
            </w:pPr>
            <w:r/>
            <w:r>
              <w:rPr>
                <w:b/>
                <w:sz w:val="18"/>
              </w:rPr>
              <w:t>異常タイプ</w:t>
            </w:r>
          </w:p>
        </w:tc>
        <w:tc>
          <w:tcPr>
            <w:tcW w:type="dxa" w:w="1425"/>
            <w:shd w:fill="D9EAF7"/>
            <w:vAlign w:val="center"/>
          </w:tcPr>
          <w:p>
            <w:pPr>
              <w:spacing w:after="0"/>
            </w:pPr>
            <w:r/>
            <w:r>
              <w:rPr>
                <w:b/>
                <w:sz w:val="18"/>
              </w:rPr>
              <w:t>概要</w:t>
            </w:r>
          </w:p>
        </w:tc>
      </w:tr>
      <w:tr>
        <w:tc>
          <w:tcPr>
            <w:tcW w:type="dxa" w:w="1425"/>
            <w:vAlign w:val="center"/>
          </w:tcPr>
          <w:p>
            <w:pPr>
              <w:spacing w:after="0"/>
            </w:pPr>
            <w:r/>
            <w:r>
              <w:rPr>
                <w:b w:val="0"/>
                <w:sz w:val="17"/>
              </w:rPr>
              <w:t>SWaT</w:t>
            </w:r>
          </w:p>
        </w:tc>
        <w:tc>
          <w:tcPr>
            <w:tcW w:type="dxa" w:w="1425"/>
            <w:vAlign w:val="center"/>
          </w:tcPr>
          <w:p>
            <w:pPr>
              <w:spacing w:after="0"/>
            </w:pPr>
            <w:r/>
            <w:r>
              <w:rPr>
                <w:b w:val="0"/>
                <w:sz w:val="17"/>
              </w:rPr>
              <w:t>496,800</w:t>
            </w:r>
          </w:p>
        </w:tc>
        <w:tc>
          <w:tcPr>
            <w:tcW w:type="dxa" w:w="1425"/>
            <w:vAlign w:val="center"/>
          </w:tcPr>
          <w:p>
            <w:pPr>
              <w:spacing w:after="0"/>
            </w:pPr>
            <w:r/>
            <w:r>
              <w:rPr>
                <w:b w:val="0"/>
                <w:sz w:val="17"/>
              </w:rPr>
              <w:t>449,919</w:t>
            </w:r>
          </w:p>
        </w:tc>
        <w:tc>
          <w:tcPr>
            <w:tcW w:type="dxa" w:w="1425"/>
            <w:vAlign w:val="center"/>
          </w:tcPr>
          <w:p>
            <w:pPr>
              <w:spacing w:after="0"/>
            </w:pPr>
            <w:r/>
            <w:r>
              <w:rPr>
                <w:b w:val="0"/>
                <w:sz w:val="17"/>
              </w:rPr>
              <w:t>51</w:t>
            </w:r>
          </w:p>
        </w:tc>
        <w:tc>
          <w:tcPr>
            <w:tcW w:type="dxa" w:w="1425"/>
            <w:vAlign w:val="center"/>
          </w:tcPr>
          <w:p>
            <w:pPr>
              <w:spacing w:after="0"/>
            </w:pPr>
            <w:r/>
            <w:r>
              <w:rPr>
                <w:b w:val="0"/>
                <w:sz w:val="17"/>
              </w:rPr>
              <w:t>11.98%</w:t>
            </w:r>
          </w:p>
        </w:tc>
        <w:tc>
          <w:tcPr>
            <w:tcW w:type="dxa" w:w="1425"/>
            <w:vAlign w:val="center"/>
          </w:tcPr>
          <w:p>
            <w:pPr>
              <w:spacing w:after="0"/>
            </w:pPr>
            <w:r/>
            <w:r>
              <w:rPr>
                <w:b w:val="0"/>
                <w:sz w:val="17"/>
              </w:rPr>
              <w:t>P / C / Col</w:t>
            </w:r>
          </w:p>
        </w:tc>
        <w:tc>
          <w:tcPr>
            <w:tcW w:type="dxa" w:w="1425"/>
            <w:vAlign w:val="center"/>
          </w:tcPr>
          <w:p>
            <w:pPr>
              <w:spacing w:after="0"/>
            </w:pPr>
            <w:r/>
            <w:r>
              <w:rPr>
                <w:b w:val="0"/>
                <w:sz w:val="17"/>
              </w:rPr>
              <w:t>実水処理設備を縮小した産業制御データ</w:t>
            </w:r>
          </w:p>
        </w:tc>
      </w:tr>
      <w:tr>
        <w:tc>
          <w:tcPr>
            <w:tcW w:type="dxa" w:w="1425"/>
            <w:vAlign w:val="center"/>
          </w:tcPr>
          <w:p>
            <w:pPr>
              <w:spacing w:after="0"/>
            </w:pPr>
            <w:r/>
            <w:r>
              <w:rPr>
                <w:b w:val="0"/>
                <w:sz w:val="17"/>
              </w:rPr>
              <w:t>WADI</w:t>
            </w:r>
          </w:p>
        </w:tc>
        <w:tc>
          <w:tcPr>
            <w:tcW w:type="dxa" w:w="1425"/>
            <w:vAlign w:val="center"/>
          </w:tcPr>
          <w:p>
            <w:pPr>
              <w:spacing w:after="0"/>
            </w:pPr>
            <w:r/>
            <w:r>
              <w:rPr>
                <w:b w:val="0"/>
                <w:sz w:val="17"/>
              </w:rPr>
              <w:t>1,209,601</w:t>
            </w:r>
          </w:p>
        </w:tc>
        <w:tc>
          <w:tcPr>
            <w:tcW w:type="dxa" w:w="1425"/>
            <w:vAlign w:val="center"/>
          </w:tcPr>
          <w:p>
            <w:pPr>
              <w:spacing w:after="0"/>
            </w:pPr>
            <w:r/>
            <w:r>
              <w:rPr>
                <w:b w:val="0"/>
                <w:sz w:val="17"/>
              </w:rPr>
              <w:t>172,801</w:t>
            </w:r>
          </w:p>
        </w:tc>
        <w:tc>
          <w:tcPr>
            <w:tcW w:type="dxa" w:w="1425"/>
            <w:vAlign w:val="center"/>
          </w:tcPr>
          <w:p>
            <w:pPr>
              <w:spacing w:after="0"/>
            </w:pPr>
            <w:r/>
            <w:r>
              <w:rPr>
                <w:b w:val="0"/>
                <w:sz w:val="17"/>
              </w:rPr>
              <w:t>123</w:t>
            </w:r>
          </w:p>
        </w:tc>
        <w:tc>
          <w:tcPr>
            <w:tcW w:type="dxa" w:w="1425"/>
            <w:vAlign w:val="center"/>
          </w:tcPr>
          <w:p>
            <w:pPr>
              <w:spacing w:after="0"/>
            </w:pPr>
            <w:r/>
            <w:r>
              <w:rPr>
                <w:b w:val="0"/>
                <w:sz w:val="17"/>
              </w:rPr>
              <w:t>5.99%</w:t>
            </w:r>
          </w:p>
        </w:tc>
        <w:tc>
          <w:tcPr>
            <w:tcW w:type="dxa" w:w="1425"/>
            <w:vAlign w:val="center"/>
          </w:tcPr>
          <w:p>
            <w:pPr>
              <w:spacing w:after="0"/>
            </w:pPr>
            <w:r/>
            <w:r>
              <w:rPr>
                <w:b w:val="0"/>
                <w:sz w:val="17"/>
              </w:rPr>
              <w:t>P / C / Col</w:t>
            </w:r>
          </w:p>
        </w:tc>
        <w:tc>
          <w:tcPr>
            <w:tcW w:type="dxa" w:w="1425"/>
            <w:vAlign w:val="center"/>
          </w:tcPr>
          <w:p>
            <w:pPr>
              <w:spacing w:after="0"/>
            </w:pPr>
            <w:r/>
            <w:r>
              <w:rPr>
                <w:b w:val="0"/>
                <w:sz w:val="17"/>
              </w:rPr>
              <w:t>SWaTの拡張版。詳細分析の対象</w:t>
            </w:r>
          </w:p>
        </w:tc>
      </w:tr>
      <w:tr>
        <w:tc>
          <w:tcPr>
            <w:tcW w:type="dxa" w:w="1425"/>
            <w:vAlign w:val="center"/>
          </w:tcPr>
          <w:p>
            <w:pPr>
              <w:spacing w:after="0"/>
            </w:pPr>
            <w:r/>
            <w:r>
              <w:rPr>
                <w:b w:val="0"/>
                <w:sz w:val="17"/>
              </w:rPr>
              <w:t>SMD</w:t>
            </w:r>
          </w:p>
        </w:tc>
        <w:tc>
          <w:tcPr>
            <w:tcW w:type="dxa" w:w="1425"/>
            <w:vAlign w:val="center"/>
          </w:tcPr>
          <w:p>
            <w:pPr>
              <w:spacing w:after="0"/>
            </w:pPr>
            <w:r/>
            <w:r>
              <w:rPr>
                <w:b w:val="0"/>
                <w:sz w:val="17"/>
              </w:rPr>
              <w:t>708,405</w:t>
            </w:r>
          </w:p>
        </w:tc>
        <w:tc>
          <w:tcPr>
            <w:tcW w:type="dxa" w:w="1425"/>
            <w:vAlign w:val="center"/>
          </w:tcPr>
          <w:p>
            <w:pPr>
              <w:spacing w:after="0"/>
            </w:pPr>
            <w:r/>
            <w:r>
              <w:rPr>
                <w:b w:val="0"/>
                <w:sz w:val="17"/>
              </w:rPr>
              <w:t>708,420</w:t>
            </w:r>
          </w:p>
        </w:tc>
        <w:tc>
          <w:tcPr>
            <w:tcW w:type="dxa" w:w="1425"/>
            <w:vAlign w:val="center"/>
          </w:tcPr>
          <w:p>
            <w:pPr>
              <w:spacing w:after="0"/>
            </w:pPr>
            <w:r/>
            <w:r>
              <w:rPr>
                <w:b w:val="0"/>
                <w:sz w:val="17"/>
              </w:rPr>
              <w:t>28×38</w:t>
            </w:r>
          </w:p>
        </w:tc>
        <w:tc>
          <w:tcPr>
            <w:tcW w:type="dxa" w:w="1425"/>
            <w:vAlign w:val="center"/>
          </w:tcPr>
          <w:p>
            <w:pPr>
              <w:spacing w:after="0"/>
            </w:pPr>
            <w:r/>
            <w:r>
              <w:rPr>
                <w:b w:val="0"/>
                <w:sz w:val="17"/>
              </w:rPr>
              <w:t>4.16%</w:t>
            </w:r>
          </w:p>
        </w:tc>
        <w:tc>
          <w:tcPr>
            <w:tcW w:type="dxa" w:w="1425"/>
            <w:vAlign w:val="center"/>
          </w:tcPr>
          <w:p>
            <w:pPr>
              <w:spacing w:after="0"/>
            </w:pPr>
            <w:r/>
            <w:r>
              <w:rPr>
                <w:b w:val="0"/>
                <w:sz w:val="17"/>
              </w:rPr>
              <w:t>P / Col</w:t>
            </w:r>
          </w:p>
        </w:tc>
        <w:tc>
          <w:tcPr>
            <w:tcW w:type="dxa" w:w="1425"/>
            <w:vAlign w:val="center"/>
          </w:tcPr>
          <w:p>
            <w:pPr>
              <w:spacing w:after="0"/>
            </w:pPr>
            <w:r/>
            <w:r>
              <w:rPr>
                <w:b w:val="0"/>
                <w:sz w:val="17"/>
              </w:rPr>
              <w:t>インターネット企業のサーバデータ</w:t>
            </w:r>
          </w:p>
        </w:tc>
      </w:tr>
      <w:tr>
        <w:tc>
          <w:tcPr>
            <w:tcW w:type="dxa" w:w="1425"/>
            <w:vAlign w:val="center"/>
          </w:tcPr>
          <w:p>
            <w:pPr>
              <w:spacing w:after="0"/>
            </w:pPr>
            <w:r/>
            <w:r>
              <w:rPr>
                <w:b w:val="0"/>
                <w:sz w:val="17"/>
              </w:rPr>
              <w:t>SMAP</w:t>
            </w:r>
          </w:p>
        </w:tc>
        <w:tc>
          <w:tcPr>
            <w:tcW w:type="dxa" w:w="1425"/>
            <w:vAlign w:val="center"/>
          </w:tcPr>
          <w:p>
            <w:pPr>
              <w:spacing w:after="0"/>
            </w:pPr>
            <w:r/>
            <w:r>
              <w:rPr>
                <w:b w:val="0"/>
                <w:sz w:val="17"/>
              </w:rPr>
              <w:t>135,183</w:t>
            </w:r>
          </w:p>
        </w:tc>
        <w:tc>
          <w:tcPr>
            <w:tcW w:type="dxa" w:w="1425"/>
            <w:vAlign w:val="center"/>
          </w:tcPr>
          <w:p>
            <w:pPr>
              <w:spacing w:after="0"/>
            </w:pPr>
            <w:r/>
            <w:r>
              <w:rPr>
                <w:b w:val="0"/>
                <w:sz w:val="17"/>
              </w:rPr>
              <w:t>427,617</w:t>
            </w:r>
          </w:p>
        </w:tc>
        <w:tc>
          <w:tcPr>
            <w:tcW w:type="dxa" w:w="1425"/>
            <w:vAlign w:val="center"/>
          </w:tcPr>
          <w:p>
            <w:pPr>
              <w:spacing w:after="0"/>
            </w:pPr>
            <w:r/>
            <w:r>
              <w:rPr>
                <w:b w:val="0"/>
                <w:sz w:val="17"/>
              </w:rPr>
              <w:t>55×25</w:t>
            </w:r>
          </w:p>
        </w:tc>
        <w:tc>
          <w:tcPr>
            <w:tcW w:type="dxa" w:w="1425"/>
            <w:vAlign w:val="center"/>
          </w:tcPr>
          <w:p>
            <w:pPr>
              <w:spacing w:after="0"/>
            </w:pPr>
            <w:r/>
            <w:r>
              <w:rPr>
                <w:b w:val="0"/>
                <w:sz w:val="17"/>
              </w:rPr>
              <w:t>13.13%</w:t>
            </w:r>
          </w:p>
        </w:tc>
        <w:tc>
          <w:tcPr>
            <w:tcW w:type="dxa" w:w="1425"/>
            <w:vAlign w:val="center"/>
          </w:tcPr>
          <w:p>
            <w:pPr>
              <w:spacing w:after="0"/>
            </w:pPr>
            <w:r/>
            <w:r>
              <w:rPr>
                <w:b w:val="0"/>
                <w:sz w:val="17"/>
              </w:rPr>
              <w:t>P / Col</w:t>
            </w:r>
          </w:p>
        </w:tc>
        <w:tc>
          <w:tcPr>
            <w:tcW w:type="dxa" w:w="1425"/>
            <w:vAlign w:val="center"/>
          </w:tcPr>
          <w:p>
            <w:pPr>
              <w:spacing w:after="0"/>
            </w:pPr>
            <w:r/>
            <w:r>
              <w:rPr>
                <w:b w:val="0"/>
                <w:sz w:val="17"/>
              </w:rPr>
              <w:t>NASAのテレメトリデータ</w:t>
            </w:r>
          </w:p>
        </w:tc>
      </w:tr>
      <w:tr>
        <w:tc>
          <w:tcPr>
            <w:tcW w:type="dxa" w:w="1425"/>
            <w:vAlign w:val="center"/>
          </w:tcPr>
          <w:p>
            <w:pPr>
              <w:spacing w:after="0"/>
            </w:pPr>
            <w:r/>
            <w:r>
              <w:rPr>
                <w:b w:val="0"/>
                <w:sz w:val="17"/>
              </w:rPr>
              <w:t>MSL</w:t>
            </w:r>
          </w:p>
        </w:tc>
        <w:tc>
          <w:tcPr>
            <w:tcW w:type="dxa" w:w="1425"/>
            <w:vAlign w:val="center"/>
          </w:tcPr>
          <w:p>
            <w:pPr>
              <w:spacing w:after="0"/>
            </w:pPr>
            <w:r/>
            <w:r>
              <w:rPr>
                <w:b w:val="0"/>
                <w:sz w:val="17"/>
              </w:rPr>
              <w:t>58,317</w:t>
            </w:r>
          </w:p>
        </w:tc>
        <w:tc>
          <w:tcPr>
            <w:tcW w:type="dxa" w:w="1425"/>
            <w:vAlign w:val="center"/>
          </w:tcPr>
          <w:p>
            <w:pPr>
              <w:spacing w:after="0"/>
            </w:pPr>
            <w:r/>
            <w:r>
              <w:rPr>
                <w:b w:val="0"/>
                <w:sz w:val="17"/>
              </w:rPr>
              <w:t>73,729</w:t>
            </w:r>
          </w:p>
        </w:tc>
        <w:tc>
          <w:tcPr>
            <w:tcW w:type="dxa" w:w="1425"/>
            <w:vAlign w:val="center"/>
          </w:tcPr>
          <w:p>
            <w:pPr>
              <w:spacing w:after="0"/>
            </w:pPr>
            <w:r/>
            <w:r>
              <w:rPr>
                <w:b w:val="0"/>
                <w:sz w:val="17"/>
              </w:rPr>
              <w:t>27×55</w:t>
            </w:r>
          </w:p>
        </w:tc>
        <w:tc>
          <w:tcPr>
            <w:tcW w:type="dxa" w:w="1425"/>
            <w:vAlign w:val="center"/>
          </w:tcPr>
          <w:p>
            <w:pPr>
              <w:spacing w:after="0"/>
            </w:pPr>
            <w:r/>
            <w:r>
              <w:rPr>
                <w:b w:val="0"/>
                <w:sz w:val="17"/>
              </w:rPr>
              <w:t>10.72%</w:t>
            </w:r>
          </w:p>
        </w:tc>
        <w:tc>
          <w:tcPr>
            <w:tcW w:type="dxa" w:w="1425"/>
            <w:vAlign w:val="center"/>
          </w:tcPr>
          <w:p>
            <w:pPr>
              <w:spacing w:after="0"/>
            </w:pPr>
            <w:r/>
            <w:r>
              <w:rPr>
                <w:b w:val="0"/>
                <w:sz w:val="17"/>
              </w:rPr>
              <w:t>P / Col</w:t>
            </w:r>
          </w:p>
        </w:tc>
        <w:tc>
          <w:tcPr>
            <w:tcW w:type="dxa" w:w="1425"/>
            <w:vAlign w:val="center"/>
          </w:tcPr>
          <w:p>
            <w:pPr>
              <w:spacing w:after="0"/>
            </w:pPr>
            <w:r/>
            <w:r>
              <w:rPr>
                <w:b w:val="0"/>
                <w:sz w:val="17"/>
              </w:rPr>
              <w:t>NASA Mars Science Laboratoryデータ</w:t>
            </w:r>
          </w:p>
        </w:tc>
      </w:tr>
    </w:tbl>
    <w:p/>
    <w:p>
      <w:r>
        <w:t>P = Point anomaly、C = Contextual anomaly、Col = Collective anomaly。著者はSMD、SMAP、MSLについて、既存研究でbenchmark上の欠陥が指摘されている点にも注意を促している。</w:t>
      </w:r>
    </w:p>
    <w:p>
      <w:pPr>
        <w:pStyle w:val="Heading1"/>
      </w:pPr>
      <w:r>
        <w:t>3. 評価指標：F1 と AP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pPr>
              <w:spacing w:after="0"/>
            </w:pPr>
            <w:r/>
            <w:r>
              <w:rPr>
                <w:b/>
                <w:sz w:val="18"/>
              </w:rPr>
              <w:t>指標</w:t>
            </w:r>
          </w:p>
        </w:tc>
        <w:tc>
          <w:tcPr>
            <w:tcW w:type="dxa" w:w="2493"/>
            <w:shd w:fill="D9EAF7"/>
            <w:vAlign w:val="center"/>
          </w:tcPr>
          <w:p>
            <w:pPr>
              <w:spacing w:after="0"/>
            </w:pPr>
            <w:r/>
            <w:r>
              <w:rPr>
                <w:b/>
                <w:sz w:val="18"/>
              </w:rPr>
              <w:t>意味</w:t>
            </w:r>
          </w:p>
        </w:tc>
        <w:tc>
          <w:tcPr>
            <w:tcW w:type="dxa" w:w="2493"/>
            <w:shd w:fill="D9EAF7"/>
            <w:vAlign w:val="center"/>
          </w:tcPr>
          <w:p>
            <w:pPr>
              <w:spacing w:after="0"/>
            </w:pPr>
            <w:r/>
            <w:r>
              <w:rPr>
                <w:b/>
                <w:sz w:val="18"/>
              </w:rPr>
              <w:t>本研究での役割</w:t>
            </w:r>
          </w:p>
        </w:tc>
        <w:tc>
          <w:tcPr>
            <w:tcW w:type="dxa" w:w="2493"/>
            <w:shd w:fill="D9EAF7"/>
            <w:vAlign w:val="center"/>
          </w:tcPr>
          <w:p>
            <w:pPr>
              <w:spacing w:after="0"/>
            </w:pPr>
            <w:r/>
            <w:r>
              <w:rPr>
                <w:b/>
                <w:sz w:val="18"/>
              </w:rPr>
              <w:t>直感的な理解</w:t>
            </w:r>
          </w:p>
        </w:tc>
      </w:tr>
      <w:tr>
        <w:tc>
          <w:tcPr>
            <w:tcW w:type="dxa" w:w="2493"/>
            <w:vAlign w:val="center"/>
          </w:tcPr>
          <w:p>
            <w:pPr>
              <w:spacing w:after="0"/>
            </w:pPr>
            <w:r/>
            <w:r>
              <w:rPr>
                <w:b w:val="0"/>
                <w:sz w:val="17"/>
              </w:rPr>
              <w:t>Precision</w:t>
            </w:r>
          </w:p>
        </w:tc>
        <w:tc>
          <w:tcPr>
            <w:tcW w:type="dxa" w:w="2493"/>
            <w:vAlign w:val="center"/>
          </w:tcPr>
          <w:p>
            <w:pPr>
              <w:spacing w:after="0"/>
            </w:pPr>
            <w:r/>
            <w:r>
              <w:rPr>
                <w:b w:val="0"/>
                <w:sz w:val="17"/>
              </w:rPr>
              <w:t>TP/(TP+FP)</w:t>
            </w:r>
          </w:p>
        </w:tc>
        <w:tc>
          <w:tcPr>
            <w:tcW w:type="dxa" w:w="2493"/>
            <w:vAlign w:val="center"/>
          </w:tcPr>
          <w:p>
            <w:pPr>
              <w:spacing w:after="0"/>
            </w:pPr>
            <w:r/>
            <w:r>
              <w:rPr>
                <w:b w:val="0"/>
                <w:sz w:val="17"/>
              </w:rPr>
              <w:t>誤検知の少なさを評価</w:t>
            </w:r>
          </w:p>
        </w:tc>
        <w:tc>
          <w:tcPr>
            <w:tcW w:type="dxa" w:w="2493"/>
            <w:vAlign w:val="center"/>
          </w:tcPr>
          <w:p>
            <w:pPr>
              <w:spacing w:after="0"/>
            </w:pPr>
            <w:r/>
            <w:r>
              <w:rPr>
                <w:b w:val="0"/>
                <w:sz w:val="17"/>
              </w:rPr>
              <w:t>高いほど「異常と判定したもの」が正しい</w:t>
            </w:r>
          </w:p>
        </w:tc>
      </w:tr>
      <w:tr>
        <w:tc>
          <w:tcPr>
            <w:tcW w:type="dxa" w:w="2493"/>
            <w:vAlign w:val="center"/>
          </w:tcPr>
          <w:p>
            <w:pPr>
              <w:spacing w:after="0"/>
            </w:pPr>
            <w:r/>
            <w:r>
              <w:rPr>
                <w:b w:val="0"/>
                <w:sz w:val="17"/>
              </w:rPr>
              <w:t>Recall</w:t>
            </w:r>
          </w:p>
        </w:tc>
        <w:tc>
          <w:tcPr>
            <w:tcW w:type="dxa" w:w="2493"/>
            <w:vAlign w:val="center"/>
          </w:tcPr>
          <w:p>
            <w:pPr>
              <w:spacing w:after="0"/>
            </w:pPr>
            <w:r/>
            <w:r>
              <w:rPr>
                <w:b w:val="0"/>
                <w:sz w:val="17"/>
              </w:rPr>
              <w:t>TP/(TP+FN)</w:t>
            </w:r>
          </w:p>
        </w:tc>
        <w:tc>
          <w:tcPr>
            <w:tcW w:type="dxa" w:w="2493"/>
            <w:vAlign w:val="center"/>
          </w:tcPr>
          <w:p>
            <w:pPr>
              <w:spacing w:after="0"/>
            </w:pPr>
            <w:r/>
            <w:r>
              <w:rPr>
                <w:b w:val="0"/>
                <w:sz w:val="17"/>
              </w:rPr>
              <w:t>見逃しの少なさを評価</w:t>
            </w:r>
          </w:p>
        </w:tc>
        <w:tc>
          <w:tcPr>
            <w:tcW w:type="dxa" w:w="2493"/>
            <w:vAlign w:val="center"/>
          </w:tcPr>
          <w:p>
            <w:pPr>
              <w:spacing w:after="0"/>
            </w:pPr>
            <w:r/>
            <w:r>
              <w:rPr>
                <w:b w:val="0"/>
                <w:sz w:val="17"/>
              </w:rPr>
              <w:t>高いほど実際の異常を多く拾える</w:t>
            </w:r>
          </w:p>
        </w:tc>
      </w:tr>
      <w:tr>
        <w:tc>
          <w:tcPr>
            <w:tcW w:type="dxa" w:w="2493"/>
            <w:vAlign w:val="center"/>
          </w:tcPr>
          <w:p>
            <w:pPr>
              <w:spacing w:after="0"/>
            </w:pPr>
            <w:r/>
            <w:r>
              <w:rPr>
                <w:b w:val="0"/>
                <w:sz w:val="17"/>
              </w:rPr>
              <w:t>F1</w:t>
            </w:r>
          </w:p>
        </w:tc>
        <w:tc>
          <w:tcPr>
            <w:tcW w:type="dxa" w:w="2493"/>
            <w:vAlign w:val="center"/>
          </w:tcPr>
          <w:p>
            <w:pPr>
              <w:spacing w:after="0"/>
            </w:pPr>
            <w:r/>
            <w:r>
              <w:rPr>
                <w:b w:val="0"/>
                <w:sz w:val="17"/>
              </w:rPr>
              <w:t>PrecisionとRecallの調和平均</w:t>
            </w:r>
          </w:p>
        </w:tc>
        <w:tc>
          <w:tcPr>
            <w:tcW w:type="dxa" w:w="2493"/>
            <w:vAlign w:val="center"/>
          </w:tcPr>
          <w:p>
            <w:pPr>
              <w:spacing w:after="0"/>
            </w:pPr>
            <w:r/>
            <w:r>
              <w:rPr>
                <w:b w:val="0"/>
                <w:sz w:val="17"/>
              </w:rPr>
              <w:t>単一閾値での総合性能</w:t>
            </w:r>
          </w:p>
        </w:tc>
        <w:tc>
          <w:tcPr>
            <w:tcW w:type="dxa" w:w="2493"/>
            <w:vAlign w:val="center"/>
          </w:tcPr>
          <w:p>
            <w:pPr>
              <w:spacing w:after="0"/>
            </w:pPr>
            <w:r/>
            <w:r>
              <w:rPr>
                <w:b w:val="0"/>
                <w:sz w:val="17"/>
              </w:rPr>
              <w:t>誤検知と見逃しのバランス</w:t>
            </w:r>
          </w:p>
        </w:tc>
      </w:tr>
      <w:tr>
        <w:tc>
          <w:tcPr>
            <w:tcW w:type="dxa" w:w="2493"/>
            <w:vAlign w:val="center"/>
          </w:tcPr>
          <w:p>
            <w:pPr>
              <w:spacing w:after="0"/>
            </w:pPr>
            <w:r/>
            <w:r>
              <w:rPr>
                <w:b w:val="0"/>
                <w:sz w:val="17"/>
              </w:rPr>
              <w:t>AP</w:t>
            </w:r>
          </w:p>
        </w:tc>
        <w:tc>
          <w:tcPr>
            <w:tcW w:type="dxa" w:w="2493"/>
            <w:vAlign w:val="center"/>
          </w:tcPr>
          <w:p>
            <w:pPr>
              <w:spacing w:after="0"/>
            </w:pPr>
            <w:r/>
            <w:r>
              <w:rPr>
                <w:b w:val="0"/>
                <w:sz w:val="17"/>
              </w:rPr>
              <w:t>Precision–Recall曲線を閾値全体で要約</w:t>
            </w:r>
          </w:p>
        </w:tc>
        <w:tc>
          <w:tcPr>
            <w:tcW w:type="dxa" w:w="2493"/>
            <w:vAlign w:val="center"/>
          </w:tcPr>
          <w:p>
            <w:pPr>
              <w:spacing w:after="0"/>
            </w:pPr>
            <w:r/>
            <w:r>
              <w:rPr>
                <w:b w:val="0"/>
                <w:sz w:val="17"/>
              </w:rPr>
              <w:t>閾値に依存しない順位付け性能</w:t>
            </w:r>
          </w:p>
        </w:tc>
        <w:tc>
          <w:tcPr>
            <w:tcW w:type="dxa" w:w="2493"/>
            <w:vAlign w:val="center"/>
          </w:tcPr>
          <w:p>
            <w:pPr>
              <w:spacing w:after="0"/>
            </w:pPr>
            <w:r/>
            <w:r>
              <w:rPr>
                <w:b w:val="0"/>
                <w:sz w:val="17"/>
              </w:rPr>
              <w:t>異常が少ない不均衡データに適する</w:t>
            </w:r>
          </w:p>
        </w:tc>
      </w:tr>
    </w:tbl>
    <w:p/>
    <w:p>
      <w:pPr>
        <w:pStyle w:val="Heading2"/>
      </w:pPr>
      <w:r>
        <w:t>用語説明：Average Precision (AP)</w:t>
      </w:r>
    </w:p>
    <w:p>
      <w:r>
        <w:t>異常検知では正常データが圧倒的に多いため、単純なaccuracyは適切でない場合がある。APは異常クラスを重視し、異なる閾値におけるPrecisionとRecallをまとめて評価するため、異常検知に適した指標である。</w:t>
      </w:r>
    </w:p>
    <w:p>
      <w:r>
        <w:t>F1算出の公平性を確保するため、各手法のanomaly scoreを0～1に正規化し、0.001刻みで1000個の閾値を試し、その中の最大F1を報告している。</w:t>
      </w:r>
    </w:p>
    <w:p>
      <w:pPr>
        <w:pStyle w:val="Heading1"/>
      </w:pPr>
      <w:r>
        <w:t>4. 主ベンチマーク結果</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pPr>
              <w:spacing w:after="0"/>
            </w:pPr>
            <w:r/>
            <w:r>
              <w:rPr>
                <w:b/>
                <w:sz w:val="18"/>
              </w:rPr>
              <w:t>観点</w:t>
            </w:r>
          </w:p>
        </w:tc>
        <w:tc>
          <w:tcPr>
            <w:tcW w:type="dxa" w:w="3324"/>
            <w:shd w:fill="D9EAF7"/>
            <w:vAlign w:val="center"/>
          </w:tcPr>
          <w:p>
            <w:pPr>
              <w:spacing w:after="0"/>
            </w:pPr>
            <w:r/>
            <w:r>
              <w:rPr>
                <w:b/>
                <w:sz w:val="18"/>
              </w:rPr>
              <w:t>結果</w:t>
            </w:r>
          </w:p>
        </w:tc>
        <w:tc>
          <w:tcPr>
            <w:tcW w:type="dxa" w:w="3324"/>
            <w:shd w:fill="D9EAF7"/>
            <w:vAlign w:val="center"/>
          </w:tcPr>
          <w:p>
            <w:pPr>
              <w:spacing w:after="0"/>
            </w:pPr>
            <w:r/>
            <w:r>
              <w:rPr>
                <w:b/>
                <w:sz w:val="18"/>
              </w:rPr>
              <w:t>解釈</w:t>
            </w:r>
          </w:p>
        </w:tc>
      </w:tr>
      <w:tr>
        <w:tc>
          <w:tcPr>
            <w:tcW w:type="dxa" w:w="3324"/>
            <w:vAlign w:val="center"/>
          </w:tcPr>
          <w:p>
            <w:pPr>
              <w:spacing w:after="0"/>
            </w:pPr>
            <w:r/>
            <w:r>
              <w:rPr>
                <w:b w:val="0"/>
                <w:sz w:val="17"/>
              </w:rPr>
              <w:t>F1平均</w:t>
            </w:r>
          </w:p>
        </w:tc>
        <w:tc>
          <w:tcPr>
            <w:tcW w:type="dxa" w:w="3324"/>
            <w:vAlign w:val="center"/>
          </w:tcPr>
          <w:p>
            <w:pPr>
              <w:spacing w:after="0"/>
            </w:pPr>
            <w:r/>
            <w:r>
              <w:rPr>
                <w:b w:val="0"/>
                <w:sz w:val="17"/>
              </w:rPr>
              <w:t>5データセット中4つでDNNが平均最高。SMAPではMLが最高</w:t>
            </w:r>
          </w:p>
        </w:tc>
        <w:tc>
          <w:tcPr>
            <w:tcW w:type="dxa" w:w="3324"/>
            <w:vAlign w:val="center"/>
          </w:tcPr>
          <w:p>
            <w:pPr>
              <w:spacing w:after="0"/>
            </w:pPr>
            <w:r/>
            <w:r>
              <w:rPr>
                <w:b w:val="0"/>
                <w:sz w:val="17"/>
              </w:rPr>
              <w:t>DNNが強そうに見えるが、平均値だけでは不十分</w:t>
            </w:r>
          </w:p>
        </w:tc>
      </w:tr>
      <w:tr>
        <w:tc>
          <w:tcPr>
            <w:tcW w:type="dxa" w:w="3324"/>
            <w:vAlign w:val="center"/>
          </w:tcPr>
          <w:p>
            <w:pPr>
              <w:spacing w:after="0"/>
            </w:pPr>
            <w:r/>
            <w:r>
              <w:rPr>
                <w:b w:val="0"/>
                <w:sz w:val="17"/>
              </w:rPr>
              <w:t>AP平均</w:t>
            </w:r>
          </w:p>
        </w:tc>
        <w:tc>
          <w:tcPr>
            <w:tcW w:type="dxa" w:w="3324"/>
            <w:vAlign w:val="center"/>
          </w:tcPr>
          <w:p>
            <w:pPr>
              <w:spacing w:after="0"/>
            </w:pPr>
            <w:r/>
            <w:r>
              <w:rPr>
                <w:b w:val="0"/>
                <w:sz w:val="17"/>
              </w:rPr>
              <w:t>MSLでは従来手法が最高。その他でも多くの場合DNNに次ぐ</w:t>
            </w:r>
          </w:p>
        </w:tc>
        <w:tc>
          <w:tcPr>
            <w:tcW w:type="dxa" w:w="3324"/>
            <w:vAlign w:val="center"/>
          </w:tcPr>
          <w:p>
            <w:pPr>
              <w:spacing w:after="0"/>
            </w:pPr>
            <w:r/>
            <w:r>
              <w:rPr>
                <w:b w:val="0"/>
                <w:sz w:val="17"/>
              </w:rPr>
              <w:t>従来手法も十分競争力がある</w:t>
            </w:r>
          </w:p>
        </w:tc>
      </w:tr>
      <w:tr>
        <w:tc>
          <w:tcPr>
            <w:tcW w:type="dxa" w:w="3324"/>
            <w:vAlign w:val="center"/>
          </w:tcPr>
          <w:p>
            <w:pPr>
              <w:spacing w:after="0"/>
            </w:pPr>
            <w:r/>
            <w:r>
              <w:rPr>
                <w:b w:val="0"/>
                <w:sz w:val="17"/>
              </w:rPr>
              <w:t>箱ひげ図</w:t>
            </w:r>
          </w:p>
        </w:tc>
        <w:tc>
          <w:tcPr>
            <w:tcW w:type="dxa" w:w="3324"/>
            <w:vAlign w:val="center"/>
          </w:tcPr>
          <w:p>
            <w:pPr>
              <w:spacing w:after="0"/>
            </w:pPr>
            <w:r/>
            <w:r>
              <w:rPr>
                <w:b w:val="0"/>
                <w:sz w:val="17"/>
              </w:rPr>
              <w:t>三カテゴリ間の差は全体として小さい</w:t>
            </w:r>
          </w:p>
        </w:tc>
        <w:tc>
          <w:tcPr>
            <w:tcW w:type="dxa" w:w="3324"/>
            <w:vAlign w:val="center"/>
          </w:tcPr>
          <w:p>
            <w:pPr>
              <w:spacing w:after="0"/>
            </w:pPr>
            <w:r/>
            <w:r>
              <w:rPr>
                <w:b w:val="0"/>
                <w:sz w:val="17"/>
              </w:rPr>
              <w:t>順位差が統計的有意差とは限らない</w:t>
            </w:r>
          </w:p>
        </w:tc>
      </w:tr>
    </w:tbl>
    <w:p/>
    <w:p>
      <w:pPr>
        <w:pStyle w:val="Heading1"/>
      </w:pPr>
      <w:r>
        <w:t>5. 統計検定：カテゴリ間の差は有意か</w:t>
      </w:r>
    </w:p>
    <w:p>
      <w:r>
        <w:t>Kruskal–Wallis検定を用いて、従来手法・ML・DNNの3群の中央値が等しいという帰無仮説を検定した。これは正規分布を仮定しないノンパラメトリック検定であり、3群以上の比較に利用できる。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pPr>
              <w:spacing w:after="0"/>
            </w:pPr>
            <w:r/>
            <w:r>
              <w:rPr>
                <w:b/>
                <w:sz w:val="18"/>
              </w:rPr>
              <w:t>指標</w:t>
            </w:r>
          </w:p>
        </w:tc>
        <w:tc>
          <w:tcPr>
            <w:tcW w:type="dxa" w:w="2493"/>
            <w:shd w:fill="D9EAF7"/>
            <w:vAlign w:val="center"/>
          </w:tcPr>
          <w:p>
            <w:pPr>
              <w:spacing w:after="0"/>
            </w:pPr>
            <w:r/>
            <w:r>
              <w:rPr>
                <w:b/>
                <w:sz w:val="18"/>
              </w:rPr>
              <w:t>有意差あり</w:t>
            </w:r>
          </w:p>
        </w:tc>
        <w:tc>
          <w:tcPr>
            <w:tcW w:type="dxa" w:w="2493"/>
            <w:shd w:fill="D9EAF7"/>
            <w:vAlign w:val="center"/>
          </w:tcPr>
          <w:p>
            <w:pPr>
              <w:spacing w:after="0"/>
            </w:pPr>
            <w:r/>
            <w:r>
              <w:rPr>
                <w:b/>
                <w:sz w:val="18"/>
              </w:rPr>
              <w:t>有意差なし</w:t>
            </w:r>
          </w:p>
        </w:tc>
        <w:tc>
          <w:tcPr>
            <w:tcW w:type="dxa" w:w="2493"/>
            <w:shd w:fill="D9EAF7"/>
            <w:vAlign w:val="center"/>
          </w:tcPr>
          <w:p>
            <w:pPr>
              <w:spacing w:after="0"/>
            </w:pPr>
            <w:r/>
            <w:r>
              <w:rPr>
                <w:b/>
                <w:sz w:val="18"/>
              </w:rPr>
              <w:t>要点</w:t>
            </w:r>
          </w:p>
        </w:tc>
      </w:tr>
      <w:tr>
        <w:tc>
          <w:tcPr>
            <w:tcW w:type="dxa" w:w="2493"/>
            <w:vAlign w:val="center"/>
          </w:tcPr>
          <w:p>
            <w:pPr>
              <w:spacing w:after="0"/>
            </w:pPr>
            <w:r/>
            <w:r>
              <w:rPr>
                <w:b w:val="0"/>
                <w:sz w:val="17"/>
              </w:rPr>
              <w:t>F1</w:t>
            </w:r>
          </w:p>
        </w:tc>
        <w:tc>
          <w:tcPr>
            <w:tcW w:type="dxa" w:w="2493"/>
            <w:vAlign w:val="center"/>
          </w:tcPr>
          <w:p>
            <w:pPr>
              <w:spacing w:after="0"/>
            </w:pPr>
            <w:r/>
            <w:r>
              <w:rPr>
                <w:b w:val="0"/>
                <w:sz w:val="17"/>
              </w:rPr>
              <w:t>SMDのみ（p&lt;0.05）</w:t>
            </w:r>
          </w:p>
        </w:tc>
        <w:tc>
          <w:tcPr>
            <w:tcW w:type="dxa" w:w="2493"/>
            <w:vAlign w:val="center"/>
          </w:tcPr>
          <w:p>
            <w:pPr>
              <w:spacing w:after="0"/>
            </w:pPr>
            <w:r/>
            <w:r>
              <w:rPr>
                <w:b w:val="0"/>
                <w:sz w:val="17"/>
              </w:rPr>
              <w:t>SWaT、WADI、SMAP、MSL</w:t>
            </w:r>
          </w:p>
        </w:tc>
        <w:tc>
          <w:tcPr>
            <w:tcW w:type="dxa" w:w="2493"/>
            <w:vAlign w:val="center"/>
          </w:tcPr>
          <w:p>
            <w:pPr>
              <w:spacing w:after="0"/>
            </w:pPr>
            <w:r/>
            <w:r>
              <w:rPr>
                <w:b w:val="0"/>
                <w:sz w:val="17"/>
              </w:rPr>
              <w:t>4/5ではカテゴリ間の有意差を確認できない</w:t>
            </w:r>
          </w:p>
        </w:tc>
      </w:tr>
      <w:tr>
        <w:tc>
          <w:tcPr>
            <w:tcW w:type="dxa" w:w="2493"/>
            <w:vAlign w:val="center"/>
          </w:tcPr>
          <w:p>
            <w:pPr>
              <w:spacing w:after="0"/>
            </w:pPr>
            <w:r/>
            <w:r>
              <w:rPr>
                <w:b w:val="0"/>
                <w:sz w:val="17"/>
              </w:rPr>
              <w:t>AP</w:t>
            </w:r>
          </w:p>
        </w:tc>
        <w:tc>
          <w:tcPr>
            <w:tcW w:type="dxa" w:w="2493"/>
            <w:vAlign w:val="center"/>
          </w:tcPr>
          <w:p>
            <w:pPr>
              <w:spacing w:after="0"/>
            </w:pPr>
            <w:r/>
            <w:r>
              <w:rPr>
                <w:b w:val="0"/>
                <w:sz w:val="17"/>
              </w:rPr>
              <w:t>SWaT、WADI（p&lt;0.05）</w:t>
            </w:r>
          </w:p>
        </w:tc>
        <w:tc>
          <w:tcPr>
            <w:tcW w:type="dxa" w:w="2493"/>
            <w:vAlign w:val="center"/>
          </w:tcPr>
          <w:p>
            <w:pPr>
              <w:spacing w:after="0"/>
            </w:pPr>
            <w:r/>
            <w:r>
              <w:rPr>
                <w:b w:val="0"/>
                <w:sz w:val="17"/>
              </w:rPr>
              <w:t>SMD、SMAP、MSL</w:t>
            </w:r>
          </w:p>
        </w:tc>
        <w:tc>
          <w:tcPr>
            <w:tcW w:type="dxa" w:w="2493"/>
            <w:vAlign w:val="center"/>
          </w:tcPr>
          <w:p>
            <w:pPr>
              <w:spacing w:after="0"/>
            </w:pPr>
            <w:r/>
            <w:r>
              <w:rPr>
                <w:b w:val="0"/>
                <w:sz w:val="17"/>
              </w:rPr>
              <w:t>3/5では有意差を確認できない</w:t>
            </w:r>
          </w:p>
        </w:tc>
      </w:tr>
    </w:tbl>
    <w:p/>
    <w:p>
      <w:pPr>
        <w:pStyle w:val="Heading2"/>
      </w:pPr>
      <w:r>
        <w:t>用語説明：Dunn検定</w:t>
      </w:r>
    </w:p>
    <w:p>
      <w:r>
        <w:t>Kruskal–Wallis検定で差があると分かっても、どの2群が異なるかは分からない。そのため著者はSWaTとWADIのAPについてDunnの事後検定を実施した。WADIではDNNと従来手法の差が有意（p&lt;0.05）。SWaTでは弱い証拠にとどまり、その他のペアでは有意差は確認されなかった。</w:t>
      </w:r>
    </w:p>
    <w:p>
      <w:pPr>
        <w:pStyle w:val="Heading1"/>
      </w:pPr>
      <w:r>
        <w:t>6. WADI詳細分析：DNNの優位性はどこから来るか</w:t>
      </w:r>
    </w:p>
    <w:p>
      <w:r>
        <w:t>WADIのテストデータには14個の異常がある。Figure 3では各カテゴリのFalse Negative（FN：実際には異常だが正常と判定したもの）を時系列上で比較している。</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pPr>
              <w:spacing w:after="0"/>
            </w:pPr>
            <w:r/>
            <w:r>
              <w:rPr>
                <w:b/>
                <w:sz w:val="18"/>
              </w:rPr>
              <w:t>カテゴリ</w:t>
            </w:r>
          </w:p>
        </w:tc>
        <w:tc>
          <w:tcPr>
            <w:tcW w:type="dxa" w:w="3324"/>
            <w:shd w:fill="D9EAF7"/>
            <w:vAlign w:val="center"/>
          </w:tcPr>
          <w:p>
            <w:pPr>
              <w:spacing w:after="0"/>
            </w:pPr>
            <w:r/>
            <w:r>
              <w:rPr>
                <w:b/>
                <w:sz w:val="18"/>
              </w:rPr>
              <w:t>見逃した異常数</w:t>
            </w:r>
          </w:p>
        </w:tc>
        <w:tc>
          <w:tcPr>
            <w:tcW w:type="dxa" w:w="3324"/>
            <w:shd w:fill="D9EAF7"/>
            <w:vAlign w:val="center"/>
          </w:tcPr>
          <w:p>
            <w:pPr>
              <w:spacing w:after="0"/>
            </w:pPr>
            <w:r/>
            <w:r>
              <w:rPr>
                <w:b/>
                <w:sz w:val="18"/>
              </w:rPr>
              <w:t>意味</w:t>
            </w:r>
          </w:p>
        </w:tc>
      </w:tr>
      <w:tr>
        <w:tc>
          <w:tcPr>
            <w:tcW w:type="dxa" w:w="3324"/>
            <w:vAlign w:val="center"/>
          </w:tcPr>
          <w:p>
            <w:pPr>
              <w:spacing w:after="0"/>
            </w:pPr>
            <w:r/>
            <w:r>
              <w:rPr>
                <w:b w:val="0"/>
                <w:sz w:val="17"/>
              </w:rPr>
              <w:t>DNN</w:t>
            </w:r>
          </w:p>
        </w:tc>
        <w:tc>
          <w:tcPr>
            <w:tcW w:type="dxa" w:w="3324"/>
            <w:vAlign w:val="center"/>
          </w:tcPr>
          <w:p>
            <w:pPr>
              <w:spacing w:after="0"/>
            </w:pPr>
            <w:r/>
            <w:r>
              <w:rPr>
                <w:b w:val="0"/>
                <w:sz w:val="17"/>
              </w:rPr>
              <w:t>4</w:t>
            </w:r>
          </w:p>
        </w:tc>
        <w:tc>
          <w:tcPr>
            <w:tcW w:type="dxa" w:w="3324"/>
            <w:vAlign w:val="center"/>
          </w:tcPr>
          <w:p>
            <w:pPr>
              <w:spacing w:after="0"/>
            </w:pPr>
            <w:r/>
            <w:r>
              <w:rPr>
                <w:b w:val="0"/>
                <w:sz w:val="17"/>
              </w:rPr>
              <w:t>3カテゴリの中でより多くの異常を検知</w:t>
            </w:r>
          </w:p>
        </w:tc>
      </w:tr>
      <w:tr>
        <w:tc>
          <w:tcPr>
            <w:tcW w:type="dxa" w:w="3324"/>
            <w:vAlign w:val="center"/>
          </w:tcPr>
          <w:p>
            <w:pPr>
              <w:spacing w:after="0"/>
            </w:pPr>
            <w:r/>
            <w:r>
              <w:rPr>
                <w:b w:val="0"/>
                <w:sz w:val="17"/>
              </w:rPr>
              <w:t>従来手法</w:t>
            </w:r>
          </w:p>
        </w:tc>
        <w:tc>
          <w:tcPr>
            <w:tcW w:type="dxa" w:w="3324"/>
            <w:vAlign w:val="center"/>
          </w:tcPr>
          <w:p>
            <w:pPr>
              <w:spacing w:after="0"/>
            </w:pPr>
            <w:r/>
            <w:r>
              <w:rPr>
                <w:b w:val="0"/>
                <w:sz w:val="17"/>
              </w:rPr>
              <w:t>7</w:t>
            </w:r>
          </w:p>
        </w:tc>
        <w:tc>
          <w:tcPr>
            <w:tcW w:type="dxa" w:w="3324"/>
            <w:vAlign w:val="center"/>
          </w:tcPr>
          <w:p>
            <w:pPr>
              <w:spacing w:after="0"/>
            </w:pPr>
            <w:r/>
            <w:r>
              <w:rPr>
                <w:b w:val="0"/>
                <w:sz w:val="17"/>
              </w:rPr>
              <w:t>DNNより3個多く見逃す</w:t>
            </w:r>
          </w:p>
        </w:tc>
      </w:tr>
      <w:tr>
        <w:tc>
          <w:tcPr>
            <w:tcW w:type="dxa" w:w="3324"/>
            <w:vAlign w:val="center"/>
          </w:tcPr>
          <w:p>
            <w:pPr>
              <w:spacing w:after="0"/>
            </w:pPr>
            <w:r/>
            <w:r>
              <w:rPr>
                <w:b w:val="0"/>
                <w:sz w:val="17"/>
              </w:rPr>
              <w:t>ML</w:t>
            </w:r>
          </w:p>
        </w:tc>
        <w:tc>
          <w:tcPr>
            <w:tcW w:type="dxa" w:w="3324"/>
            <w:vAlign w:val="center"/>
          </w:tcPr>
          <w:p>
            <w:pPr>
              <w:spacing w:after="0"/>
            </w:pPr>
            <w:r/>
            <w:r>
              <w:rPr>
                <w:b w:val="0"/>
                <w:sz w:val="17"/>
              </w:rPr>
              <w:t>7</w:t>
            </w:r>
          </w:p>
        </w:tc>
        <w:tc>
          <w:tcPr>
            <w:tcW w:type="dxa" w:w="3324"/>
            <w:vAlign w:val="center"/>
          </w:tcPr>
          <w:p>
            <w:pPr>
              <w:spacing w:after="0"/>
            </w:pPr>
            <w:r/>
            <w:r>
              <w:rPr>
                <w:b w:val="0"/>
                <w:sz w:val="17"/>
              </w:rPr>
              <w:t>従来手法と同程度の見逃し</w:t>
            </w:r>
          </w:p>
        </w:tc>
      </w:tr>
    </w:tbl>
    <w:p/>
    <w:p>
      <w:r>
        <w:t>DNNが検知し、従来手法が検知できなかった3個の異常が、WADIにおける性能差をほぼ説明している。これらを詳しく見ると、いずれもContextual anomaly（文脈的異常）であった。</w:t>
      </w:r>
    </w:p>
    <w:p>
      <w:pPr>
        <w:pStyle w:val="Heading2"/>
      </w:pPr>
      <w:r>
        <w:t>用語説明：Contextual anomaly（文脈的異常）</w:t>
      </w:r>
    </w:p>
    <w:p>
      <w:r>
        <w:t>各変数を単独で見れば正常範囲にあるが、時刻・状態・他変数との関係を考慮すると不自然な異常である。例えば「30℃」は夏なら正常でも冬なら異常となり得る。多変量設備データでは、センサ値そのものではなく、変数間の論理関係やタイミングの破綻として現れる。</w:t>
      </w:r>
    </w:p>
    <w:p>
      <w:r>
        <w:t>Figure 4の例では、電動弁1_MV_001が2.0に切り替わりタンクへの給水が始まるが、液位1_LT_001は本来の切替閾値40まで低下していない。各変数単独では異常とは言いにくく、「液位と弁動作の関係」が異常である。DNNはこのような複雑な多変量依存関係を学習できる可能性がある。</w:t>
      </w:r>
    </w:p>
    <w:p>
      <w:pPr>
        <w:pStyle w:val="Heading1"/>
      </w:pPr>
      <w:r>
        <w:t>7. 学習データ量の影響</w:t>
      </w:r>
    </w:p>
    <w:p>
      <w:r>
        <w:t>SWaTとWADIについて、テスト期間に近い最新の学習データだけを残し、元の学習データの10%、25%、50%、75%で各モデルを再学習し、APを比較した。</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pPr>
              <w:spacing w:after="0"/>
            </w:pPr>
            <w:r/>
            <w:r>
              <w:rPr>
                <w:b/>
                <w:sz w:val="18"/>
              </w:rPr>
              <w:t>学習データ量</w:t>
            </w:r>
          </w:p>
        </w:tc>
        <w:tc>
          <w:tcPr>
            <w:tcW w:type="dxa" w:w="3324"/>
            <w:shd w:fill="D9EAF7"/>
            <w:vAlign w:val="center"/>
          </w:tcPr>
          <w:p>
            <w:pPr>
              <w:spacing w:after="0"/>
            </w:pPr>
            <w:r/>
            <w:r>
              <w:rPr>
                <w:b/>
                <w:sz w:val="18"/>
              </w:rPr>
              <w:t>観察結果</w:t>
            </w:r>
          </w:p>
        </w:tc>
        <w:tc>
          <w:tcPr>
            <w:tcW w:type="dxa" w:w="3324"/>
            <w:shd w:fill="D9EAF7"/>
            <w:vAlign w:val="center"/>
          </w:tcPr>
          <w:p>
            <w:pPr>
              <w:spacing w:after="0"/>
            </w:pPr>
            <w:r/>
            <w:r>
              <w:rPr>
                <w:b/>
                <w:sz w:val="18"/>
              </w:rPr>
              <w:t>解釈</w:t>
            </w:r>
          </w:p>
        </w:tc>
      </w:tr>
      <w:tr>
        <w:tc>
          <w:tcPr>
            <w:tcW w:type="dxa" w:w="3324"/>
            <w:vAlign w:val="center"/>
          </w:tcPr>
          <w:p>
            <w:pPr>
              <w:spacing w:after="0"/>
            </w:pPr>
            <w:r/>
            <w:r>
              <w:rPr>
                <w:b w:val="0"/>
                <w:sz w:val="17"/>
              </w:rPr>
              <w:t>10～25%</w:t>
            </w:r>
          </w:p>
        </w:tc>
        <w:tc>
          <w:tcPr>
            <w:tcW w:type="dxa" w:w="3324"/>
            <w:vAlign w:val="center"/>
          </w:tcPr>
          <w:p>
            <w:pPr>
              <w:spacing w:after="0"/>
            </w:pPr>
            <w:r/>
            <w:r>
              <w:rPr>
                <w:b w:val="0"/>
                <w:sz w:val="17"/>
              </w:rPr>
              <w:t>従来手法が全体として優位</w:t>
            </w:r>
          </w:p>
        </w:tc>
        <w:tc>
          <w:tcPr>
            <w:tcW w:type="dxa" w:w="3324"/>
            <w:vAlign w:val="center"/>
          </w:tcPr>
          <w:p>
            <w:pPr>
              <w:spacing w:after="0"/>
            </w:pPr>
            <w:r/>
            <w:r>
              <w:rPr>
                <w:b w:val="0"/>
                <w:sz w:val="17"/>
              </w:rPr>
              <w:t>小規模データでは複雑モデルの学習が不安定</w:t>
            </w:r>
          </w:p>
        </w:tc>
      </w:tr>
      <w:tr>
        <w:tc>
          <w:tcPr>
            <w:tcW w:type="dxa" w:w="3324"/>
            <w:vAlign w:val="center"/>
          </w:tcPr>
          <w:p>
            <w:pPr>
              <w:spacing w:after="0"/>
            </w:pPr>
            <w:r/>
            <w:r>
              <w:rPr>
                <w:b w:val="0"/>
                <w:sz w:val="17"/>
              </w:rPr>
              <w:t>50%以下（SWaT）</w:t>
            </w:r>
          </w:p>
        </w:tc>
        <w:tc>
          <w:tcPr>
            <w:tcW w:type="dxa" w:w="3324"/>
            <w:vAlign w:val="center"/>
          </w:tcPr>
          <w:p>
            <w:pPr>
              <w:spacing w:after="0"/>
            </w:pPr>
            <w:r/>
            <w:r>
              <w:rPr>
                <w:b w:val="0"/>
                <w:sz w:val="17"/>
              </w:rPr>
              <w:t>MP、PCA、ICAが全ML/DNNを上回る。50%でOC-SVMが同程度</w:t>
            </w:r>
          </w:p>
        </w:tc>
        <w:tc>
          <w:tcPr>
            <w:tcW w:type="dxa" w:w="3324"/>
            <w:vAlign w:val="center"/>
          </w:tcPr>
          <w:p>
            <w:pPr>
              <w:spacing w:after="0"/>
            </w:pPr>
            <w:r/>
            <w:r>
              <w:rPr>
                <w:b w:val="0"/>
                <w:sz w:val="17"/>
              </w:rPr>
              <w:t>従来手法は少量データで強い</w:t>
            </w:r>
          </w:p>
        </w:tc>
      </w:tr>
      <w:tr>
        <w:tc>
          <w:tcPr>
            <w:tcW w:type="dxa" w:w="3324"/>
            <w:vAlign w:val="center"/>
          </w:tcPr>
          <w:p>
            <w:pPr>
              <w:spacing w:after="0"/>
            </w:pPr>
            <w:r/>
            <w:r>
              <w:rPr>
                <w:b w:val="0"/>
                <w:sz w:val="17"/>
              </w:rPr>
              <w:t>&gt;50%</w:t>
            </w:r>
          </w:p>
        </w:tc>
        <w:tc>
          <w:tcPr>
            <w:tcW w:type="dxa" w:w="3324"/>
            <w:vAlign w:val="center"/>
          </w:tcPr>
          <w:p>
            <w:pPr>
              <w:spacing w:after="0"/>
            </w:pPr>
            <w:r/>
            <w:r>
              <w:rPr>
                <w:b w:val="0"/>
                <w:sz w:val="17"/>
              </w:rPr>
              <w:t>DNNが従来手法を上回り始める傾向</w:t>
            </w:r>
          </w:p>
        </w:tc>
        <w:tc>
          <w:tcPr>
            <w:tcW w:type="dxa" w:w="3324"/>
            <w:vAlign w:val="center"/>
          </w:tcPr>
          <w:p>
            <w:pPr>
              <w:spacing w:after="0"/>
            </w:pPr>
            <w:r/>
            <w:r>
              <w:rPr>
                <w:b w:val="0"/>
                <w:sz w:val="17"/>
              </w:rPr>
              <w:t>DNNの優位性には十分な学習データが必要</w:t>
            </w:r>
          </w:p>
        </w:tc>
      </w:tr>
      <w:tr>
        <w:tc>
          <w:tcPr>
            <w:tcW w:type="dxa" w:w="3324"/>
            <w:vAlign w:val="center"/>
          </w:tcPr>
          <w:p>
            <w:pPr>
              <w:spacing w:after="0"/>
            </w:pPr>
            <w:r/>
            <w:r>
              <w:rPr>
                <w:b w:val="0"/>
                <w:sz w:val="17"/>
              </w:rPr>
              <w:t>従来手法</w:t>
            </w:r>
          </w:p>
        </w:tc>
        <w:tc>
          <w:tcPr>
            <w:tcW w:type="dxa" w:w="3324"/>
            <w:vAlign w:val="center"/>
          </w:tcPr>
          <w:p>
            <w:pPr>
              <w:spacing w:after="0"/>
            </w:pPr>
            <w:r/>
            <w:r>
              <w:rPr>
                <w:b w:val="0"/>
                <w:sz w:val="17"/>
              </w:rPr>
              <w:t>データ量を変えても比較的安定</w:t>
            </w:r>
          </w:p>
        </w:tc>
        <w:tc>
          <w:tcPr>
            <w:tcW w:type="dxa" w:w="3324"/>
            <w:vAlign w:val="center"/>
          </w:tcPr>
          <w:p>
            <w:pPr>
              <w:spacing w:after="0"/>
            </w:pPr>
            <w:r/>
            <w:r>
              <w:rPr>
                <w:b w:val="0"/>
                <w:sz w:val="17"/>
              </w:rPr>
              <w:t>学習量への依存が小さい</w:t>
            </w:r>
          </w:p>
        </w:tc>
      </w:tr>
      <w:tr>
        <w:tc>
          <w:tcPr>
            <w:tcW w:type="dxa" w:w="3324"/>
            <w:vAlign w:val="center"/>
          </w:tcPr>
          <w:p>
            <w:pPr>
              <w:spacing w:after="0"/>
            </w:pPr>
            <w:r/>
            <w:r>
              <w:rPr>
                <w:b w:val="0"/>
                <w:sz w:val="17"/>
              </w:rPr>
              <w:t>ML/DNN</w:t>
            </w:r>
          </w:p>
        </w:tc>
        <w:tc>
          <w:tcPr>
            <w:tcW w:type="dxa" w:w="3324"/>
            <w:vAlign w:val="center"/>
          </w:tcPr>
          <w:p>
            <w:pPr>
              <w:spacing w:after="0"/>
            </w:pPr>
            <w:r/>
            <w:r>
              <w:rPr>
                <w:b w:val="0"/>
                <w:sz w:val="17"/>
              </w:rPr>
              <w:t>データ量増加に伴い概ね改善</w:t>
            </w:r>
          </w:p>
        </w:tc>
        <w:tc>
          <w:tcPr>
            <w:tcW w:type="dxa" w:w="3324"/>
            <w:vAlign w:val="center"/>
          </w:tcPr>
          <w:p>
            <w:pPr>
              <w:spacing w:after="0"/>
            </w:pPr>
            <w:r/>
            <w:r>
              <w:rPr>
                <w:b w:val="0"/>
                <w:sz w:val="17"/>
              </w:rPr>
              <w:t>複雑パターン学習にはデータが必要</w:t>
            </w:r>
          </w:p>
        </w:tc>
      </w:tr>
    </w:tbl>
    <w:p/>
    <w:p>
      <w:r>
        <w:t>例外として、WADIのIsolation Forestは50%の学習データでわずかに良い結果となった。著者は、データ量が増えると異常点のisolationが複雑になる可能性を理由として挙げている。</w:t>
      </w:r>
    </w:p>
    <w:p>
      <w:pPr>
        <w:pStyle w:val="Heading1"/>
      </w:pPr>
      <w:r>
        <w:t>8. 実務的な選択指針</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pPr>
              <w:spacing w:after="0"/>
            </w:pPr>
            <w:r/>
            <w:r>
              <w:rPr>
                <w:b/>
                <w:sz w:val="18"/>
              </w:rPr>
              <w:t>条件</w:t>
            </w:r>
          </w:p>
        </w:tc>
        <w:tc>
          <w:tcPr>
            <w:tcW w:type="dxa" w:w="3324"/>
            <w:shd w:fill="D9EAF7"/>
            <w:vAlign w:val="center"/>
          </w:tcPr>
          <w:p>
            <w:pPr>
              <w:spacing w:after="0"/>
            </w:pPr>
            <w:r/>
            <w:r>
              <w:rPr>
                <w:b/>
                <w:sz w:val="18"/>
              </w:rPr>
              <w:t>優先候補</w:t>
            </w:r>
          </w:p>
        </w:tc>
        <w:tc>
          <w:tcPr>
            <w:tcW w:type="dxa" w:w="3324"/>
            <w:shd w:fill="D9EAF7"/>
            <w:vAlign w:val="center"/>
          </w:tcPr>
          <w:p>
            <w:pPr>
              <w:spacing w:after="0"/>
            </w:pPr>
            <w:r/>
            <w:r>
              <w:rPr>
                <w:b/>
                <w:sz w:val="18"/>
              </w:rPr>
              <w:t>理由</w:t>
            </w:r>
          </w:p>
        </w:tc>
      </w:tr>
      <w:tr>
        <w:tc>
          <w:tcPr>
            <w:tcW w:type="dxa" w:w="3324"/>
            <w:vAlign w:val="center"/>
          </w:tcPr>
          <w:p>
            <w:pPr>
              <w:spacing w:after="0"/>
            </w:pPr>
            <w:r/>
            <w:r>
              <w:rPr>
                <w:b w:val="0"/>
                <w:sz w:val="17"/>
              </w:rPr>
              <w:t>学習データが少ない</w:t>
            </w:r>
          </w:p>
        </w:tc>
        <w:tc>
          <w:tcPr>
            <w:tcW w:type="dxa" w:w="3324"/>
            <w:vAlign w:val="center"/>
          </w:tcPr>
          <w:p>
            <w:pPr>
              <w:spacing w:after="0"/>
            </w:pPr>
            <w:r/>
            <w:r>
              <w:rPr>
                <w:b w:val="0"/>
                <w:sz w:val="17"/>
              </w:rPr>
              <w:t>従来手法</w:t>
            </w:r>
          </w:p>
        </w:tc>
        <w:tc>
          <w:tcPr>
            <w:tcW w:type="dxa" w:w="3324"/>
            <w:vAlign w:val="center"/>
          </w:tcPr>
          <w:p>
            <w:pPr>
              <w:spacing w:after="0"/>
            </w:pPr>
            <w:r/>
            <w:r>
              <w:rPr>
                <w:b w:val="0"/>
                <w:sz w:val="17"/>
              </w:rPr>
              <w:t>安定し、ML/DNNを上回る場合がある</w:t>
            </w:r>
          </w:p>
        </w:tc>
      </w:tr>
      <w:tr>
        <w:tc>
          <w:tcPr>
            <w:tcW w:type="dxa" w:w="3324"/>
            <w:vAlign w:val="center"/>
          </w:tcPr>
          <w:p>
            <w:pPr>
              <w:spacing w:after="0"/>
            </w:pPr>
            <w:r/>
            <w:r>
              <w:rPr>
                <w:b w:val="0"/>
                <w:sz w:val="17"/>
              </w:rPr>
              <w:t>文脈的異常が重要＋データ十分</w:t>
            </w:r>
          </w:p>
        </w:tc>
        <w:tc>
          <w:tcPr>
            <w:tcW w:type="dxa" w:w="3324"/>
            <w:vAlign w:val="center"/>
          </w:tcPr>
          <w:p>
            <w:pPr>
              <w:spacing w:after="0"/>
            </w:pPr>
            <w:r/>
            <w:r>
              <w:rPr>
                <w:b w:val="0"/>
                <w:sz w:val="17"/>
              </w:rPr>
              <w:t>DNN</w:t>
            </w:r>
          </w:p>
        </w:tc>
        <w:tc>
          <w:tcPr>
            <w:tcW w:type="dxa" w:w="3324"/>
            <w:vAlign w:val="center"/>
          </w:tcPr>
          <w:p>
            <w:pPr>
              <w:spacing w:after="0"/>
            </w:pPr>
            <w:r/>
            <w:r>
              <w:rPr>
                <w:b w:val="0"/>
                <w:sz w:val="17"/>
              </w:rPr>
              <w:t>WADIで優位性が確認された</w:t>
            </w:r>
          </w:p>
        </w:tc>
      </w:tr>
      <w:tr>
        <w:tc>
          <w:tcPr>
            <w:tcW w:type="dxa" w:w="3324"/>
            <w:vAlign w:val="center"/>
          </w:tcPr>
          <w:p>
            <w:pPr>
              <w:spacing w:after="0"/>
            </w:pPr>
            <w:r/>
            <w:r>
              <w:rPr>
                <w:b w:val="0"/>
                <w:sz w:val="17"/>
              </w:rPr>
              <w:t>大規模データ</w:t>
            </w:r>
          </w:p>
        </w:tc>
        <w:tc>
          <w:tcPr>
            <w:tcW w:type="dxa" w:w="3324"/>
            <w:vAlign w:val="center"/>
          </w:tcPr>
          <w:p>
            <w:pPr>
              <w:spacing w:after="0"/>
            </w:pPr>
            <w:r/>
            <w:r>
              <w:rPr>
                <w:b w:val="0"/>
                <w:sz w:val="17"/>
              </w:rPr>
              <w:t>DNN / scalable ML</w:t>
            </w:r>
          </w:p>
        </w:tc>
        <w:tc>
          <w:tcPr>
            <w:tcW w:type="dxa" w:w="3324"/>
            <w:vAlign w:val="center"/>
          </w:tcPr>
          <w:p>
            <w:pPr>
              <w:spacing w:after="0"/>
            </w:pPr>
            <w:r/>
            <w:r>
              <w:rPr>
                <w:b w:val="0"/>
                <w:sz w:val="17"/>
              </w:rPr>
              <w:t>一部の従来手法は収束しなかった</w:t>
            </w:r>
          </w:p>
        </w:tc>
      </w:tr>
      <w:tr>
        <w:tc>
          <w:tcPr>
            <w:tcW w:type="dxa" w:w="3324"/>
            <w:vAlign w:val="center"/>
          </w:tcPr>
          <w:p>
            <w:pPr>
              <w:spacing w:after="0"/>
            </w:pPr>
            <w:r/>
            <w:r>
              <w:rPr>
                <w:b w:val="0"/>
                <w:sz w:val="17"/>
              </w:rPr>
              <w:t>再現性・実装容易性を重視</w:t>
            </w:r>
          </w:p>
        </w:tc>
        <w:tc>
          <w:tcPr>
            <w:tcW w:type="dxa" w:w="3324"/>
            <w:vAlign w:val="center"/>
          </w:tcPr>
          <w:p>
            <w:pPr>
              <w:spacing w:after="0"/>
            </w:pPr>
            <w:r/>
            <w:r>
              <w:rPr>
                <w:b w:val="0"/>
                <w:sz w:val="17"/>
              </w:rPr>
              <w:t>従来手法 / ML</w:t>
            </w:r>
          </w:p>
        </w:tc>
        <w:tc>
          <w:tcPr>
            <w:tcW w:type="dxa" w:w="3324"/>
            <w:vAlign w:val="center"/>
          </w:tcPr>
          <w:p>
            <w:pPr>
              <w:spacing w:after="0"/>
            </w:pPr>
            <w:r/>
            <w:r>
              <w:rPr>
                <w:b w:val="0"/>
                <w:sz w:val="17"/>
              </w:rPr>
              <w:t>公開実装が多く、設定が比較的容易</w:t>
            </w:r>
          </w:p>
        </w:tc>
      </w:tr>
      <w:tr>
        <w:tc>
          <w:tcPr>
            <w:tcW w:type="dxa" w:w="3324"/>
            <w:vAlign w:val="center"/>
          </w:tcPr>
          <w:p>
            <w:pPr>
              <w:spacing w:after="0"/>
            </w:pPr>
            <w:r/>
            <w:r>
              <w:rPr>
                <w:b w:val="0"/>
                <w:sz w:val="17"/>
              </w:rPr>
              <w:t>学習計算量を重視</w:t>
            </w:r>
          </w:p>
        </w:tc>
        <w:tc>
          <w:tcPr>
            <w:tcW w:type="dxa" w:w="3324"/>
            <w:vAlign w:val="center"/>
          </w:tcPr>
          <w:p>
            <w:pPr>
              <w:spacing w:after="0"/>
            </w:pPr>
            <w:r/>
            <w:r>
              <w:rPr>
                <w:b w:val="0"/>
                <w:sz w:val="17"/>
              </w:rPr>
              <w:t>従来手法</w:t>
            </w:r>
          </w:p>
        </w:tc>
        <w:tc>
          <w:tcPr>
            <w:tcW w:type="dxa" w:w="3324"/>
            <w:vAlign w:val="center"/>
          </w:tcPr>
          <w:p>
            <w:pPr>
              <w:spacing w:after="0"/>
            </w:pPr>
            <w:r/>
            <w:r>
              <w:rPr>
                <w:b w:val="0"/>
                <w:sz w:val="17"/>
              </w:rPr>
              <w:t>高コストな学習段階を必要としない手法が多い</w:t>
            </w:r>
          </w:p>
        </w:tc>
      </w:tr>
    </w:tbl>
    <w:p/>
    <w:p>
      <w:pPr>
        <w:pStyle w:val="Heading1"/>
      </w:pPr>
      <w:r>
        <w:t>9. まとめ（発表用）</w:t>
      </w:r>
    </w:p>
    <w:p>
      <w:r>
        <w:t>① DNNは平均F1では優位なケースが多いが、統計的には多くのデータセットで3カテゴリ間に有意差がない。</w:t>
      </w:r>
    </w:p>
    <w:p>
      <w:r>
        <w:t>② WADIではDNNの優位性が比較的明確で、その差は主に文脈的異常の検知能力から生じている。</w:t>
      </w:r>
    </w:p>
    <w:p>
      <w:r>
        <w:t>③ DNNは学習データ量に強く依存し、データが少ない場合には従来手法がより安定かつ高性能となる。</w:t>
      </w:r>
    </w:p>
    <w:p>
      <w:r>
        <w:t>④ したがって、多変量時系列異常検知ではDNNをデフォルト選択とすべきではなく、異常タイプ、データ量、計算コスト、scalabilityを考慮して選択する必要がある。</w:t>
      </w:r>
    </w:p>
    <w:p>
      <w:r>
        <w:t>⑤ 新規DNN手法のbenchmarkでは、従来手法と古典的MLを必ずbaselineとして再導入すべきである。</w:t>
      </w:r>
    </w:p>
    <w:p>
      <w:pPr>
        <w:pStyle w:val="Heading1"/>
      </w:pPr>
      <w:r>
        <w:t>10. 「学習外入力データ検知」調査への示唆</w:t>
      </w:r>
    </w:p>
    <w:p>
      <w:r>
        <w:t>本論文はOODという語を中心に扱う論文ではなく、多変量時系列のunsupervised anomaly detectionを比較した研究である。しかし、回帰モデルに入力される多変量時系列の「学習外／未知入力」を検知するという目的に対して、非常に重要なbenchmark上の示唆を与える。すなわち、DNN系だけでなく、統計・分解・距離系の従来手法、古典的ML、DNNの3系統を同時に比較すべきである。特に水処理、流量・圧力、濁度・薬品注入率のような産業時系列では、各変数の範囲外だけでなく「変数間関係が未知・不整合」という文脈的異常を検知対象として考える価値が高い。</w:t>
      </w:r>
    </w:p>
    <w:p>
      <w:r>
        <w:t>出典：本文Section 5（Experiments and results）、Table 1・2、Figure 2～5、Discussion。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Yu Goth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